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1DD5468F"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D50D29">
            <w:rPr>
              <w:rStyle w:val="1PAVADINIMAS"/>
            </w:rPr>
            <w:t>Rokiškio</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3ED4B2AF"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BC4ED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BC4ED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6B0B2E9"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BC4EDC"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BC4EDC"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054754A"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BC4EDC"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BC4EDC" w:rsidRPr="00C21ACC">
            <w:rPr>
              <w:rStyle w:val="Vietosrezervavimoenklotekstas"/>
            </w:rPr>
            <w:t>Click or tap here to enter text.</w:t>
          </w:r>
        </w:sdtContent>
      </w:sdt>
      <w:r w:rsidRPr="008E3712">
        <w:t>;</w:t>
      </w:r>
    </w:p>
    <w:p w14:paraId="4103EA41" w14:textId="157E138C"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BC4EDC"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BC4EDC" w:rsidRPr="00C21ACC">
            <w:rPr>
              <w:rStyle w:val="Vietosrezervavimoenklotekstas"/>
            </w:rPr>
            <w:t>Click or tap here to enter text.</w:t>
          </w:r>
        </w:sdtContent>
      </w:sdt>
      <w:r w:rsidRPr="008E3712">
        <w:t>;</w:t>
      </w:r>
    </w:p>
    <w:p w14:paraId="4E3E8BAA" w14:textId="5D1ABD78"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BC4EDC"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BC4EDC"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09EB27F6" w:rsidR="00A83CEE" w:rsidRPr="002C003D" w:rsidRDefault="00A83CEE" w:rsidP="00883551">
                <w:pPr>
                  <w:spacing w:after="0"/>
                  <w:rPr>
                    <w:noProof/>
                  </w:rPr>
                </w:pPr>
              </w:p>
            </w:tc>
            <w:tc>
              <w:tcPr>
                <w:tcW w:w="2710" w:type="pct"/>
              </w:tcPr>
              <w:p w14:paraId="6F29B46C" w14:textId="7BB5D64C"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54297417" w:rsidR="00A83CEE" w:rsidRPr="002C003D" w:rsidRDefault="00A83CEE" w:rsidP="00883551">
                <w:pPr>
                  <w:spacing w:after="0"/>
                  <w:rPr>
                    <w:noProof/>
                  </w:rPr>
                </w:pPr>
              </w:p>
            </w:tc>
            <w:tc>
              <w:tcPr>
                <w:tcW w:w="2710" w:type="pct"/>
              </w:tcPr>
              <w:p w14:paraId="61341937" w14:textId="1D68AFB5"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18B6E5F9" w:rsidR="00A83CEE" w:rsidRPr="002C003D" w:rsidRDefault="00A83CEE" w:rsidP="00883551">
                <w:pPr>
                  <w:spacing w:after="0"/>
                  <w:rPr>
                    <w:noProof/>
                  </w:rPr>
                </w:pPr>
              </w:p>
            </w:tc>
            <w:tc>
              <w:tcPr>
                <w:tcW w:w="2710" w:type="pct"/>
              </w:tcPr>
              <w:p w14:paraId="55DB431A" w14:textId="55577F2E"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355E2522" w:rsidR="00A83CEE" w:rsidRPr="002C003D" w:rsidRDefault="00A83CEE" w:rsidP="00883551">
                <w:pPr>
                  <w:spacing w:after="0"/>
                  <w:rPr>
                    <w:noProof/>
                  </w:rPr>
                </w:pPr>
              </w:p>
            </w:tc>
            <w:tc>
              <w:tcPr>
                <w:tcW w:w="2710" w:type="pct"/>
              </w:tcPr>
              <w:p w14:paraId="755BB527" w14:textId="3BA14844"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C3475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E015" w14:textId="77777777" w:rsidR="00BA34F0" w:rsidRDefault="00BA34F0" w:rsidP="00F40B85">
      <w:pPr>
        <w:spacing w:after="0" w:line="240" w:lineRule="auto"/>
      </w:pPr>
      <w:r>
        <w:separator/>
      </w:r>
    </w:p>
  </w:endnote>
  <w:endnote w:type="continuationSeparator" w:id="0">
    <w:p w14:paraId="71361001" w14:textId="77777777" w:rsidR="00BA34F0" w:rsidRDefault="00BA34F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0A41" w14:textId="77777777" w:rsidR="00BA34F0" w:rsidRDefault="00BA34F0" w:rsidP="00F40B85">
      <w:pPr>
        <w:spacing w:after="0" w:line="240" w:lineRule="auto"/>
      </w:pPr>
      <w:r>
        <w:separator/>
      </w:r>
    </w:p>
  </w:footnote>
  <w:footnote w:type="continuationSeparator" w:id="0">
    <w:p w14:paraId="228C641A" w14:textId="77777777" w:rsidR="00BA34F0" w:rsidRDefault="00BA34F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34F0"/>
    <w:rsid w:val="00BA4D41"/>
    <w:rsid w:val="00BA5E30"/>
    <w:rsid w:val="00BB03B6"/>
    <w:rsid w:val="00BC27C8"/>
    <w:rsid w:val="00BC4EDC"/>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82818"/>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20E78"/>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64B2D"/>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23154</Words>
  <Characters>13198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2023-11-25T10:56:00Z</dcterms:created>
  <dcterms:modified xsi:type="dcterms:W3CDTF">2024-01-04T13:14:00Z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