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2CF90" w14:textId="77777777" w:rsidR="000A3F6D" w:rsidRDefault="000A3F6D" w:rsidP="000A3F6D">
      <w:pPr>
        <w:jc w:val="right"/>
        <w:rPr>
          <w:rFonts w:cs="Arial Unicode MS"/>
          <w:lang w:eastAsia="x-none" w:bidi="lo-LA"/>
        </w:rPr>
      </w:pPr>
      <w:bookmarkStart w:id="0" w:name="_GoBack"/>
      <w:bookmarkEnd w:id="0"/>
      <w:r w:rsidRPr="00196342">
        <w:rPr>
          <w:rFonts w:cs="Arial Unicode MS"/>
          <w:lang w:eastAsia="x-none" w:bidi="lo-LA"/>
        </w:rPr>
        <w:t xml:space="preserve">Sutarties </w:t>
      </w:r>
      <w:r w:rsidR="001C1177">
        <w:rPr>
          <w:rFonts w:cs="Arial Unicode MS"/>
          <w:lang w:eastAsia="x-none" w:bidi="lo-LA"/>
        </w:rPr>
        <w:t>2</w:t>
      </w:r>
      <w:r w:rsidRPr="00196342">
        <w:rPr>
          <w:rFonts w:cs="Arial Unicode MS"/>
          <w:lang w:eastAsia="x-none" w:bidi="lo-LA"/>
        </w:rPr>
        <w:t xml:space="preserve"> priedas</w:t>
      </w:r>
    </w:p>
    <w:p w14:paraId="7AB2CF91" w14:textId="77777777" w:rsidR="000A3F6D" w:rsidRDefault="000A3F6D" w:rsidP="000A3F6D">
      <w:pPr>
        <w:rPr>
          <w:rFonts w:cs="Arial Unicode MS"/>
          <w:lang w:eastAsia="x-none" w:bidi="lo-LA"/>
        </w:rPr>
      </w:pPr>
    </w:p>
    <w:p w14:paraId="7AB2CF92" w14:textId="77777777" w:rsidR="000A3F6D" w:rsidRDefault="000A3F6D" w:rsidP="000A3F6D">
      <w:pPr>
        <w:jc w:val="center"/>
        <w:rPr>
          <w:b/>
        </w:rPr>
      </w:pPr>
      <w:r>
        <w:rPr>
          <w:b/>
        </w:rPr>
        <w:t xml:space="preserve">Statinys: </w:t>
      </w:r>
      <w:r w:rsidRPr="009E41DC">
        <w:rPr>
          <w:b/>
        </w:rPr>
        <w:t xml:space="preserve">Panevėžio miesto Smėlynės gatvės dalies (nuo geležinkelio pervažos iki miesto ribos) </w:t>
      </w:r>
      <w:r>
        <w:rPr>
          <w:b/>
        </w:rPr>
        <w:t>kapitalinio remonto (IV statybos etapo)</w:t>
      </w:r>
      <w:r w:rsidRPr="00384042">
        <w:rPr>
          <w:b/>
        </w:rPr>
        <w:t xml:space="preserve"> darbai</w:t>
      </w:r>
    </w:p>
    <w:p w14:paraId="7AB2CF93" w14:textId="77777777" w:rsidR="000A3F6D" w:rsidRDefault="000A3F6D" w:rsidP="000A3F6D">
      <w:pPr>
        <w:jc w:val="center"/>
        <w:rPr>
          <w:b/>
        </w:rPr>
      </w:pPr>
    </w:p>
    <w:p w14:paraId="7AB2CF94" w14:textId="77777777" w:rsidR="000A3F6D" w:rsidRDefault="000A3F6D" w:rsidP="000A3F6D">
      <w:pPr>
        <w:rPr>
          <w:b/>
        </w:rPr>
      </w:pPr>
      <w:r>
        <w:rPr>
          <w:b/>
        </w:rPr>
        <w:t>Darbų pradžia: 2022-05-10</w:t>
      </w:r>
    </w:p>
    <w:p w14:paraId="7AB2CF95" w14:textId="77777777" w:rsidR="000A3F6D" w:rsidRDefault="000A3F6D" w:rsidP="000A3F6D">
      <w:pPr>
        <w:rPr>
          <w:b/>
        </w:rPr>
      </w:pPr>
      <w:r>
        <w:rPr>
          <w:b/>
        </w:rPr>
        <w:t>Darbų pabaiga: 2022-11-30</w:t>
      </w:r>
    </w:p>
    <w:p w14:paraId="7AB2CF96" w14:textId="77777777" w:rsidR="000A3F6D" w:rsidRDefault="007D2F13" w:rsidP="000A3F6D">
      <w:pPr>
        <w:jc w:val="center"/>
        <w:rPr>
          <w:b/>
        </w:rPr>
      </w:pPr>
      <w:r>
        <w:rPr>
          <w:b/>
        </w:rPr>
        <w:t xml:space="preserve">2022 M. </w:t>
      </w:r>
      <w:r w:rsidR="000A3F6D">
        <w:rPr>
          <w:b/>
        </w:rPr>
        <w:t>KALENDORINIS DARBŲ VYKDYMO GRAFIKAS</w:t>
      </w:r>
    </w:p>
    <w:p w14:paraId="7AB2CF97" w14:textId="77777777" w:rsidR="000A3F6D" w:rsidRDefault="000A3F6D" w:rsidP="000A3F6D">
      <w:pPr>
        <w:jc w:val="center"/>
        <w:rPr>
          <w:b/>
        </w:rPr>
      </w:pPr>
      <w:r>
        <w:rPr>
          <w:b/>
        </w:rPr>
        <w:t>(PIRMI STATYBOS METAI)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626"/>
        <w:gridCol w:w="2581"/>
        <w:gridCol w:w="1412"/>
        <w:gridCol w:w="1379"/>
        <w:gridCol w:w="1208"/>
        <w:gridCol w:w="1235"/>
        <w:gridCol w:w="1298"/>
        <w:gridCol w:w="1230"/>
        <w:gridCol w:w="1151"/>
        <w:gridCol w:w="1151"/>
        <w:gridCol w:w="1177"/>
        <w:gridCol w:w="1251"/>
      </w:tblGrid>
      <w:tr w:rsidR="00F867BF" w:rsidRPr="00001433" w14:paraId="7AB2CF9F" w14:textId="77777777" w:rsidTr="00D01D7C">
        <w:tc>
          <w:tcPr>
            <w:tcW w:w="626" w:type="dxa"/>
            <w:vMerge w:val="restart"/>
            <w:vAlign w:val="center"/>
          </w:tcPr>
          <w:p w14:paraId="7AB2CF98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581" w:type="dxa"/>
            <w:vMerge w:val="restart"/>
            <w:vAlign w:val="center"/>
          </w:tcPr>
          <w:p w14:paraId="7AB2CF99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Darbų veiklos (etapo) pavadinimas</w:t>
            </w:r>
          </w:p>
        </w:tc>
        <w:tc>
          <w:tcPr>
            <w:tcW w:w="1412" w:type="dxa"/>
            <w:vMerge w:val="restart"/>
            <w:vAlign w:val="center"/>
          </w:tcPr>
          <w:p w14:paraId="7AB2CF9A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Bendra darbo apimtis</w:t>
            </w:r>
          </w:p>
        </w:tc>
        <w:tc>
          <w:tcPr>
            <w:tcW w:w="1379" w:type="dxa"/>
            <w:vMerge w:val="restart"/>
            <w:vAlign w:val="center"/>
          </w:tcPr>
          <w:p w14:paraId="7AB2CF9B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Darb</w:t>
            </w:r>
            <w:r>
              <w:rPr>
                <w:b/>
                <w:sz w:val="20"/>
                <w:szCs w:val="20"/>
              </w:rPr>
              <w:t>ų (etapo) kaina, Eur.</w:t>
            </w:r>
          </w:p>
        </w:tc>
        <w:tc>
          <w:tcPr>
            <w:tcW w:w="8450" w:type="dxa"/>
            <w:gridSpan w:val="7"/>
          </w:tcPr>
          <w:p w14:paraId="7AB2CF9C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2022 metai</w:t>
            </w:r>
            <w:r w:rsidRPr="00001433">
              <w:rPr>
                <w:b/>
                <w:sz w:val="20"/>
                <w:szCs w:val="20"/>
              </w:rPr>
              <w:tab/>
            </w:r>
          </w:p>
        </w:tc>
        <w:tc>
          <w:tcPr>
            <w:tcW w:w="1251" w:type="dxa"/>
            <w:vMerge w:val="restart"/>
            <w:vAlign w:val="center"/>
          </w:tcPr>
          <w:p w14:paraId="7AB2CF9D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VISO</w:t>
            </w:r>
          </w:p>
          <w:p w14:paraId="7AB2CF9E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2022 m.</w:t>
            </w:r>
          </w:p>
        </w:tc>
      </w:tr>
      <w:tr w:rsidR="00F867BF" w:rsidRPr="00001433" w14:paraId="7AB2CFA8" w14:textId="77777777" w:rsidTr="00D01D7C">
        <w:tc>
          <w:tcPr>
            <w:tcW w:w="626" w:type="dxa"/>
            <w:vMerge/>
            <w:vAlign w:val="center"/>
          </w:tcPr>
          <w:p w14:paraId="7AB2CFA0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vMerge/>
            <w:vAlign w:val="center"/>
          </w:tcPr>
          <w:p w14:paraId="7AB2CFA1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14:paraId="7AB2CFA2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14:paraId="7AB2CFA3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14:paraId="7AB2CFA4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II ketv.</w:t>
            </w:r>
          </w:p>
        </w:tc>
        <w:tc>
          <w:tcPr>
            <w:tcW w:w="3679" w:type="dxa"/>
            <w:gridSpan w:val="3"/>
          </w:tcPr>
          <w:p w14:paraId="7AB2CFA5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III ketv.</w:t>
            </w:r>
          </w:p>
        </w:tc>
        <w:tc>
          <w:tcPr>
            <w:tcW w:w="2328" w:type="dxa"/>
            <w:gridSpan w:val="2"/>
          </w:tcPr>
          <w:p w14:paraId="7AB2CFA6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IV ketv.</w:t>
            </w:r>
          </w:p>
        </w:tc>
        <w:tc>
          <w:tcPr>
            <w:tcW w:w="1251" w:type="dxa"/>
            <w:vMerge/>
          </w:tcPr>
          <w:p w14:paraId="7AB2CFA7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7BF" w:rsidRPr="00001433" w14:paraId="7AB2CFB5" w14:textId="77777777" w:rsidTr="00D01D7C">
        <w:tc>
          <w:tcPr>
            <w:tcW w:w="626" w:type="dxa"/>
            <w:vMerge/>
            <w:vAlign w:val="center"/>
          </w:tcPr>
          <w:p w14:paraId="7AB2CFA9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vMerge/>
            <w:vAlign w:val="center"/>
          </w:tcPr>
          <w:p w14:paraId="7AB2CFAA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14:paraId="7AB2CFAB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14:paraId="7AB2CFAC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7AB2CFAD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Gegužė</w:t>
            </w:r>
          </w:p>
        </w:tc>
        <w:tc>
          <w:tcPr>
            <w:tcW w:w="1235" w:type="dxa"/>
          </w:tcPr>
          <w:p w14:paraId="7AB2CFAE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Birželis</w:t>
            </w:r>
          </w:p>
        </w:tc>
        <w:tc>
          <w:tcPr>
            <w:tcW w:w="1298" w:type="dxa"/>
          </w:tcPr>
          <w:p w14:paraId="7AB2CFAF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Liepa</w:t>
            </w:r>
          </w:p>
        </w:tc>
        <w:tc>
          <w:tcPr>
            <w:tcW w:w="1230" w:type="dxa"/>
          </w:tcPr>
          <w:p w14:paraId="7AB2CFB0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Rugpjūtis</w:t>
            </w:r>
          </w:p>
        </w:tc>
        <w:tc>
          <w:tcPr>
            <w:tcW w:w="1151" w:type="dxa"/>
          </w:tcPr>
          <w:p w14:paraId="7AB2CFB1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Rugsėjis</w:t>
            </w:r>
          </w:p>
        </w:tc>
        <w:tc>
          <w:tcPr>
            <w:tcW w:w="1151" w:type="dxa"/>
          </w:tcPr>
          <w:p w14:paraId="7AB2CFB2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Spalis</w:t>
            </w:r>
          </w:p>
        </w:tc>
        <w:tc>
          <w:tcPr>
            <w:tcW w:w="1177" w:type="dxa"/>
          </w:tcPr>
          <w:p w14:paraId="7AB2CFB3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Lapkritis</w:t>
            </w:r>
          </w:p>
        </w:tc>
        <w:tc>
          <w:tcPr>
            <w:tcW w:w="1251" w:type="dxa"/>
            <w:vMerge/>
          </w:tcPr>
          <w:p w14:paraId="7AB2CFB4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7BF" w:rsidRPr="00001433" w14:paraId="7AB2CFC2" w14:textId="77777777" w:rsidTr="00D01D7C">
        <w:tc>
          <w:tcPr>
            <w:tcW w:w="626" w:type="dxa"/>
            <w:vAlign w:val="center"/>
          </w:tcPr>
          <w:p w14:paraId="7AB2CFB6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81" w:type="dxa"/>
            <w:vAlign w:val="center"/>
          </w:tcPr>
          <w:p w14:paraId="7AB2CFB7" w14:textId="77777777" w:rsidR="00F867BF" w:rsidRPr="00001433" w:rsidRDefault="00F867BF" w:rsidP="00D01D7C">
            <w:pPr>
              <w:rPr>
                <w:b/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Gatvės kapitalinio remonto darbai ir kt. (Susisiekimo miesto gatvių dalis)</w:t>
            </w:r>
          </w:p>
        </w:tc>
        <w:tc>
          <w:tcPr>
            <w:tcW w:w="1412" w:type="dxa"/>
            <w:vAlign w:val="center"/>
          </w:tcPr>
          <w:p w14:paraId="7AB2CFB8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 komplektas*</w:t>
            </w:r>
          </w:p>
        </w:tc>
        <w:tc>
          <w:tcPr>
            <w:tcW w:w="1379" w:type="dxa"/>
            <w:vAlign w:val="center"/>
          </w:tcPr>
          <w:p w14:paraId="7AB2CFB9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1 081 098,75</w:t>
            </w:r>
          </w:p>
        </w:tc>
        <w:tc>
          <w:tcPr>
            <w:tcW w:w="1208" w:type="dxa"/>
            <w:vAlign w:val="center"/>
          </w:tcPr>
          <w:p w14:paraId="7AB2CFBA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AB2CFBB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69 256</w:t>
            </w:r>
            <w:r w:rsidRPr="000014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001433"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vAlign w:val="center"/>
          </w:tcPr>
          <w:p w14:paraId="7AB2CFBC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90 000,00</w:t>
            </w:r>
          </w:p>
        </w:tc>
        <w:tc>
          <w:tcPr>
            <w:tcW w:w="1230" w:type="dxa"/>
            <w:vAlign w:val="center"/>
          </w:tcPr>
          <w:p w14:paraId="7AB2CFBD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r w:rsidRPr="00001433">
              <w:rPr>
                <w:sz w:val="20"/>
                <w:szCs w:val="20"/>
              </w:rPr>
              <w:t>000,00</w:t>
            </w:r>
          </w:p>
        </w:tc>
        <w:tc>
          <w:tcPr>
            <w:tcW w:w="1151" w:type="dxa"/>
            <w:vAlign w:val="center"/>
          </w:tcPr>
          <w:p w14:paraId="7AB2CFBE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</w:t>
            </w:r>
            <w:r w:rsidRPr="00001433">
              <w:rPr>
                <w:sz w:val="20"/>
                <w:szCs w:val="20"/>
              </w:rPr>
              <w:t>000,00</w:t>
            </w:r>
          </w:p>
        </w:tc>
        <w:tc>
          <w:tcPr>
            <w:tcW w:w="1151" w:type="dxa"/>
            <w:vAlign w:val="center"/>
          </w:tcPr>
          <w:p w14:paraId="7AB2CFBF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70 000,00</w:t>
            </w:r>
          </w:p>
        </w:tc>
        <w:tc>
          <w:tcPr>
            <w:tcW w:w="1177" w:type="dxa"/>
            <w:vAlign w:val="center"/>
          </w:tcPr>
          <w:p w14:paraId="7AB2CFC0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26 500,00</w:t>
            </w:r>
          </w:p>
        </w:tc>
        <w:tc>
          <w:tcPr>
            <w:tcW w:w="1251" w:type="dxa"/>
            <w:vAlign w:val="center"/>
          </w:tcPr>
          <w:p w14:paraId="7AB2CFC1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75</w:t>
            </w:r>
            <w:r w:rsidRPr="0000143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756</w:t>
            </w:r>
            <w:r w:rsidRPr="000014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001433">
              <w:rPr>
                <w:sz w:val="20"/>
                <w:szCs w:val="20"/>
              </w:rPr>
              <w:t>0</w:t>
            </w:r>
          </w:p>
        </w:tc>
      </w:tr>
      <w:tr w:rsidR="00F867BF" w:rsidRPr="00001433" w14:paraId="7AB2CFD0" w14:textId="77777777" w:rsidTr="00D01D7C">
        <w:tc>
          <w:tcPr>
            <w:tcW w:w="626" w:type="dxa"/>
            <w:vAlign w:val="center"/>
          </w:tcPr>
          <w:p w14:paraId="7AB2CFC3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81" w:type="dxa"/>
            <w:vAlign w:val="center"/>
          </w:tcPr>
          <w:p w14:paraId="7AB2CFC4" w14:textId="77777777" w:rsidR="00F867BF" w:rsidRPr="00001433" w:rsidRDefault="00F867BF" w:rsidP="00D01D7C">
            <w:pPr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Pėsčiųjų ir dviračių takų įrengimas, įrenginiai ir kt.</w:t>
            </w:r>
          </w:p>
          <w:p w14:paraId="7AB2CFC5" w14:textId="77777777" w:rsidR="00F867BF" w:rsidRPr="00001433" w:rsidRDefault="00F867BF" w:rsidP="00D01D7C">
            <w:pPr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(Susisiekimo miesto gatvių dalis)</w:t>
            </w:r>
          </w:p>
        </w:tc>
        <w:tc>
          <w:tcPr>
            <w:tcW w:w="1412" w:type="dxa"/>
            <w:vAlign w:val="center"/>
          </w:tcPr>
          <w:p w14:paraId="7AB2CFC6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 komplektas*</w:t>
            </w:r>
          </w:p>
        </w:tc>
        <w:tc>
          <w:tcPr>
            <w:tcW w:w="1379" w:type="dxa"/>
            <w:vAlign w:val="center"/>
          </w:tcPr>
          <w:p w14:paraId="7AB2CFC7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200 447,19</w:t>
            </w:r>
          </w:p>
        </w:tc>
        <w:tc>
          <w:tcPr>
            <w:tcW w:w="1208" w:type="dxa"/>
            <w:vAlign w:val="center"/>
          </w:tcPr>
          <w:p w14:paraId="7AB2CFC8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AB2CFC9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7AB2CFCA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7AB2CFCB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35 000,00</w:t>
            </w:r>
          </w:p>
        </w:tc>
        <w:tc>
          <w:tcPr>
            <w:tcW w:w="1151" w:type="dxa"/>
            <w:vAlign w:val="center"/>
          </w:tcPr>
          <w:p w14:paraId="7AB2CFCC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35 200,00</w:t>
            </w:r>
          </w:p>
        </w:tc>
        <w:tc>
          <w:tcPr>
            <w:tcW w:w="1151" w:type="dxa"/>
            <w:vAlign w:val="center"/>
          </w:tcPr>
          <w:p w14:paraId="7AB2CFCD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20 000,00</w:t>
            </w:r>
          </w:p>
        </w:tc>
        <w:tc>
          <w:tcPr>
            <w:tcW w:w="1177" w:type="dxa"/>
            <w:vAlign w:val="center"/>
          </w:tcPr>
          <w:p w14:paraId="7AB2CFCE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7AB2CFCF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90 200,00</w:t>
            </w:r>
          </w:p>
        </w:tc>
      </w:tr>
      <w:tr w:rsidR="00F867BF" w:rsidRPr="00001433" w14:paraId="7AB2CFDD" w14:textId="77777777" w:rsidTr="00D01D7C">
        <w:tc>
          <w:tcPr>
            <w:tcW w:w="626" w:type="dxa"/>
            <w:vAlign w:val="center"/>
          </w:tcPr>
          <w:p w14:paraId="7AB2CFD1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81" w:type="dxa"/>
            <w:vAlign w:val="center"/>
          </w:tcPr>
          <w:p w14:paraId="7AB2CFD2" w14:textId="77777777" w:rsidR="00F867BF" w:rsidRPr="00001433" w:rsidRDefault="00F867BF" w:rsidP="00D01D7C">
            <w:pPr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Gatvės apšvietimas ir kt. (Elektrotechnikos dalis)</w:t>
            </w:r>
          </w:p>
        </w:tc>
        <w:tc>
          <w:tcPr>
            <w:tcW w:w="1412" w:type="dxa"/>
            <w:vAlign w:val="center"/>
          </w:tcPr>
          <w:p w14:paraId="7AB2CFD3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 komplektas*</w:t>
            </w:r>
          </w:p>
        </w:tc>
        <w:tc>
          <w:tcPr>
            <w:tcW w:w="1379" w:type="dxa"/>
            <w:vAlign w:val="center"/>
          </w:tcPr>
          <w:p w14:paraId="7AB2CFD4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79 057,80</w:t>
            </w:r>
          </w:p>
        </w:tc>
        <w:tc>
          <w:tcPr>
            <w:tcW w:w="1208" w:type="dxa"/>
            <w:vAlign w:val="center"/>
          </w:tcPr>
          <w:p w14:paraId="7AB2CFD5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AB2CFD6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7AB2CFD7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19 334,71</w:t>
            </w:r>
          </w:p>
        </w:tc>
        <w:tc>
          <w:tcPr>
            <w:tcW w:w="1230" w:type="dxa"/>
            <w:vAlign w:val="center"/>
          </w:tcPr>
          <w:p w14:paraId="7AB2CFD8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10 000,00</w:t>
            </w:r>
          </w:p>
        </w:tc>
        <w:tc>
          <w:tcPr>
            <w:tcW w:w="1151" w:type="dxa"/>
            <w:vAlign w:val="center"/>
          </w:tcPr>
          <w:p w14:paraId="7AB2CFD9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7AB2CFDA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10 000,00</w:t>
            </w:r>
          </w:p>
        </w:tc>
        <w:tc>
          <w:tcPr>
            <w:tcW w:w="1177" w:type="dxa"/>
            <w:vAlign w:val="center"/>
          </w:tcPr>
          <w:p w14:paraId="7AB2CFDB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7AB2CFDC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39 334,71</w:t>
            </w:r>
          </w:p>
        </w:tc>
      </w:tr>
      <w:tr w:rsidR="00F867BF" w:rsidRPr="00001433" w14:paraId="7AB2CFEB" w14:textId="77777777" w:rsidTr="00D01D7C">
        <w:tc>
          <w:tcPr>
            <w:tcW w:w="626" w:type="dxa"/>
            <w:vAlign w:val="center"/>
          </w:tcPr>
          <w:p w14:paraId="7AB2CFDE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581" w:type="dxa"/>
            <w:vAlign w:val="center"/>
          </w:tcPr>
          <w:p w14:paraId="7AB2CFDF" w14:textId="77777777" w:rsidR="00F867BF" w:rsidRPr="00001433" w:rsidRDefault="00F867BF" w:rsidP="00D01D7C">
            <w:pPr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Ryšių tinklų remontas ir kt.</w:t>
            </w:r>
          </w:p>
          <w:p w14:paraId="7AB2CFE0" w14:textId="77777777" w:rsidR="00F867BF" w:rsidRPr="00001433" w:rsidRDefault="00F867BF" w:rsidP="00D01D7C">
            <w:pPr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(Elektroninių ryšių (telekomunikacijų) dalis)</w:t>
            </w:r>
          </w:p>
        </w:tc>
        <w:tc>
          <w:tcPr>
            <w:tcW w:w="1412" w:type="dxa"/>
            <w:vAlign w:val="center"/>
          </w:tcPr>
          <w:p w14:paraId="7AB2CFE1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 komplektas*</w:t>
            </w:r>
          </w:p>
        </w:tc>
        <w:tc>
          <w:tcPr>
            <w:tcW w:w="1379" w:type="dxa"/>
            <w:vAlign w:val="center"/>
          </w:tcPr>
          <w:p w14:paraId="7AB2CFE2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6 892,37</w:t>
            </w:r>
          </w:p>
        </w:tc>
        <w:tc>
          <w:tcPr>
            <w:tcW w:w="1208" w:type="dxa"/>
            <w:vAlign w:val="center"/>
          </w:tcPr>
          <w:p w14:paraId="7AB2CFE3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AB2CFE4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7AB2CFE5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3 200,00</w:t>
            </w:r>
          </w:p>
        </w:tc>
        <w:tc>
          <w:tcPr>
            <w:tcW w:w="1230" w:type="dxa"/>
            <w:vAlign w:val="center"/>
          </w:tcPr>
          <w:p w14:paraId="7AB2CFE6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7AB2CFE7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7AB2CFE8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7AB2CFE9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14:paraId="7AB2CFEA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3 200,00</w:t>
            </w:r>
          </w:p>
        </w:tc>
      </w:tr>
      <w:tr w:rsidR="00F867BF" w:rsidRPr="00001433" w14:paraId="7AB2CFF8" w14:textId="77777777" w:rsidTr="00D01D7C">
        <w:tc>
          <w:tcPr>
            <w:tcW w:w="626" w:type="dxa"/>
            <w:vAlign w:val="center"/>
          </w:tcPr>
          <w:p w14:paraId="7AB2CFEC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581" w:type="dxa"/>
            <w:vAlign w:val="center"/>
          </w:tcPr>
          <w:p w14:paraId="7AB2CFED" w14:textId="77777777" w:rsidR="00F867BF" w:rsidRPr="00001433" w:rsidRDefault="00F867BF" w:rsidP="00D01D7C">
            <w:pPr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Statinių kadastrinių matavimų bylų parengimas, jeigu reikia, atliekamas ir statinio žemės sklypo kadastro duomenų patikslinimas</w:t>
            </w:r>
          </w:p>
        </w:tc>
        <w:tc>
          <w:tcPr>
            <w:tcW w:w="1412" w:type="dxa"/>
            <w:vAlign w:val="center"/>
          </w:tcPr>
          <w:p w14:paraId="7AB2CFEE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 komplektas*</w:t>
            </w:r>
          </w:p>
        </w:tc>
        <w:tc>
          <w:tcPr>
            <w:tcW w:w="1379" w:type="dxa"/>
            <w:vAlign w:val="center"/>
          </w:tcPr>
          <w:p w14:paraId="7AB2CFEF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1 500,00</w:t>
            </w:r>
          </w:p>
        </w:tc>
        <w:tc>
          <w:tcPr>
            <w:tcW w:w="1208" w:type="dxa"/>
            <w:vAlign w:val="center"/>
          </w:tcPr>
          <w:p w14:paraId="7AB2CFF0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AB2CFF1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7AB2CFF2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7AB2CFF3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7AB2CFF4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7AB2CFF5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7AB2CFF6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600,00</w:t>
            </w:r>
          </w:p>
        </w:tc>
        <w:tc>
          <w:tcPr>
            <w:tcW w:w="1251" w:type="dxa"/>
            <w:vAlign w:val="center"/>
          </w:tcPr>
          <w:p w14:paraId="7AB2CFF7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  <w:r w:rsidRPr="00001433">
              <w:rPr>
                <w:sz w:val="20"/>
                <w:szCs w:val="20"/>
              </w:rPr>
              <w:t>600,00</w:t>
            </w:r>
          </w:p>
        </w:tc>
      </w:tr>
      <w:tr w:rsidR="00F867BF" w:rsidRPr="00001433" w14:paraId="7AB2D005" w14:textId="77777777" w:rsidTr="00D01D7C">
        <w:tc>
          <w:tcPr>
            <w:tcW w:w="626" w:type="dxa"/>
            <w:vAlign w:val="center"/>
          </w:tcPr>
          <w:p w14:paraId="7AB2CFF9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vAlign w:val="center"/>
          </w:tcPr>
          <w:p w14:paraId="7AB2CFFA" w14:textId="77777777" w:rsidR="00F867BF" w:rsidRPr="00001433" w:rsidRDefault="00F867BF" w:rsidP="00D01D7C">
            <w:pPr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Suma (be PVM)</w:t>
            </w:r>
          </w:p>
        </w:tc>
        <w:tc>
          <w:tcPr>
            <w:tcW w:w="1412" w:type="dxa"/>
            <w:vAlign w:val="center"/>
          </w:tcPr>
          <w:p w14:paraId="7AB2CFFB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14:paraId="7AB2CFFC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1 368 996,11</w:t>
            </w:r>
          </w:p>
        </w:tc>
        <w:tc>
          <w:tcPr>
            <w:tcW w:w="1208" w:type="dxa"/>
            <w:vAlign w:val="center"/>
          </w:tcPr>
          <w:p w14:paraId="7AB2CFFD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AB2CFFE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80 000,00</w:t>
            </w:r>
          </w:p>
        </w:tc>
        <w:tc>
          <w:tcPr>
            <w:tcW w:w="1298" w:type="dxa"/>
            <w:vAlign w:val="center"/>
          </w:tcPr>
          <w:p w14:paraId="7AB2CFFF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534,71</w:t>
            </w:r>
          </w:p>
        </w:tc>
        <w:tc>
          <w:tcPr>
            <w:tcW w:w="1230" w:type="dxa"/>
            <w:vAlign w:val="center"/>
          </w:tcPr>
          <w:p w14:paraId="7AB2D000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145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000,00</w:t>
            </w:r>
          </w:p>
        </w:tc>
        <w:tc>
          <w:tcPr>
            <w:tcW w:w="1151" w:type="dxa"/>
            <w:vAlign w:val="center"/>
          </w:tcPr>
          <w:p w14:paraId="7AB2D001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155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151" w:type="dxa"/>
            <w:vAlign w:val="center"/>
          </w:tcPr>
          <w:p w14:paraId="7AB2D002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000,00</w:t>
            </w:r>
          </w:p>
        </w:tc>
        <w:tc>
          <w:tcPr>
            <w:tcW w:w="1177" w:type="dxa"/>
            <w:vAlign w:val="center"/>
          </w:tcPr>
          <w:p w14:paraId="7AB2D003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27 100,00</w:t>
            </w:r>
          </w:p>
        </w:tc>
        <w:tc>
          <w:tcPr>
            <w:tcW w:w="1251" w:type="dxa"/>
            <w:vAlign w:val="center"/>
          </w:tcPr>
          <w:p w14:paraId="7AB2D004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0</w:t>
            </w:r>
            <w:r w:rsidRPr="00001433">
              <w:rPr>
                <w:b/>
                <w:sz w:val="20"/>
                <w:szCs w:val="20"/>
              </w:rPr>
              <w:t>9 </w:t>
            </w:r>
            <w:r>
              <w:rPr>
                <w:b/>
                <w:sz w:val="20"/>
                <w:szCs w:val="20"/>
              </w:rPr>
              <w:t>090</w:t>
            </w:r>
            <w:r w:rsidRPr="0000143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  <w:r w:rsidRPr="00001433">
              <w:rPr>
                <w:b/>
                <w:sz w:val="20"/>
                <w:szCs w:val="20"/>
              </w:rPr>
              <w:t>1</w:t>
            </w:r>
          </w:p>
        </w:tc>
      </w:tr>
      <w:tr w:rsidR="00F867BF" w:rsidRPr="00001433" w14:paraId="7AB2D012" w14:textId="77777777" w:rsidTr="00D01D7C">
        <w:tc>
          <w:tcPr>
            <w:tcW w:w="626" w:type="dxa"/>
            <w:vAlign w:val="center"/>
          </w:tcPr>
          <w:p w14:paraId="7AB2D006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vAlign w:val="center"/>
          </w:tcPr>
          <w:p w14:paraId="7AB2D007" w14:textId="77777777" w:rsidR="00F867BF" w:rsidRPr="00001433" w:rsidRDefault="00F867BF" w:rsidP="00D01D7C">
            <w:pPr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PVM 21%</w:t>
            </w:r>
          </w:p>
        </w:tc>
        <w:tc>
          <w:tcPr>
            <w:tcW w:w="1412" w:type="dxa"/>
            <w:vAlign w:val="center"/>
          </w:tcPr>
          <w:p w14:paraId="7AB2D008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14:paraId="7AB2D009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287 489,18</w:t>
            </w:r>
          </w:p>
        </w:tc>
        <w:tc>
          <w:tcPr>
            <w:tcW w:w="1208" w:type="dxa"/>
            <w:vAlign w:val="center"/>
          </w:tcPr>
          <w:p w14:paraId="7AB2D00A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AB2D00B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16 800,00</w:t>
            </w:r>
          </w:p>
        </w:tc>
        <w:tc>
          <w:tcPr>
            <w:tcW w:w="1298" w:type="dxa"/>
            <w:vAlign w:val="center"/>
          </w:tcPr>
          <w:p w14:paraId="7AB2D00C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632,29</w:t>
            </w:r>
          </w:p>
        </w:tc>
        <w:tc>
          <w:tcPr>
            <w:tcW w:w="1230" w:type="dxa"/>
            <w:vAlign w:val="center"/>
          </w:tcPr>
          <w:p w14:paraId="7AB2D00D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450,00</w:t>
            </w:r>
          </w:p>
        </w:tc>
        <w:tc>
          <w:tcPr>
            <w:tcW w:w="1151" w:type="dxa"/>
            <w:vAlign w:val="center"/>
          </w:tcPr>
          <w:p w14:paraId="7AB2D00E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32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592,00</w:t>
            </w:r>
          </w:p>
        </w:tc>
        <w:tc>
          <w:tcPr>
            <w:tcW w:w="1151" w:type="dxa"/>
            <w:vAlign w:val="center"/>
          </w:tcPr>
          <w:p w14:paraId="7AB2D00F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000,00</w:t>
            </w:r>
          </w:p>
        </w:tc>
        <w:tc>
          <w:tcPr>
            <w:tcW w:w="1177" w:type="dxa"/>
            <w:vAlign w:val="center"/>
          </w:tcPr>
          <w:p w14:paraId="7AB2D010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691,00</w:t>
            </w:r>
          </w:p>
        </w:tc>
        <w:tc>
          <w:tcPr>
            <w:tcW w:w="1251" w:type="dxa"/>
            <w:vAlign w:val="center"/>
          </w:tcPr>
          <w:p w14:paraId="7AB2D011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27</w:t>
            </w:r>
            <w:r w:rsidRPr="0000143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909</w:t>
            </w:r>
            <w:r w:rsidRPr="0000143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  <w:r w:rsidRPr="00001433">
              <w:rPr>
                <w:b/>
                <w:sz w:val="20"/>
                <w:szCs w:val="20"/>
              </w:rPr>
              <w:t>9</w:t>
            </w:r>
          </w:p>
        </w:tc>
      </w:tr>
      <w:tr w:rsidR="00F867BF" w:rsidRPr="00001433" w14:paraId="7AB2D01F" w14:textId="77777777" w:rsidTr="00D01D7C">
        <w:tc>
          <w:tcPr>
            <w:tcW w:w="626" w:type="dxa"/>
            <w:vAlign w:val="center"/>
          </w:tcPr>
          <w:p w14:paraId="7AB2D013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vAlign w:val="center"/>
          </w:tcPr>
          <w:p w14:paraId="7AB2D014" w14:textId="77777777" w:rsidR="00F867BF" w:rsidRPr="00001433" w:rsidRDefault="00F867BF" w:rsidP="00D01D7C">
            <w:pPr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Bendra suma</w:t>
            </w:r>
          </w:p>
        </w:tc>
        <w:tc>
          <w:tcPr>
            <w:tcW w:w="1412" w:type="dxa"/>
            <w:vAlign w:val="center"/>
          </w:tcPr>
          <w:p w14:paraId="7AB2D015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14:paraId="7AB2D016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1 656 485,29</w:t>
            </w:r>
          </w:p>
        </w:tc>
        <w:tc>
          <w:tcPr>
            <w:tcW w:w="1208" w:type="dxa"/>
            <w:vAlign w:val="center"/>
          </w:tcPr>
          <w:p w14:paraId="7AB2D017" w14:textId="77777777" w:rsidR="00F867BF" w:rsidRPr="00001433" w:rsidRDefault="00F867BF" w:rsidP="00D0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AB2D018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96 800,00</w:t>
            </w:r>
          </w:p>
        </w:tc>
        <w:tc>
          <w:tcPr>
            <w:tcW w:w="1298" w:type="dxa"/>
            <w:vAlign w:val="center"/>
          </w:tcPr>
          <w:p w14:paraId="7AB2D019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136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167,00</w:t>
            </w:r>
          </w:p>
        </w:tc>
        <w:tc>
          <w:tcPr>
            <w:tcW w:w="1230" w:type="dxa"/>
            <w:vAlign w:val="center"/>
          </w:tcPr>
          <w:p w14:paraId="7AB2D01A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175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450,00</w:t>
            </w:r>
          </w:p>
        </w:tc>
        <w:tc>
          <w:tcPr>
            <w:tcW w:w="1151" w:type="dxa"/>
            <w:vAlign w:val="center"/>
          </w:tcPr>
          <w:p w14:paraId="7AB2D01B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187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792,00</w:t>
            </w:r>
          </w:p>
        </w:tc>
        <w:tc>
          <w:tcPr>
            <w:tcW w:w="1151" w:type="dxa"/>
            <w:vAlign w:val="center"/>
          </w:tcPr>
          <w:p w14:paraId="7AB2D01C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121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000,00</w:t>
            </w:r>
          </w:p>
        </w:tc>
        <w:tc>
          <w:tcPr>
            <w:tcW w:w="1177" w:type="dxa"/>
            <w:vAlign w:val="center"/>
          </w:tcPr>
          <w:p w14:paraId="7AB2D01D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32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433">
              <w:rPr>
                <w:b/>
                <w:sz w:val="20"/>
                <w:szCs w:val="20"/>
              </w:rPr>
              <w:t>791,00</w:t>
            </w:r>
          </w:p>
        </w:tc>
        <w:tc>
          <w:tcPr>
            <w:tcW w:w="1251" w:type="dxa"/>
            <w:vAlign w:val="center"/>
          </w:tcPr>
          <w:p w14:paraId="7AB2D01E" w14:textId="77777777" w:rsidR="00F867BF" w:rsidRPr="00001433" w:rsidRDefault="00F867BF" w:rsidP="00D01D7C">
            <w:pPr>
              <w:jc w:val="center"/>
              <w:rPr>
                <w:b/>
                <w:sz w:val="20"/>
                <w:szCs w:val="20"/>
              </w:rPr>
            </w:pPr>
            <w:r w:rsidRPr="0000143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37</w:t>
            </w:r>
            <w:r w:rsidRPr="00001433">
              <w:rPr>
                <w:b/>
                <w:sz w:val="20"/>
                <w:szCs w:val="20"/>
              </w:rPr>
              <w:t> 000,00</w:t>
            </w:r>
          </w:p>
        </w:tc>
      </w:tr>
    </w:tbl>
    <w:p w14:paraId="7AB2D020" w14:textId="77777777" w:rsidR="00D36A75" w:rsidRPr="00304D74" w:rsidRDefault="00D36A75" w:rsidP="00D36A75">
      <w:pPr>
        <w:jc w:val="both"/>
        <w:rPr>
          <w:b/>
        </w:rPr>
      </w:pPr>
      <w:r w:rsidRPr="007632DB">
        <w:rPr>
          <w:sz w:val="23"/>
          <w:szCs w:val="23"/>
        </w:rPr>
        <w:t xml:space="preserve">* </w:t>
      </w:r>
      <w:r w:rsidRPr="0096587D">
        <w:rPr>
          <w:sz w:val="23"/>
          <w:szCs w:val="23"/>
        </w:rPr>
        <w:t xml:space="preserve">- komplektas, tai visi Darbai reikalingi įvykdyti </w:t>
      </w:r>
      <w:r>
        <w:rPr>
          <w:sz w:val="23"/>
          <w:szCs w:val="23"/>
        </w:rPr>
        <w:t>„</w:t>
      </w:r>
      <w:r w:rsidRPr="00D537B7">
        <w:rPr>
          <w:sz w:val="23"/>
          <w:szCs w:val="23"/>
        </w:rPr>
        <w:t>Panevėžio miesto Smėlynės gatvės dalies (nuo geležinkelio pervažos iki miesto ribos) kapitalinio remonto (IV statybos etapo) darbai</w:t>
      </w:r>
      <w:r w:rsidRPr="00304D74">
        <w:rPr>
          <w:sz w:val="23"/>
          <w:szCs w:val="23"/>
        </w:rPr>
        <w:t>“</w:t>
      </w:r>
      <w:r w:rsidRPr="00C60BB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pagal </w:t>
      </w:r>
      <w:r w:rsidRPr="00D537B7">
        <w:rPr>
          <w:sz w:val="23"/>
          <w:szCs w:val="23"/>
        </w:rPr>
        <w:t>Panevėžio miesto Smėlynės gatvės dalies (nuo geležinkelio pervažos iki miesto ribos) kapitalinio remonto (IV statybos etapo)</w:t>
      </w:r>
      <w:r w:rsidRPr="00384042">
        <w:rPr>
          <w:b/>
        </w:rPr>
        <w:t xml:space="preserve"> </w:t>
      </w:r>
      <w:r w:rsidRPr="0096587D">
        <w:rPr>
          <w:sz w:val="23"/>
          <w:szCs w:val="23"/>
        </w:rPr>
        <w:t xml:space="preserve">techninį </w:t>
      </w:r>
      <w:r>
        <w:rPr>
          <w:sz w:val="23"/>
          <w:szCs w:val="23"/>
        </w:rPr>
        <w:t xml:space="preserve">darbo </w:t>
      </w:r>
      <w:r w:rsidRPr="0096587D">
        <w:rPr>
          <w:sz w:val="23"/>
          <w:szCs w:val="23"/>
        </w:rPr>
        <w:t xml:space="preserve">projektą Darbų veiklą (etapą), kad būtų </w:t>
      </w:r>
      <w:r w:rsidRPr="00C60BBC">
        <w:rPr>
          <w:sz w:val="23"/>
          <w:szCs w:val="23"/>
        </w:rPr>
        <w:t>pasirašyti / patvirtinti / užregistruoti</w:t>
      </w:r>
      <w:r>
        <w:rPr>
          <w:sz w:val="23"/>
          <w:szCs w:val="23"/>
        </w:rPr>
        <w:t xml:space="preserve"> statinių</w:t>
      </w:r>
      <w:r w:rsidRPr="0096587D">
        <w:rPr>
          <w:sz w:val="23"/>
          <w:szCs w:val="23"/>
        </w:rPr>
        <w:t xml:space="preserve"> statybos užbaigimo dokumentai.</w:t>
      </w:r>
    </w:p>
    <w:p w14:paraId="7AB2D021" w14:textId="77777777" w:rsidR="003C036A" w:rsidRDefault="003C036A"/>
    <w:p w14:paraId="7AB2D022" w14:textId="77777777" w:rsidR="001C1177" w:rsidRDefault="001C1177">
      <w:pPr>
        <w:rPr>
          <w:b/>
        </w:rPr>
      </w:pPr>
      <w:r w:rsidRPr="001C1177">
        <w:rPr>
          <w:b/>
        </w:rPr>
        <w:t>Užsakovas: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F377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Rangovas:</w:t>
      </w:r>
    </w:p>
    <w:p w14:paraId="7AB2D023" w14:textId="77777777" w:rsidR="001C1177" w:rsidRPr="001C1177" w:rsidRDefault="001C1177">
      <w:pPr>
        <w:rPr>
          <w:b/>
        </w:rPr>
      </w:pPr>
      <w:r w:rsidRPr="001C1177">
        <w:rPr>
          <w:b/>
        </w:rPr>
        <w:t>Panevėžio miesto savivaldybės administracija</w:t>
      </w:r>
      <w:r>
        <w:rPr>
          <w:b/>
        </w:rPr>
        <w:tab/>
      </w:r>
      <w:r>
        <w:rPr>
          <w:b/>
        </w:rPr>
        <w:tab/>
      </w:r>
      <w:r w:rsidR="006F377D">
        <w:rPr>
          <w:b/>
        </w:rPr>
        <w:tab/>
      </w:r>
      <w:r>
        <w:rPr>
          <w:b/>
        </w:rPr>
        <w:tab/>
      </w:r>
      <w:r>
        <w:rPr>
          <w:b/>
        </w:rPr>
        <w:tab/>
        <w:t>AB „HISK“</w:t>
      </w:r>
    </w:p>
    <w:p w14:paraId="7AB2D024" w14:textId="77777777" w:rsidR="001C1177" w:rsidRDefault="001C1177">
      <w:r>
        <w:t>Administracijos direktorius</w:t>
      </w:r>
      <w:r w:rsidR="007D2F13">
        <w:t xml:space="preserve"> Tomas Jukna</w:t>
      </w:r>
      <w:r>
        <w:tab/>
      </w:r>
      <w:r>
        <w:tab/>
      </w:r>
      <w:r>
        <w:tab/>
      </w:r>
      <w:r w:rsidR="006F377D">
        <w:tab/>
      </w:r>
      <w:r>
        <w:tab/>
        <w:t>Generalinis direktorius</w:t>
      </w:r>
      <w:r w:rsidR="007D2F13">
        <w:t xml:space="preserve"> Rolandas </w:t>
      </w:r>
      <w:proofErr w:type="spellStart"/>
      <w:r w:rsidR="007D2F13">
        <w:t>Zabileviči</w:t>
      </w:r>
      <w:r w:rsidR="007D2F13" w:rsidRPr="00937F61">
        <w:t>us</w:t>
      </w:r>
      <w:proofErr w:type="spellEnd"/>
    </w:p>
    <w:sectPr w:rsidR="001C1177" w:rsidSect="001C1177">
      <w:pgSz w:w="16838" w:h="11906" w:orient="landscape"/>
      <w:pgMar w:top="1134" w:right="567" w:bottom="851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6D"/>
    <w:rsid w:val="00001433"/>
    <w:rsid w:val="00025B24"/>
    <w:rsid w:val="000A3F6D"/>
    <w:rsid w:val="00142032"/>
    <w:rsid w:val="001C1177"/>
    <w:rsid w:val="001D6D44"/>
    <w:rsid w:val="00202A57"/>
    <w:rsid w:val="003C036A"/>
    <w:rsid w:val="003D2E25"/>
    <w:rsid w:val="003F445F"/>
    <w:rsid w:val="005C5CE9"/>
    <w:rsid w:val="005D097A"/>
    <w:rsid w:val="006F377D"/>
    <w:rsid w:val="007D2F13"/>
    <w:rsid w:val="008E6029"/>
    <w:rsid w:val="009C3762"/>
    <w:rsid w:val="00B25A1D"/>
    <w:rsid w:val="00B75A64"/>
    <w:rsid w:val="00BC2B3E"/>
    <w:rsid w:val="00C319D4"/>
    <w:rsid w:val="00D36A75"/>
    <w:rsid w:val="00DE0732"/>
    <w:rsid w:val="00E1097A"/>
    <w:rsid w:val="00F8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C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3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A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B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B24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3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A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B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B24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1399</Words>
  <Characters>798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Puidokaitė</dc:creator>
  <cp:lastModifiedBy>Eglė Mickevičienė</cp:lastModifiedBy>
  <cp:revision>2</cp:revision>
  <cp:lastPrinted>2022-05-05T10:48:00Z</cp:lastPrinted>
  <dcterms:created xsi:type="dcterms:W3CDTF">2022-05-05T10:49:00Z</dcterms:created>
  <dcterms:modified xsi:type="dcterms:W3CDTF">2022-05-05T10:49:00Z</dcterms:modified>
</cp:coreProperties>
</file>