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60C7A81A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NEATLIEKAMŲ DARBŲ Nr. 1</w:t>
      </w:r>
      <w:r w:rsidR="00A65F95">
        <w:rPr>
          <w:rFonts w:ascii="Arial" w:hAnsi="Arial" w:cs="Arial"/>
          <w:b/>
        </w:rPr>
        <w:t>7</w:t>
      </w:r>
    </w:p>
    <w:p w14:paraId="3576B2CE" w14:textId="21AC57E0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08-</w:t>
      </w:r>
      <w:r w:rsidR="008656B9">
        <w:rPr>
          <w:rFonts w:ascii="Arial" w:hAnsi="Arial" w:cs="Arial"/>
          <w:sz w:val="22"/>
          <w:szCs w:val="22"/>
        </w:rPr>
        <w:t>20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2B348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2B348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2B348C" w:rsidRDefault="008656B9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D589C" w:rsidRPr="002B348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2B348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sz w:val="22"/>
          <w:szCs w:val="22"/>
        </w:rPr>
        <w:t>„</w:t>
      </w:r>
      <w:r w:rsidR="00782B72" w:rsidRPr="002B348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5A998F95" w14:textId="0B8DCFE8" w:rsidR="00A65F95" w:rsidRDefault="00A65F95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 iškilo poreikis atlikti būtinus darbus, susijusius su elektros įvado galios didinimu dėl automobilių stovėjimo aikštelės sertifikavimo bei kitų paslaugų vystymo ir naujos 10/0,4 </w:t>
      </w:r>
      <w:proofErr w:type="spellStart"/>
      <w:r>
        <w:rPr>
          <w:rFonts w:ascii="Arial" w:hAnsi="Arial" w:cs="Arial"/>
          <w:sz w:val="22"/>
          <w:szCs w:val="22"/>
        </w:rPr>
        <w:t>kV</w:t>
      </w:r>
      <w:proofErr w:type="spellEnd"/>
      <w:r>
        <w:rPr>
          <w:rFonts w:ascii="Arial" w:hAnsi="Arial" w:cs="Arial"/>
          <w:sz w:val="22"/>
          <w:szCs w:val="22"/>
        </w:rPr>
        <w:t xml:space="preserve"> modulinės transformatorinės įrengimo (prijungiant ją prie ESO elektros tinklų);</w:t>
      </w:r>
    </w:p>
    <w:p w14:paraId="3AF4F4E4" w14:textId="01F89628" w:rsidR="00A65F95" w:rsidRPr="002B348C" w:rsidRDefault="00A65F95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Užsakovas, po konsultacijų su ESO, pageidauja šiuos papildomus darbus vykdyti elektros energijos prijungimo su savo rangovu/ </w:t>
      </w:r>
      <w:proofErr w:type="spellStart"/>
      <w:r>
        <w:rPr>
          <w:rFonts w:ascii="Arial" w:hAnsi="Arial" w:cs="Arial"/>
          <w:sz w:val="22"/>
          <w:szCs w:val="22"/>
        </w:rPr>
        <w:t>Fast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track</w:t>
      </w:r>
      <w:proofErr w:type="spellEnd"/>
      <w:r>
        <w:rPr>
          <w:rFonts w:ascii="Arial" w:hAnsi="Arial" w:cs="Arial"/>
          <w:sz w:val="22"/>
          <w:szCs w:val="22"/>
        </w:rPr>
        <w:t xml:space="preserve"> būdu, </w:t>
      </w:r>
      <w:r w:rsidR="00301486">
        <w:rPr>
          <w:rFonts w:ascii="Arial" w:hAnsi="Arial" w:cs="Arial"/>
          <w:sz w:val="22"/>
          <w:szCs w:val="22"/>
        </w:rPr>
        <w:t>kadangi šių darbų pirkimas yra reikalaujantis didelės skubos siekiant vykdyti Sutartimi numatytus darbus Sutartimi numatytais terminais;</w:t>
      </w:r>
    </w:p>
    <w:p w14:paraId="41E7CAA3" w14:textId="419D7066" w:rsidR="00CC7BFB" w:rsidRPr="002B348C" w:rsidRDefault="00A65F95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Atsižvelgiant į aukščiau paminėtas aplinkybes</w:t>
      </w:r>
      <w:r w:rsidR="00CC7BFB" w:rsidRPr="002B348C">
        <w:rPr>
          <w:rFonts w:ascii="Arial" w:hAnsi="Arial" w:cs="Arial"/>
          <w:sz w:val="22"/>
          <w:szCs w:val="22"/>
        </w:rPr>
        <w:t>, dėl k</w:t>
      </w:r>
      <w:r w:rsidR="001507E5">
        <w:rPr>
          <w:rFonts w:ascii="Arial" w:hAnsi="Arial" w:cs="Arial"/>
          <w:sz w:val="22"/>
          <w:szCs w:val="22"/>
        </w:rPr>
        <w:t>urių</w:t>
      </w:r>
      <w:r w:rsidR="00CC7BFB" w:rsidRPr="002B348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="00CC7BFB"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="00CC7BFB" w:rsidRPr="002B348C">
        <w:rPr>
          <w:rFonts w:ascii="Arial" w:hAnsi="Arial" w:cs="Arial"/>
          <w:sz w:val="22"/>
          <w:szCs w:val="22"/>
        </w:rPr>
        <w:t xml:space="preserve"> sudaro </w:t>
      </w:r>
      <w:r w:rsidR="001507E5">
        <w:rPr>
          <w:rFonts w:ascii="Arial" w:hAnsi="Arial" w:cs="Arial"/>
          <w:sz w:val="22"/>
          <w:szCs w:val="22"/>
        </w:rPr>
        <w:t>106.</w:t>
      </w:r>
      <w:r>
        <w:rPr>
          <w:rFonts w:ascii="Arial" w:hAnsi="Arial" w:cs="Arial"/>
          <w:sz w:val="22"/>
          <w:szCs w:val="22"/>
        </w:rPr>
        <w:t>099,17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="00CC7BFB"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="00CC7BFB" w:rsidRPr="002B348C">
        <w:rPr>
          <w:rFonts w:ascii="Arial" w:hAnsi="Arial" w:cs="Arial"/>
          <w:sz w:val="22"/>
          <w:szCs w:val="22"/>
        </w:rPr>
        <w:t xml:space="preserve">; </w:t>
      </w:r>
    </w:p>
    <w:p w14:paraId="260A69B2" w14:textId="1653B5AD" w:rsidR="00CB2B92" w:rsidRPr="002B348C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0D8FD729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>, sudaro šį susitarimą Nr. 1</w:t>
      </w:r>
      <w:r w:rsidR="00D6272B">
        <w:rPr>
          <w:rFonts w:ascii="Arial" w:hAnsi="Arial" w:cs="Arial"/>
          <w:sz w:val="22"/>
          <w:szCs w:val="22"/>
        </w:rPr>
        <w:t>7</w:t>
      </w:r>
      <w:r w:rsidRPr="002B348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8656B9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6E6652BC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8B3525">
        <w:rPr>
          <w:rFonts w:ascii="Arial" w:hAnsi="Arial" w:cs="Arial"/>
          <w:kern w:val="28"/>
          <w:sz w:val="22"/>
          <w:szCs w:val="22"/>
        </w:rPr>
        <w:t>128.380,00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vienas šimtas dvidešimt </w:t>
      </w:r>
      <w:r w:rsidR="008B3525">
        <w:rPr>
          <w:rFonts w:ascii="Arial" w:hAnsi="Arial" w:cs="Arial"/>
          <w:kern w:val="28"/>
          <w:sz w:val="22"/>
          <w:szCs w:val="22"/>
        </w:rPr>
        <w:t>aštuoni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tūkstančiai </w:t>
      </w:r>
      <w:r w:rsidR="008B3525">
        <w:rPr>
          <w:rFonts w:ascii="Arial" w:hAnsi="Arial" w:cs="Arial"/>
          <w:kern w:val="28"/>
          <w:sz w:val="22"/>
          <w:szCs w:val="22"/>
        </w:rPr>
        <w:t>trys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šimtai </w:t>
      </w:r>
      <w:r w:rsidR="008B3525">
        <w:rPr>
          <w:rFonts w:ascii="Arial" w:hAnsi="Arial" w:cs="Arial"/>
          <w:kern w:val="28"/>
          <w:sz w:val="22"/>
          <w:szCs w:val="22"/>
        </w:rPr>
        <w:t>aštuoniasdešimt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eurų, </w:t>
      </w:r>
      <w:r w:rsidR="008B3525">
        <w:rPr>
          <w:rFonts w:ascii="Arial" w:hAnsi="Arial" w:cs="Arial"/>
          <w:kern w:val="28"/>
          <w:sz w:val="22"/>
          <w:szCs w:val="22"/>
        </w:rPr>
        <w:t>00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2096536B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8143DD">
        <w:rPr>
          <w:rFonts w:ascii="Arial" w:hAnsi="Arial" w:cs="Arial"/>
          <w:kern w:val="28"/>
          <w:sz w:val="22"/>
          <w:szCs w:val="22"/>
        </w:rPr>
        <w:t>106.</w:t>
      </w:r>
      <w:r w:rsidR="008B3525">
        <w:rPr>
          <w:rFonts w:ascii="Arial" w:hAnsi="Arial" w:cs="Arial"/>
          <w:kern w:val="28"/>
          <w:sz w:val="22"/>
          <w:szCs w:val="22"/>
        </w:rPr>
        <w:t>099</w:t>
      </w:r>
      <w:r w:rsidR="008143DD">
        <w:rPr>
          <w:rFonts w:ascii="Arial" w:hAnsi="Arial" w:cs="Arial"/>
          <w:kern w:val="28"/>
          <w:sz w:val="22"/>
          <w:szCs w:val="22"/>
        </w:rPr>
        <w:t>,</w:t>
      </w:r>
      <w:r w:rsidR="008B3525">
        <w:rPr>
          <w:rFonts w:ascii="Arial" w:hAnsi="Arial" w:cs="Arial"/>
          <w:kern w:val="28"/>
          <w:sz w:val="22"/>
          <w:szCs w:val="22"/>
        </w:rPr>
        <w:t>17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vienas šimtas šeši tūkstančiai devyni</w:t>
      </w:r>
      <w:r w:rsidR="008B3525">
        <w:rPr>
          <w:rFonts w:ascii="Arial" w:hAnsi="Arial" w:cs="Arial"/>
          <w:kern w:val="28"/>
          <w:sz w:val="22"/>
          <w:szCs w:val="22"/>
        </w:rPr>
        <w:t xml:space="preserve">asdešimt devyni 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eurai, </w:t>
      </w:r>
      <w:r w:rsidR="008B3525">
        <w:rPr>
          <w:rFonts w:ascii="Arial" w:hAnsi="Arial" w:cs="Arial"/>
          <w:kern w:val="28"/>
          <w:sz w:val="22"/>
          <w:szCs w:val="22"/>
        </w:rPr>
        <w:t>17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4992D2AA" w:rsidR="00DE7EB8" w:rsidRPr="002B348C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8143DD">
        <w:rPr>
          <w:rFonts w:ascii="Arial" w:hAnsi="Arial" w:cs="Arial"/>
          <w:kern w:val="28"/>
          <w:sz w:val="22"/>
          <w:szCs w:val="22"/>
        </w:rPr>
        <w:t>22.</w:t>
      </w:r>
      <w:r w:rsidR="008B3525">
        <w:rPr>
          <w:rFonts w:ascii="Arial" w:hAnsi="Arial" w:cs="Arial"/>
          <w:kern w:val="28"/>
          <w:sz w:val="22"/>
          <w:szCs w:val="22"/>
        </w:rPr>
        <w:t xml:space="preserve">280,83 </w:t>
      </w:r>
      <w:r w:rsidRPr="002B348C">
        <w:rPr>
          <w:rFonts w:ascii="Arial" w:hAnsi="Arial" w:cs="Arial"/>
          <w:sz w:val="22"/>
          <w:szCs w:val="22"/>
        </w:rPr>
        <w:t>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dvidešimt du tūkstančiai </w:t>
      </w:r>
      <w:r w:rsidR="008B3525">
        <w:rPr>
          <w:rFonts w:ascii="Arial" w:hAnsi="Arial" w:cs="Arial"/>
          <w:kern w:val="28"/>
          <w:sz w:val="22"/>
          <w:szCs w:val="22"/>
        </w:rPr>
        <w:t>du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šimtai </w:t>
      </w:r>
      <w:r w:rsidR="008B3525">
        <w:rPr>
          <w:rFonts w:ascii="Arial" w:hAnsi="Arial" w:cs="Arial"/>
          <w:kern w:val="28"/>
          <w:sz w:val="22"/>
          <w:szCs w:val="22"/>
        </w:rPr>
        <w:t>aštuoniasdešimt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eurų, </w:t>
      </w:r>
      <w:r w:rsidR="008B3525">
        <w:rPr>
          <w:rFonts w:ascii="Arial" w:hAnsi="Arial" w:cs="Arial"/>
          <w:kern w:val="28"/>
          <w:sz w:val="22"/>
          <w:szCs w:val="22"/>
        </w:rPr>
        <w:t>83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2B348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0CBFFE6E" w:rsidR="00063AD2" w:rsidRPr="002B348C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t>„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8B3525">
        <w:rPr>
          <w:rFonts w:ascii="Arial" w:hAnsi="Arial" w:cs="Arial"/>
          <w:i/>
          <w:iCs/>
          <w:sz w:val="22"/>
          <w:szCs w:val="22"/>
        </w:rPr>
        <w:t>572 109,54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EUR su PVM (du šimtai dvidešimt trys milijonai </w:t>
      </w:r>
      <w:r w:rsidR="008B3525">
        <w:rPr>
          <w:rFonts w:ascii="Arial" w:hAnsi="Arial" w:cs="Arial"/>
          <w:i/>
          <w:iCs/>
          <w:sz w:val="22"/>
          <w:szCs w:val="22"/>
        </w:rPr>
        <w:t>penki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8B3525">
        <w:rPr>
          <w:rFonts w:ascii="Arial" w:hAnsi="Arial" w:cs="Arial"/>
          <w:i/>
          <w:iCs/>
          <w:sz w:val="22"/>
          <w:szCs w:val="22"/>
        </w:rPr>
        <w:t>septyniasdešimt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 </w:t>
      </w:r>
      <w:r w:rsidR="008B3525">
        <w:rPr>
          <w:rFonts w:ascii="Arial" w:hAnsi="Arial" w:cs="Arial"/>
          <w:i/>
          <w:iCs/>
          <w:sz w:val="22"/>
          <w:szCs w:val="22"/>
        </w:rPr>
        <w:t>du</w:t>
      </w:r>
      <w:r w:rsidR="007B75EB">
        <w:rPr>
          <w:rFonts w:ascii="Arial" w:hAnsi="Arial" w:cs="Arial"/>
          <w:i/>
          <w:iCs/>
          <w:sz w:val="22"/>
          <w:szCs w:val="22"/>
        </w:rPr>
        <w:t xml:space="preserve"> </w:t>
      </w:r>
      <w:r w:rsidR="000B3BDD">
        <w:rPr>
          <w:rFonts w:ascii="Arial" w:hAnsi="Arial" w:cs="Arial"/>
          <w:i/>
          <w:iCs/>
          <w:sz w:val="22"/>
          <w:szCs w:val="22"/>
        </w:rPr>
        <w:t>tūkstanči</w:t>
      </w:r>
      <w:r w:rsidR="00DA240D">
        <w:rPr>
          <w:rFonts w:ascii="Arial" w:hAnsi="Arial" w:cs="Arial"/>
          <w:i/>
          <w:iCs/>
          <w:sz w:val="22"/>
          <w:szCs w:val="22"/>
        </w:rPr>
        <w:t>ai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8B3525">
        <w:rPr>
          <w:rFonts w:ascii="Arial" w:hAnsi="Arial" w:cs="Arial"/>
          <w:i/>
          <w:iCs/>
          <w:sz w:val="22"/>
          <w:szCs w:val="22"/>
        </w:rPr>
        <w:t xml:space="preserve">vienas šimtas </w:t>
      </w:r>
      <w:r w:rsidR="00DA240D">
        <w:rPr>
          <w:rFonts w:ascii="Arial" w:hAnsi="Arial" w:cs="Arial"/>
          <w:i/>
          <w:iCs/>
          <w:sz w:val="22"/>
          <w:szCs w:val="22"/>
        </w:rPr>
        <w:t>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eurai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DA240D">
        <w:rPr>
          <w:rFonts w:ascii="Arial" w:hAnsi="Arial" w:cs="Arial"/>
          <w:i/>
          <w:iCs/>
          <w:sz w:val="22"/>
          <w:szCs w:val="22"/>
        </w:rPr>
        <w:t>54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centa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184 </w:t>
      </w:r>
      <w:r w:rsidR="008B3525">
        <w:rPr>
          <w:rFonts w:ascii="Arial" w:hAnsi="Arial" w:cs="Arial"/>
          <w:i/>
          <w:iCs/>
          <w:sz w:val="22"/>
          <w:szCs w:val="22"/>
        </w:rPr>
        <w:t>770 338,46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(vienas šimtas aštuoniasdešimt keturi milijonai </w:t>
      </w:r>
      <w:r w:rsidR="008B3525">
        <w:rPr>
          <w:rFonts w:ascii="Arial" w:hAnsi="Arial" w:cs="Arial"/>
          <w:i/>
          <w:iCs/>
          <w:sz w:val="22"/>
          <w:szCs w:val="22"/>
        </w:rPr>
        <w:t xml:space="preserve">septyni 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šimtai </w:t>
      </w:r>
      <w:r w:rsidR="008B3525">
        <w:rPr>
          <w:rFonts w:ascii="Arial" w:hAnsi="Arial" w:cs="Arial"/>
          <w:i/>
          <w:iCs/>
          <w:sz w:val="22"/>
          <w:szCs w:val="22"/>
        </w:rPr>
        <w:t>septyn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0B3BDD">
        <w:rPr>
          <w:rFonts w:ascii="Arial" w:hAnsi="Arial" w:cs="Arial"/>
          <w:i/>
          <w:iCs/>
          <w:sz w:val="22"/>
          <w:szCs w:val="22"/>
        </w:rPr>
        <w:t>tūkstanči</w:t>
      </w:r>
      <w:r w:rsidR="008B3525">
        <w:rPr>
          <w:rFonts w:ascii="Arial" w:hAnsi="Arial" w:cs="Arial"/>
          <w:i/>
          <w:iCs/>
          <w:sz w:val="22"/>
          <w:szCs w:val="22"/>
        </w:rPr>
        <w:t>ų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8B3525">
        <w:rPr>
          <w:rFonts w:ascii="Arial" w:hAnsi="Arial" w:cs="Arial"/>
          <w:i/>
          <w:iCs/>
          <w:sz w:val="22"/>
          <w:szCs w:val="22"/>
        </w:rPr>
        <w:t>trys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 šimtai trisdešimt </w:t>
      </w:r>
      <w:r w:rsidR="00D6272B">
        <w:rPr>
          <w:rFonts w:ascii="Arial" w:hAnsi="Arial" w:cs="Arial"/>
          <w:i/>
          <w:iCs/>
          <w:sz w:val="22"/>
          <w:szCs w:val="22"/>
        </w:rPr>
        <w:t>aštuoni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eurai </w:t>
      </w:r>
      <w:r w:rsidR="00D6272B">
        <w:rPr>
          <w:rFonts w:ascii="Arial" w:hAnsi="Arial" w:cs="Arial"/>
          <w:i/>
          <w:iCs/>
          <w:sz w:val="22"/>
          <w:szCs w:val="22"/>
        </w:rPr>
        <w:t>46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255D7231" w:rsidR="00A818EC" w:rsidRPr="002B348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9D481A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D6272B">
        <w:rPr>
          <w:rFonts w:ascii="Arial" w:hAnsi="Arial" w:cs="Arial"/>
          <w:kern w:val="28"/>
          <w:sz w:val="22"/>
          <w:szCs w:val="22"/>
        </w:rPr>
        <w:t>128.380,00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D6272B">
        <w:rPr>
          <w:rFonts w:ascii="Arial" w:hAnsi="Arial" w:cs="Arial"/>
          <w:i/>
          <w:iCs/>
          <w:sz w:val="22"/>
          <w:szCs w:val="22"/>
        </w:rPr>
        <w:t>572 109,54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2B348C" w:rsidRDefault="008656B9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0A7B68" w:rsidRPr="002B348C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2B348C">
        <w:rPr>
          <w:rFonts w:ascii="Arial" w:hAnsi="Arial" w:cs="Arial"/>
          <w:sz w:val="22"/>
          <w:szCs w:val="22"/>
        </w:rPr>
        <w:t>darbų atliko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lastRenderedPageBreak/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0B335E6A" w:rsidR="00244E6E" w:rsidRPr="002B348C" w:rsidRDefault="00D6272B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DE5AEF"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="00DE5AEF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1</w:t>
      </w:r>
      <w:r>
        <w:rPr>
          <w:rFonts w:ascii="Arial" w:hAnsi="Arial" w:cs="Arial"/>
          <w:kern w:val="28"/>
          <w:sz w:val="22"/>
          <w:szCs w:val="22"/>
          <w:lang w:val="en-US"/>
        </w:rPr>
        <w:t>7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8656B9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8656B9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8656B9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1486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C614C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276"/>
    <w:rsid w:val="007B4675"/>
    <w:rsid w:val="007B75EB"/>
    <w:rsid w:val="007C209F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6B9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3525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65F95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272B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2B34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649A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581E4A"/>
    <w:rsid w:val="00583D73"/>
    <w:rsid w:val="005B4745"/>
    <w:rsid w:val="0069587C"/>
    <w:rsid w:val="007D57AF"/>
    <w:rsid w:val="007D622A"/>
    <w:rsid w:val="007E32C8"/>
    <w:rsid w:val="00816837"/>
    <w:rsid w:val="008E0E7D"/>
    <w:rsid w:val="008E5B34"/>
    <w:rsid w:val="00950A2B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E32B34"/>
    <w:rsid w:val="00E7649A"/>
    <w:rsid w:val="00F1312C"/>
    <w:rsid w:val="00FC3CE9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3</cp:revision>
  <cp:lastPrinted>2022-05-21T03:11:00Z</cp:lastPrinted>
  <dcterms:created xsi:type="dcterms:W3CDTF">2024-08-20T05:34:00Z</dcterms:created>
  <dcterms:modified xsi:type="dcterms:W3CDTF">2024-08-20T06:02:00Z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