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B640C" w14:textId="77777777" w:rsidR="00F40FAA" w:rsidRPr="00F40FAA" w:rsidRDefault="00F40FAA" w:rsidP="00F40FAA">
      <w:pPr>
        <w:spacing w:after="0" w:line="240" w:lineRule="auto"/>
        <w:ind w:firstLine="6237"/>
        <w:rPr>
          <w:bCs/>
          <w:szCs w:val="24"/>
        </w:rPr>
      </w:pPr>
      <w:r w:rsidRPr="00F40FAA">
        <w:rPr>
          <w:bCs/>
          <w:szCs w:val="24"/>
        </w:rPr>
        <w:t>2024 m.                              d.</w:t>
      </w:r>
    </w:p>
    <w:p w14:paraId="043A0C09" w14:textId="2F4A177F" w:rsidR="00F40FAA" w:rsidRPr="00F40FAA" w:rsidRDefault="00F40FAA" w:rsidP="00F40FAA">
      <w:pPr>
        <w:spacing w:after="0" w:line="240" w:lineRule="auto"/>
        <w:ind w:left="6237" w:right="-143"/>
        <w:contextualSpacing/>
        <w:rPr>
          <w:bCs/>
          <w:szCs w:val="24"/>
        </w:rPr>
      </w:pPr>
      <w:r w:rsidRPr="00F40FAA">
        <w:rPr>
          <w:bCs/>
          <w:szCs w:val="24"/>
        </w:rPr>
        <w:t xml:space="preserve">paslaugų viešojo pirkimo–pardavimo </w:t>
      </w:r>
      <w:r w:rsidRPr="00F40FAA">
        <w:rPr>
          <w:szCs w:val="24"/>
        </w:rPr>
        <w:t>sutarties Nr.   priedas</w:t>
      </w:r>
    </w:p>
    <w:p w14:paraId="41EC696B" w14:textId="77777777" w:rsidR="00F40FAA" w:rsidRPr="00F40FAA" w:rsidRDefault="00F40FAA" w:rsidP="00F40FAA">
      <w:pPr>
        <w:tabs>
          <w:tab w:val="left" w:pos="1701"/>
        </w:tabs>
        <w:spacing w:after="0"/>
        <w:jc w:val="center"/>
        <w:rPr>
          <w:b/>
          <w:szCs w:val="24"/>
        </w:rPr>
      </w:pPr>
    </w:p>
    <w:p w14:paraId="1B85FCA1" w14:textId="51A2F442" w:rsidR="00F40FAA" w:rsidRDefault="00F40FAA" w:rsidP="009D6363">
      <w:pPr>
        <w:tabs>
          <w:tab w:val="left" w:pos="1701"/>
        </w:tabs>
        <w:spacing w:after="0"/>
        <w:jc w:val="center"/>
        <w:rPr>
          <w:b/>
          <w:szCs w:val="24"/>
        </w:rPr>
      </w:pPr>
      <w:r w:rsidRPr="00F40FAA">
        <w:rPr>
          <w:b/>
          <w:szCs w:val="24"/>
        </w:rPr>
        <w:t>TECHNINĖ SPECIFIKACIJA</w:t>
      </w:r>
    </w:p>
    <w:p w14:paraId="47E845B3" w14:textId="77777777" w:rsidR="009D6363" w:rsidRPr="009D6363" w:rsidRDefault="009D6363" w:rsidP="009D6363">
      <w:pPr>
        <w:tabs>
          <w:tab w:val="left" w:pos="1701"/>
        </w:tabs>
        <w:spacing w:after="0"/>
        <w:jc w:val="center"/>
        <w:rPr>
          <w:b/>
          <w:szCs w:val="24"/>
        </w:rPr>
      </w:pPr>
    </w:p>
    <w:p w14:paraId="4FAADB32" w14:textId="24C96130" w:rsidR="00EF0B88" w:rsidRPr="00EF0B88" w:rsidRDefault="00EF0B88" w:rsidP="00A606E4">
      <w:pPr>
        <w:jc w:val="center"/>
        <w:rPr>
          <w:b/>
          <w:color w:val="000000"/>
          <w:szCs w:val="24"/>
        </w:rPr>
      </w:pPr>
      <w:r w:rsidRPr="00EF0B88">
        <w:rPr>
          <w:b/>
          <w:color w:val="000000"/>
          <w:szCs w:val="24"/>
        </w:rPr>
        <w:t>1. REIKALAVIMAI PIRKIMO OBJEKTUI</w:t>
      </w:r>
    </w:p>
    <w:p w14:paraId="68A7EF9E" w14:textId="77777777" w:rsidR="00EF0B88" w:rsidRPr="002C38D1" w:rsidRDefault="00EF0B88" w:rsidP="002C38D1">
      <w:pPr>
        <w:ind w:firstLine="567"/>
        <w:jc w:val="both"/>
        <w:rPr>
          <w:color w:val="000000"/>
          <w:szCs w:val="24"/>
        </w:rPr>
      </w:pPr>
      <w:r w:rsidRPr="002C38D1">
        <w:rPr>
          <w:iCs/>
          <w:color w:val="000000"/>
          <w:szCs w:val="24"/>
        </w:rPr>
        <w:t>1. Pirkimo objektą sudaro</w:t>
      </w:r>
      <w:r w:rsidRPr="002C38D1">
        <w:rPr>
          <w:color w:val="000000"/>
          <w:szCs w:val="24"/>
        </w:rPr>
        <w:t xml:space="preserve"> tarnybinių stočių apsaugos programinės įrangos </w:t>
      </w:r>
      <w:proofErr w:type="spellStart"/>
      <w:r w:rsidRPr="002C38D1">
        <w:rPr>
          <w:color w:val="000000"/>
          <w:szCs w:val="24"/>
        </w:rPr>
        <w:t>Trend</w:t>
      </w:r>
      <w:proofErr w:type="spellEnd"/>
      <w:r w:rsidRPr="002C38D1">
        <w:rPr>
          <w:color w:val="000000"/>
          <w:szCs w:val="24"/>
        </w:rPr>
        <w:t xml:space="preserve"> </w:t>
      </w:r>
      <w:proofErr w:type="spellStart"/>
      <w:r w:rsidRPr="002C38D1">
        <w:rPr>
          <w:color w:val="000000"/>
          <w:szCs w:val="24"/>
        </w:rPr>
        <w:t>Micro</w:t>
      </w:r>
      <w:proofErr w:type="spellEnd"/>
      <w:r w:rsidRPr="002C38D1">
        <w:rPr>
          <w:color w:val="000000"/>
          <w:szCs w:val="24"/>
        </w:rPr>
        <w:t xml:space="preserve"> su 1 metų palaikymo atnaujinimas (licencijų aktyvavimas) ir palaikymo paslaugos 1 metams ir naujų palaikymo paslaugų įsigijimas (palaikymo/licencijų aktyvavimas ir palaikymo paslaugos 1 metams (licencijų prenumerata):</w:t>
      </w:r>
    </w:p>
    <w:p w14:paraId="0DA0742B" w14:textId="77777777" w:rsidR="00EF0B88" w:rsidRPr="002C38D1" w:rsidRDefault="00EF0B88" w:rsidP="002C38D1">
      <w:pPr>
        <w:ind w:firstLine="567"/>
        <w:jc w:val="both"/>
        <w:rPr>
          <w:color w:val="000000"/>
          <w:szCs w:val="24"/>
        </w:rPr>
      </w:pPr>
      <w:r w:rsidRPr="002C38D1">
        <w:rPr>
          <w:color w:val="000000"/>
          <w:szCs w:val="24"/>
        </w:rPr>
        <w:t xml:space="preserve">1.1. bazinis apsaugos funkcionalumas </w:t>
      </w:r>
      <w:proofErr w:type="spellStart"/>
      <w:r w:rsidRPr="002C38D1">
        <w:rPr>
          <w:color w:val="000000"/>
          <w:szCs w:val="24"/>
        </w:rPr>
        <w:t>Trend</w:t>
      </w:r>
      <w:proofErr w:type="spellEnd"/>
      <w:r w:rsidRPr="002C38D1">
        <w:rPr>
          <w:color w:val="000000"/>
          <w:szCs w:val="24"/>
        </w:rPr>
        <w:t xml:space="preserve"> </w:t>
      </w:r>
      <w:proofErr w:type="spellStart"/>
      <w:r w:rsidRPr="002C38D1">
        <w:rPr>
          <w:color w:val="000000"/>
          <w:szCs w:val="24"/>
        </w:rPr>
        <w:t>Micro</w:t>
      </w:r>
      <w:proofErr w:type="spellEnd"/>
      <w:r w:rsidRPr="002C38D1">
        <w:rPr>
          <w:color w:val="000000"/>
          <w:szCs w:val="24"/>
        </w:rPr>
        <w:t xml:space="preserve"> </w:t>
      </w:r>
      <w:proofErr w:type="spellStart"/>
      <w:r w:rsidRPr="002C38D1">
        <w:rPr>
          <w:color w:val="000000"/>
          <w:szCs w:val="24"/>
        </w:rPr>
        <w:t>Cloud</w:t>
      </w:r>
      <w:proofErr w:type="spellEnd"/>
      <w:r w:rsidRPr="002C38D1">
        <w:rPr>
          <w:color w:val="000000"/>
          <w:szCs w:val="24"/>
        </w:rPr>
        <w:t xml:space="preserve"> One – </w:t>
      </w:r>
      <w:proofErr w:type="spellStart"/>
      <w:r w:rsidRPr="002C38D1">
        <w:rPr>
          <w:color w:val="000000"/>
          <w:szCs w:val="24"/>
        </w:rPr>
        <w:t>Endpoint</w:t>
      </w:r>
      <w:proofErr w:type="spellEnd"/>
      <w:r w:rsidRPr="002C38D1">
        <w:rPr>
          <w:color w:val="000000"/>
          <w:szCs w:val="24"/>
        </w:rPr>
        <w:t xml:space="preserve"> </w:t>
      </w:r>
      <w:proofErr w:type="spellStart"/>
      <w:r w:rsidRPr="002C38D1">
        <w:rPr>
          <w:color w:val="000000"/>
          <w:szCs w:val="24"/>
        </w:rPr>
        <w:t>Security</w:t>
      </w:r>
      <w:proofErr w:type="spellEnd"/>
      <w:r w:rsidRPr="002C38D1">
        <w:rPr>
          <w:color w:val="000000"/>
          <w:szCs w:val="24"/>
        </w:rPr>
        <w:t xml:space="preserve"> </w:t>
      </w:r>
      <w:proofErr w:type="spellStart"/>
      <w:r w:rsidRPr="002C38D1">
        <w:rPr>
          <w:color w:val="000000"/>
          <w:szCs w:val="24"/>
        </w:rPr>
        <w:t>with</w:t>
      </w:r>
      <w:proofErr w:type="spellEnd"/>
      <w:r w:rsidRPr="002C38D1">
        <w:rPr>
          <w:color w:val="000000"/>
          <w:szCs w:val="24"/>
        </w:rPr>
        <w:t xml:space="preserve"> XDR (</w:t>
      </w:r>
      <w:proofErr w:type="spellStart"/>
      <w:r w:rsidRPr="002C38D1">
        <w:rPr>
          <w:color w:val="000000"/>
          <w:szCs w:val="24"/>
        </w:rPr>
        <w:t>includes</w:t>
      </w:r>
      <w:proofErr w:type="spellEnd"/>
      <w:r w:rsidRPr="002C38D1">
        <w:rPr>
          <w:color w:val="000000"/>
          <w:szCs w:val="24"/>
        </w:rPr>
        <w:t xml:space="preserve"> ASRM </w:t>
      </w:r>
      <w:proofErr w:type="spellStart"/>
      <w:r w:rsidRPr="002C38D1">
        <w:rPr>
          <w:color w:val="000000"/>
          <w:szCs w:val="24"/>
        </w:rPr>
        <w:t>addon</w:t>
      </w:r>
      <w:proofErr w:type="spellEnd"/>
      <w:r w:rsidRPr="002C38D1">
        <w:rPr>
          <w:color w:val="000000"/>
          <w:szCs w:val="24"/>
        </w:rPr>
        <w:t xml:space="preserve">), </w:t>
      </w:r>
      <w:proofErr w:type="spellStart"/>
      <w:r w:rsidRPr="002C38D1">
        <w:rPr>
          <w:color w:val="000000"/>
          <w:szCs w:val="24"/>
        </w:rPr>
        <w:t>Government</w:t>
      </w:r>
      <w:proofErr w:type="spellEnd"/>
      <w:r w:rsidRPr="002C38D1">
        <w:rPr>
          <w:color w:val="000000"/>
          <w:szCs w:val="24"/>
        </w:rPr>
        <w:t xml:space="preserve">, 251-500 </w:t>
      </w:r>
      <w:proofErr w:type="spellStart"/>
      <w:r w:rsidRPr="002C38D1">
        <w:rPr>
          <w:color w:val="000000"/>
          <w:szCs w:val="24"/>
        </w:rPr>
        <w:t>License</w:t>
      </w:r>
      <w:proofErr w:type="spellEnd"/>
      <w:r w:rsidRPr="002C38D1">
        <w:rPr>
          <w:color w:val="000000"/>
          <w:szCs w:val="24"/>
        </w:rPr>
        <w:t xml:space="preserve">, 12 </w:t>
      </w:r>
      <w:proofErr w:type="spellStart"/>
      <w:r w:rsidRPr="002C38D1">
        <w:rPr>
          <w:color w:val="000000"/>
          <w:szCs w:val="24"/>
        </w:rPr>
        <w:t>months</w:t>
      </w:r>
      <w:proofErr w:type="spellEnd"/>
      <w:r w:rsidRPr="002C38D1">
        <w:rPr>
          <w:color w:val="000000"/>
          <w:szCs w:val="24"/>
        </w:rPr>
        <w:t>, licencijų atnaujinimas (palaikymo atnaujinimas (licencijų aktyvavimas) ir palaikymo paslaugos 1 metams) – 300 vnt.;</w:t>
      </w:r>
    </w:p>
    <w:p w14:paraId="5F953B15" w14:textId="77777777" w:rsidR="00EF0B88" w:rsidRPr="002C38D1" w:rsidRDefault="00EF0B88" w:rsidP="002C38D1">
      <w:pPr>
        <w:ind w:firstLine="567"/>
        <w:jc w:val="both"/>
        <w:rPr>
          <w:color w:val="000000"/>
          <w:szCs w:val="24"/>
        </w:rPr>
      </w:pPr>
      <w:r w:rsidRPr="002C38D1">
        <w:rPr>
          <w:color w:val="000000"/>
          <w:szCs w:val="24"/>
        </w:rPr>
        <w:t xml:space="preserve">1.2. bazinis apsaugos funkcionalumas </w:t>
      </w:r>
      <w:proofErr w:type="spellStart"/>
      <w:r w:rsidRPr="002C38D1">
        <w:rPr>
          <w:color w:val="000000"/>
          <w:szCs w:val="24"/>
        </w:rPr>
        <w:t>Trend</w:t>
      </w:r>
      <w:proofErr w:type="spellEnd"/>
      <w:r w:rsidRPr="002C38D1">
        <w:rPr>
          <w:color w:val="000000"/>
          <w:szCs w:val="24"/>
        </w:rPr>
        <w:t xml:space="preserve"> </w:t>
      </w:r>
      <w:proofErr w:type="spellStart"/>
      <w:r w:rsidRPr="002C38D1">
        <w:rPr>
          <w:color w:val="000000"/>
          <w:szCs w:val="24"/>
        </w:rPr>
        <w:t>Micro</w:t>
      </w:r>
      <w:proofErr w:type="spellEnd"/>
      <w:r w:rsidRPr="002C38D1">
        <w:rPr>
          <w:color w:val="000000"/>
          <w:szCs w:val="24"/>
        </w:rPr>
        <w:t xml:space="preserve"> </w:t>
      </w:r>
      <w:proofErr w:type="spellStart"/>
      <w:r w:rsidRPr="002C38D1">
        <w:rPr>
          <w:color w:val="000000"/>
          <w:szCs w:val="24"/>
        </w:rPr>
        <w:t>Cloud</w:t>
      </w:r>
      <w:proofErr w:type="spellEnd"/>
      <w:r w:rsidRPr="002C38D1">
        <w:rPr>
          <w:color w:val="000000"/>
          <w:szCs w:val="24"/>
        </w:rPr>
        <w:t xml:space="preserve"> One – </w:t>
      </w:r>
      <w:proofErr w:type="spellStart"/>
      <w:r w:rsidRPr="002C38D1">
        <w:rPr>
          <w:color w:val="000000"/>
          <w:szCs w:val="24"/>
        </w:rPr>
        <w:t>Endpoint</w:t>
      </w:r>
      <w:proofErr w:type="spellEnd"/>
      <w:r w:rsidRPr="002C38D1">
        <w:rPr>
          <w:color w:val="000000"/>
          <w:szCs w:val="24"/>
        </w:rPr>
        <w:t xml:space="preserve"> </w:t>
      </w:r>
      <w:proofErr w:type="spellStart"/>
      <w:r w:rsidRPr="002C38D1">
        <w:rPr>
          <w:color w:val="000000"/>
          <w:szCs w:val="24"/>
        </w:rPr>
        <w:t>Security</w:t>
      </w:r>
      <w:proofErr w:type="spellEnd"/>
      <w:r w:rsidRPr="002C38D1">
        <w:rPr>
          <w:color w:val="000000"/>
          <w:szCs w:val="24"/>
        </w:rPr>
        <w:t xml:space="preserve"> </w:t>
      </w:r>
      <w:proofErr w:type="spellStart"/>
      <w:r w:rsidRPr="002C38D1">
        <w:rPr>
          <w:color w:val="000000"/>
          <w:szCs w:val="24"/>
        </w:rPr>
        <w:t>with</w:t>
      </w:r>
      <w:proofErr w:type="spellEnd"/>
      <w:r w:rsidRPr="002C38D1">
        <w:rPr>
          <w:color w:val="000000"/>
          <w:szCs w:val="24"/>
        </w:rPr>
        <w:t xml:space="preserve"> XDR (</w:t>
      </w:r>
      <w:proofErr w:type="spellStart"/>
      <w:r w:rsidRPr="002C38D1">
        <w:rPr>
          <w:color w:val="000000"/>
          <w:szCs w:val="24"/>
        </w:rPr>
        <w:t>includes</w:t>
      </w:r>
      <w:proofErr w:type="spellEnd"/>
      <w:r w:rsidRPr="002C38D1">
        <w:rPr>
          <w:color w:val="000000"/>
          <w:szCs w:val="24"/>
        </w:rPr>
        <w:t xml:space="preserve"> ASRM </w:t>
      </w:r>
      <w:proofErr w:type="spellStart"/>
      <w:r w:rsidRPr="002C38D1">
        <w:rPr>
          <w:color w:val="000000"/>
          <w:szCs w:val="24"/>
        </w:rPr>
        <w:t>addon</w:t>
      </w:r>
      <w:proofErr w:type="spellEnd"/>
      <w:r w:rsidRPr="002C38D1">
        <w:rPr>
          <w:color w:val="000000"/>
          <w:szCs w:val="24"/>
        </w:rPr>
        <w:t xml:space="preserve">), </w:t>
      </w:r>
      <w:proofErr w:type="spellStart"/>
      <w:r w:rsidRPr="002C38D1">
        <w:rPr>
          <w:color w:val="000000"/>
          <w:szCs w:val="24"/>
        </w:rPr>
        <w:t>Government</w:t>
      </w:r>
      <w:proofErr w:type="spellEnd"/>
      <w:r w:rsidRPr="002C38D1">
        <w:rPr>
          <w:color w:val="000000"/>
          <w:szCs w:val="24"/>
        </w:rPr>
        <w:t xml:space="preserve">, 251-500 </w:t>
      </w:r>
      <w:proofErr w:type="spellStart"/>
      <w:r w:rsidRPr="002C38D1">
        <w:rPr>
          <w:color w:val="000000"/>
          <w:szCs w:val="24"/>
        </w:rPr>
        <w:t>License</w:t>
      </w:r>
      <w:proofErr w:type="spellEnd"/>
      <w:r w:rsidRPr="002C38D1">
        <w:rPr>
          <w:color w:val="000000"/>
          <w:szCs w:val="24"/>
        </w:rPr>
        <w:t xml:space="preserve">, 12 </w:t>
      </w:r>
      <w:proofErr w:type="spellStart"/>
      <w:r w:rsidRPr="002C38D1">
        <w:rPr>
          <w:color w:val="000000"/>
          <w:szCs w:val="24"/>
        </w:rPr>
        <w:t>months</w:t>
      </w:r>
      <w:proofErr w:type="spellEnd"/>
      <w:r w:rsidRPr="002C38D1">
        <w:rPr>
          <w:color w:val="000000"/>
          <w:szCs w:val="24"/>
        </w:rPr>
        <w:t>, licencijų prenumerata – 100 vnt. su 1 metų palaikymu (naujų palaikymo paslaugų įsigijimas (palaikymo/licencijų aktyvavimas ir palaikymo paslaugos 1 metams);</w:t>
      </w:r>
    </w:p>
    <w:p w14:paraId="7B088DEF" w14:textId="77777777" w:rsidR="00EF0B88" w:rsidRPr="002C38D1" w:rsidRDefault="00EF0B88" w:rsidP="002C38D1">
      <w:pPr>
        <w:ind w:firstLine="567"/>
        <w:jc w:val="both"/>
        <w:rPr>
          <w:color w:val="000000"/>
          <w:szCs w:val="24"/>
        </w:rPr>
      </w:pPr>
      <w:r w:rsidRPr="002C38D1">
        <w:rPr>
          <w:color w:val="000000"/>
          <w:szCs w:val="24"/>
        </w:rPr>
        <w:t xml:space="preserve">1.3. bazinis ir papildomas apsaugos funkcionalumas </w:t>
      </w:r>
      <w:proofErr w:type="spellStart"/>
      <w:r w:rsidRPr="002C38D1">
        <w:rPr>
          <w:color w:val="000000"/>
          <w:szCs w:val="24"/>
        </w:rPr>
        <w:t>Trend</w:t>
      </w:r>
      <w:proofErr w:type="spellEnd"/>
      <w:r w:rsidRPr="002C38D1">
        <w:rPr>
          <w:color w:val="000000"/>
          <w:szCs w:val="24"/>
        </w:rPr>
        <w:t xml:space="preserve"> </w:t>
      </w:r>
      <w:proofErr w:type="spellStart"/>
      <w:r w:rsidRPr="002C38D1">
        <w:rPr>
          <w:color w:val="000000"/>
          <w:szCs w:val="24"/>
        </w:rPr>
        <w:t>Micro</w:t>
      </w:r>
      <w:proofErr w:type="spellEnd"/>
      <w:r w:rsidRPr="002C38D1">
        <w:rPr>
          <w:color w:val="000000"/>
          <w:szCs w:val="24"/>
        </w:rPr>
        <w:t xml:space="preserve"> </w:t>
      </w:r>
      <w:proofErr w:type="spellStart"/>
      <w:r w:rsidRPr="002C38D1">
        <w:rPr>
          <w:color w:val="000000"/>
          <w:szCs w:val="24"/>
        </w:rPr>
        <w:t>Cloud</w:t>
      </w:r>
      <w:proofErr w:type="spellEnd"/>
      <w:r w:rsidRPr="002C38D1">
        <w:rPr>
          <w:color w:val="000000"/>
          <w:szCs w:val="24"/>
        </w:rPr>
        <w:t xml:space="preserve"> One – </w:t>
      </w:r>
      <w:proofErr w:type="spellStart"/>
      <w:r w:rsidRPr="002C38D1">
        <w:rPr>
          <w:color w:val="000000"/>
          <w:szCs w:val="24"/>
        </w:rPr>
        <w:t>Workload</w:t>
      </w:r>
      <w:proofErr w:type="spellEnd"/>
      <w:r w:rsidRPr="002C38D1">
        <w:rPr>
          <w:color w:val="000000"/>
          <w:szCs w:val="24"/>
        </w:rPr>
        <w:t xml:space="preserve"> </w:t>
      </w:r>
      <w:proofErr w:type="spellStart"/>
      <w:r w:rsidRPr="002C38D1">
        <w:rPr>
          <w:color w:val="000000"/>
          <w:szCs w:val="24"/>
        </w:rPr>
        <w:t>Security</w:t>
      </w:r>
      <w:proofErr w:type="spellEnd"/>
      <w:r w:rsidRPr="002C38D1">
        <w:rPr>
          <w:color w:val="000000"/>
          <w:szCs w:val="24"/>
        </w:rPr>
        <w:t xml:space="preserve"> </w:t>
      </w:r>
      <w:proofErr w:type="spellStart"/>
      <w:r w:rsidRPr="002C38D1">
        <w:rPr>
          <w:color w:val="000000"/>
          <w:szCs w:val="24"/>
        </w:rPr>
        <w:t>with</w:t>
      </w:r>
      <w:proofErr w:type="spellEnd"/>
      <w:r w:rsidRPr="002C38D1">
        <w:rPr>
          <w:color w:val="000000"/>
          <w:szCs w:val="24"/>
        </w:rPr>
        <w:t xml:space="preserve"> XDR (</w:t>
      </w:r>
      <w:proofErr w:type="spellStart"/>
      <w:r w:rsidRPr="002C38D1">
        <w:rPr>
          <w:color w:val="000000"/>
          <w:szCs w:val="24"/>
        </w:rPr>
        <w:t>includes</w:t>
      </w:r>
      <w:proofErr w:type="spellEnd"/>
      <w:r w:rsidRPr="002C38D1">
        <w:rPr>
          <w:color w:val="000000"/>
          <w:szCs w:val="24"/>
        </w:rPr>
        <w:t xml:space="preserve"> ASRM </w:t>
      </w:r>
      <w:proofErr w:type="spellStart"/>
      <w:r w:rsidRPr="002C38D1">
        <w:rPr>
          <w:color w:val="000000"/>
          <w:szCs w:val="24"/>
        </w:rPr>
        <w:t>addon</w:t>
      </w:r>
      <w:proofErr w:type="spellEnd"/>
      <w:r w:rsidRPr="002C38D1">
        <w:rPr>
          <w:color w:val="000000"/>
          <w:szCs w:val="24"/>
        </w:rPr>
        <w:t xml:space="preserve">), </w:t>
      </w:r>
      <w:proofErr w:type="spellStart"/>
      <w:r w:rsidRPr="002C38D1">
        <w:rPr>
          <w:color w:val="000000"/>
          <w:szCs w:val="24"/>
        </w:rPr>
        <w:t>Government</w:t>
      </w:r>
      <w:proofErr w:type="spellEnd"/>
      <w:r w:rsidRPr="002C38D1">
        <w:rPr>
          <w:color w:val="000000"/>
          <w:szCs w:val="24"/>
        </w:rPr>
        <w:t xml:space="preserve">, 251-500 </w:t>
      </w:r>
      <w:proofErr w:type="spellStart"/>
      <w:r w:rsidRPr="002C38D1">
        <w:rPr>
          <w:color w:val="000000"/>
          <w:szCs w:val="24"/>
        </w:rPr>
        <w:t>License</w:t>
      </w:r>
      <w:proofErr w:type="spellEnd"/>
      <w:r w:rsidRPr="002C38D1">
        <w:rPr>
          <w:color w:val="000000"/>
          <w:szCs w:val="24"/>
        </w:rPr>
        <w:t xml:space="preserve">, 12 </w:t>
      </w:r>
      <w:proofErr w:type="spellStart"/>
      <w:r w:rsidRPr="002C38D1">
        <w:rPr>
          <w:color w:val="000000"/>
          <w:szCs w:val="24"/>
        </w:rPr>
        <w:t>months</w:t>
      </w:r>
      <w:proofErr w:type="spellEnd"/>
      <w:r w:rsidRPr="002C38D1">
        <w:rPr>
          <w:color w:val="000000"/>
          <w:szCs w:val="24"/>
        </w:rPr>
        <w:t>, licencijų atnaujinimas (palaikymo atnaujinimas (licencijų aktyvavimas) ir palaikymo paslaugos 1 metams) – 300 vnt.;</w:t>
      </w:r>
    </w:p>
    <w:p w14:paraId="123A0CF4" w14:textId="77777777" w:rsidR="00EF0B88" w:rsidRPr="002C38D1" w:rsidRDefault="00EF0B88" w:rsidP="002C38D1">
      <w:pPr>
        <w:ind w:firstLine="567"/>
        <w:jc w:val="both"/>
        <w:rPr>
          <w:color w:val="000000"/>
          <w:szCs w:val="24"/>
        </w:rPr>
      </w:pPr>
      <w:r w:rsidRPr="002C38D1">
        <w:rPr>
          <w:color w:val="000000"/>
          <w:szCs w:val="24"/>
        </w:rPr>
        <w:t xml:space="preserve">1.4. bazinis ir papildomas apsaugos funkcionalumas </w:t>
      </w:r>
      <w:proofErr w:type="spellStart"/>
      <w:r w:rsidRPr="002C38D1">
        <w:rPr>
          <w:color w:val="000000"/>
          <w:szCs w:val="24"/>
        </w:rPr>
        <w:t>Trend</w:t>
      </w:r>
      <w:proofErr w:type="spellEnd"/>
      <w:r w:rsidRPr="002C38D1">
        <w:rPr>
          <w:color w:val="000000"/>
          <w:szCs w:val="24"/>
        </w:rPr>
        <w:t xml:space="preserve"> </w:t>
      </w:r>
      <w:proofErr w:type="spellStart"/>
      <w:r w:rsidRPr="002C38D1">
        <w:rPr>
          <w:color w:val="000000"/>
          <w:szCs w:val="24"/>
        </w:rPr>
        <w:t>Micro</w:t>
      </w:r>
      <w:proofErr w:type="spellEnd"/>
      <w:r w:rsidRPr="002C38D1">
        <w:rPr>
          <w:color w:val="000000"/>
          <w:szCs w:val="24"/>
        </w:rPr>
        <w:t xml:space="preserve"> </w:t>
      </w:r>
      <w:proofErr w:type="spellStart"/>
      <w:r w:rsidRPr="002C38D1">
        <w:rPr>
          <w:color w:val="000000"/>
          <w:szCs w:val="24"/>
        </w:rPr>
        <w:t>Cloud</w:t>
      </w:r>
      <w:proofErr w:type="spellEnd"/>
      <w:r w:rsidRPr="002C38D1">
        <w:rPr>
          <w:color w:val="000000"/>
          <w:szCs w:val="24"/>
        </w:rPr>
        <w:t xml:space="preserve"> One – </w:t>
      </w:r>
      <w:proofErr w:type="spellStart"/>
      <w:r w:rsidRPr="002C38D1">
        <w:rPr>
          <w:color w:val="000000"/>
          <w:szCs w:val="24"/>
        </w:rPr>
        <w:t>Workload</w:t>
      </w:r>
      <w:proofErr w:type="spellEnd"/>
      <w:r w:rsidRPr="002C38D1">
        <w:rPr>
          <w:color w:val="000000"/>
          <w:szCs w:val="24"/>
        </w:rPr>
        <w:t xml:space="preserve"> </w:t>
      </w:r>
      <w:proofErr w:type="spellStart"/>
      <w:r w:rsidRPr="002C38D1">
        <w:rPr>
          <w:color w:val="000000"/>
          <w:szCs w:val="24"/>
        </w:rPr>
        <w:t>Security</w:t>
      </w:r>
      <w:proofErr w:type="spellEnd"/>
      <w:r w:rsidRPr="002C38D1">
        <w:rPr>
          <w:color w:val="000000"/>
          <w:szCs w:val="24"/>
        </w:rPr>
        <w:t xml:space="preserve"> </w:t>
      </w:r>
      <w:proofErr w:type="spellStart"/>
      <w:r w:rsidRPr="002C38D1">
        <w:rPr>
          <w:color w:val="000000"/>
          <w:szCs w:val="24"/>
        </w:rPr>
        <w:t>with</w:t>
      </w:r>
      <w:proofErr w:type="spellEnd"/>
      <w:r w:rsidRPr="002C38D1">
        <w:rPr>
          <w:color w:val="000000"/>
          <w:szCs w:val="24"/>
        </w:rPr>
        <w:t xml:space="preserve"> XDR (</w:t>
      </w:r>
      <w:proofErr w:type="spellStart"/>
      <w:r w:rsidRPr="002C38D1">
        <w:rPr>
          <w:color w:val="000000"/>
          <w:szCs w:val="24"/>
        </w:rPr>
        <w:t>includes</w:t>
      </w:r>
      <w:proofErr w:type="spellEnd"/>
      <w:r w:rsidRPr="002C38D1">
        <w:rPr>
          <w:color w:val="000000"/>
          <w:szCs w:val="24"/>
        </w:rPr>
        <w:t xml:space="preserve"> ASRM </w:t>
      </w:r>
      <w:proofErr w:type="spellStart"/>
      <w:r w:rsidRPr="002C38D1">
        <w:rPr>
          <w:color w:val="000000"/>
          <w:szCs w:val="24"/>
        </w:rPr>
        <w:t>addon</w:t>
      </w:r>
      <w:proofErr w:type="spellEnd"/>
      <w:r w:rsidRPr="002C38D1">
        <w:rPr>
          <w:color w:val="000000"/>
          <w:szCs w:val="24"/>
        </w:rPr>
        <w:t xml:space="preserve">), </w:t>
      </w:r>
      <w:proofErr w:type="spellStart"/>
      <w:r w:rsidRPr="002C38D1">
        <w:rPr>
          <w:color w:val="000000"/>
          <w:szCs w:val="24"/>
        </w:rPr>
        <w:t>Government</w:t>
      </w:r>
      <w:proofErr w:type="spellEnd"/>
      <w:r w:rsidRPr="002C38D1">
        <w:rPr>
          <w:color w:val="000000"/>
          <w:szCs w:val="24"/>
        </w:rPr>
        <w:t xml:space="preserve">, 251-500 </w:t>
      </w:r>
      <w:proofErr w:type="spellStart"/>
      <w:r w:rsidRPr="002C38D1">
        <w:rPr>
          <w:color w:val="000000"/>
          <w:szCs w:val="24"/>
        </w:rPr>
        <w:t>License</w:t>
      </w:r>
      <w:proofErr w:type="spellEnd"/>
      <w:r w:rsidRPr="002C38D1">
        <w:rPr>
          <w:color w:val="000000"/>
          <w:szCs w:val="24"/>
        </w:rPr>
        <w:t xml:space="preserve">, 12 </w:t>
      </w:r>
      <w:proofErr w:type="spellStart"/>
      <w:r w:rsidRPr="002C38D1">
        <w:rPr>
          <w:color w:val="000000"/>
          <w:szCs w:val="24"/>
        </w:rPr>
        <w:t>months</w:t>
      </w:r>
      <w:proofErr w:type="spellEnd"/>
      <w:r w:rsidRPr="002C38D1">
        <w:rPr>
          <w:color w:val="000000"/>
          <w:szCs w:val="24"/>
        </w:rPr>
        <w:t>, licencijų prenumerata – 100 vnt. su 1 metų palaikymu (naujų palaikymo paslaugų įsigijimas (palaikymo/licencijų aktyvavimas ir palaikymo paslaugos 1 metams).</w:t>
      </w:r>
    </w:p>
    <w:p w14:paraId="580F9B52" w14:textId="77777777" w:rsidR="00EF0B88" w:rsidRPr="002C38D1" w:rsidRDefault="00EF0B88" w:rsidP="00EF0B88">
      <w:pPr>
        <w:rPr>
          <w:color w:val="000000"/>
          <w:szCs w:val="24"/>
        </w:rPr>
      </w:pPr>
    </w:p>
    <w:p w14:paraId="7E16F16C" w14:textId="5CDA9729" w:rsidR="00EF0B88" w:rsidRPr="002C38D1" w:rsidRDefault="00EF0B88" w:rsidP="00A606E4">
      <w:pPr>
        <w:jc w:val="center"/>
        <w:rPr>
          <w:color w:val="000000"/>
          <w:szCs w:val="24"/>
        </w:rPr>
      </w:pPr>
      <w:r w:rsidRPr="002C38D1">
        <w:rPr>
          <w:color w:val="000000"/>
          <w:szCs w:val="24"/>
        </w:rPr>
        <w:t>1 lentelė. Techniniai reikalavimai Tarnybinių stočių apsaugos programinei įrangai:</w:t>
      </w:r>
    </w:p>
    <w:tbl>
      <w:tblPr>
        <w:tblW w:w="9495" w:type="dxa"/>
        <w:tblLayout w:type="fixed"/>
        <w:tblLook w:val="04A0" w:firstRow="1" w:lastRow="0" w:firstColumn="1" w:lastColumn="0" w:noHBand="0" w:noVBand="1"/>
      </w:tblPr>
      <w:tblGrid>
        <w:gridCol w:w="842"/>
        <w:gridCol w:w="3407"/>
        <w:gridCol w:w="5246"/>
      </w:tblGrid>
      <w:tr w:rsidR="00EF0B88" w:rsidRPr="006C1C04" w14:paraId="7EB656C9" w14:textId="77777777" w:rsidTr="00EF0B88">
        <w:tc>
          <w:tcPr>
            <w:tcW w:w="842" w:type="dxa"/>
            <w:tcBorders>
              <w:top w:val="single" w:sz="4" w:space="0" w:color="auto"/>
              <w:left w:val="single" w:sz="4" w:space="0" w:color="auto"/>
              <w:bottom w:val="single" w:sz="4" w:space="0" w:color="auto"/>
              <w:right w:val="single" w:sz="4" w:space="0" w:color="auto"/>
            </w:tcBorders>
            <w:hideMark/>
          </w:tcPr>
          <w:p w14:paraId="5138BF35" w14:textId="77777777" w:rsidR="00EF0B88" w:rsidRPr="002C38D1" w:rsidRDefault="00EF0B88" w:rsidP="00EF0B88">
            <w:pPr>
              <w:rPr>
                <w:color w:val="000000"/>
                <w:szCs w:val="24"/>
              </w:rPr>
            </w:pPr>
            <w:r w:rsidRPr="002C38D1">
              <w:rPr>
                <w:color w:val="000000"/>
                <w:szCs w:val="24"/>
              </w:rPr>
              <w:t>Eil.</w:t>
            </w:r>
          </w:p>
          <w:p w14:paraId="090C4194" w14:textId="77777777" w:rsidR="00EF0B88" w:rsidRPr="002C38D1" w:rsidRDefault="00EF0B88" w:rsidP="00EF0B88">
            <w:pPr>
              <w:rPr>
                <w:color w:val="000000"/>
                <w:szCs w:val="24"/>
              </w:rPr>
            </w:pPr>
            <w:r w:rsidRPr="002C38D1">
              <w:rPr>
                <w:color w:val="000000"/>
                <w:szCs w:val="24"/>
              </w:rPr>
              <w:t>Nr.</w:t>
            </w:r>
          </w:p>
        </w:tc>
        <w:tc>
          <w:tcPr>
            <w:tcW w:w="3406" w:type="dxa"/>
            <w:tcBorders>
              <w:top w:val="single" w:sz="4" w:space="0" w:color="auto"/>
              <w:left w:val="single" w:sz="4" w:space="0" w:color="auto"/>
              <w:bottom w:val="single" w:sz="4" w:space="0" w:color="auto"/>
              <w:right w:val="single" w:sz="4" w:space="0" w:color="auto"/>
            </w:tcBorders>
            <w:hideMark/>
          </w:tcPr>
          <w:p w14:paraId="363C7EC4" w14:textId="77777777" w:rsidR="00EF0B88" w:rsidRPr="002C38D1" w:rsidRDefault="00EF0B88" w:rsidP="00EF0B88">
            <w:pPr>
              <w:rPr>
                <w:color w:val="000000"/>
                <w:szCs w:val="24"/>
              </w:rPr>
            </w:pPr>
            <w:r w:rsidRPr="002C38D1">
              <w:rPr>
                <w:color w:val="000000"/>
                <w:szCs w:val="24"/>
              </w:rPr>
              <w:t>Parametras</w:t>
            </w:r>
          </w:p>
        </w:tc>
        <w:tc>
          <w:tcPr>
            <w:tcW w:w="5245" w:type="dxa"/>
            <w:tcBorders>
              <w:top w:val="single" w:sz="4" w:space="0" w:color="auto"/>
              <w:left w:val="single" w:sz="4" w:space="0" w:color="auto"/>
              <w:bottom w:val="single" w:sz="4" w:space="0" w:color="auto"/>
              <w:right w:val="single" w:sz="4" w:space="0" w:color="auto"/>
            </w:tcBorders>
            <w:hideMark/>
          </w:tcPr>
          <w:p w14:paraId="49D8014A" w14:textId="77777777" w:rsidR="00EF0B88" w:rsidRPr="002C38D1" w:rsidRDefault="00EF0B88" w:rsidP="00EF0B88">
            <w:pPr>
              <w:rPr>
                <w:color w:val="000000"/>
                <w:szCs w:val="24"/>
              </w:rPr>
            </w:pPr>
            <w:r w:rsidRPr="002C38D1">
              <w:rPr>
                <w:color w:val="000000"/>
                <w:szCs w:val="24"/>
              </w:rPr>
              <w:t>Reikalaujama parametro reikšmė</w:t>
            </w:r>
          </w:p>
        </w:tc>
      </w:tr>
      <w:tr w:rsidR="00EF0B88" w:rsidRPr="006C1C04" w14:paraId="685B6745" w14:textId="77777777" w:rsidTr="00EF0B88">
        <w:tc>
          <w:tcPr>
            <w:tcW w:w="842" w:type="dxa"/>
            <w:tcBorders>
              <w:top w:val="single" w:sz="4" w:space="0" w:color="auto"/>
              <w:left w:val="single" w:sz="4" w:space="0" w:color="auto"/>
              <w:bottom w:val="single" w:sz="4" w:space="0" w:color="auto"/>
              <w:right w:val="single" w:sz="4" w:space="0" w:color="auto"/>
            </w:tcBorders>
            <w:hideMark/>
          </w:tcPr>
          <w:p w14:paraId="342C543B" w14:textId="77777777" w:rsidR="00EF0B88" w:rsidRPr="002C38D1" w:rsidRDefault="00EF0B88" w:rsidP="00EF0B88">
            <w:pPr>
              <w:rPr>
                <w:color w:val="000000"/>
                <w:szCs w:val="24"/>
              </w:rPr>
            </w:pPr>
            <w:r w:rsidRPr="002C38D1">
              <w:rPr>
                <w:color w:val="000000"/>
                <w:szCs w:val="24"/>
              </w:rPr>
              <w:t>1.</w:t>
            </w:r>
          </w:p>
        </w:tc>
        <w:tc>
          <w:tcPr>
            <w:tcW w:w="3406" w:type="dxa"/>
            <w:tcBorders>
              <w:top w:val="single" w:sz="4" w:space="0" w:color="auto"/>
              <w:left w:val="single" w:sz="4" w:space="0" w:color="auto"/>
              <w:bottom w:val="single" w:sz="4" w:space="0" w:color="auto"/>
              <w:right w:val="single" w:sz="4" w:space="0" w:color="auto"/>
            </w:tcBorders>
            <w:hideMark/>
          </w:tcPr>
          <w:p w14:paraId="23A834FA" w14:textId="77777777" w:rsidR="00EF0B88" w:rsidRPr="002C38D1" w:rsidRDefault="00EF0B88" w:rsidP="00EF0B88">
            <w:pPr>
              <w:rPr>
                <w:color w:val="000000"/>
                <w:szCs w:val="24"/>
              </w:rPr>
            </w:pPr>
            <w:r w:rsidRPr="002C38D1">
              <w:rPr>
                <w:color w:val="000000"/>
                <w:szCs w:val="24"/>
              </w:rPr>
              <w:t xml:space="preserve">Paslaugų teikėjas turi būti siūlomos, techninėje specifikacijoje nurodytos, programinės įrangos (pateikta žemiau esančioje lentelėje) gamintojas arba turi turėti </w:t>
            </w:r>
            <w:r w:rsidRPr="002C38D1">
              <w:rPr>
                <w:color w:val="000000"/>
                <w:szCs w:val="24"/>
              </w:rPr>
              <w:lastRenderedPageBreak/>
              <w:t>gamintojo suteiktą teisę (turi būti įgaliotas gamintojo atstovas) atlikti techninėje specifikacijoje nurodytos programinės įrangos (pateikta žemiau esančioje lentelėje) palaikymo ir priežiūros paslaugas, arba turi būti sudaręs atitinkamą bendradarbiavimo sutartį su kitu ūkio subjektu, turinčiu tokią teisę.</w:t>
            </w:r>
          </w:p>
        </w:tc>
        <w:tc>
          <w:tcPr>
            <w:tcW w:w="5245" w:type="dxa"/>
            <w:tcBorders>
              <w:top w:val="single" w:sz="4" w:space="0" w:color="auto"/>
              <w:left w:val="single" w:sz="4" w:space="0" w:color="auto"/>
              <w:bottom w:val="single" w:sz="4" w:space="0" w:color="auto"/>
              <w:right w:val="single" w:sz="4" w:space="0" w:color="auto"/>
            </w:tcBorders>
            <w:hideMark/>
          </w:tcPr>
          <w:p w14:paraId="0705109F" w14:textId="77777777" w:rsidR="00EF0B88" w:rsidRPr="002C38D1" w:rsidRDefault="00EF0B88" w:rsidP="00EF0B88">
            <w:pPr>
              <w:rPr>
                <w:color w:val="000000"/>
                <w:szCs w:val="24"/>
              </w:rPr>
            </w:pPr>
            <w:r w:rsidRPr="002C38D1">
              <w:rPr>
                <w:color w:val="000000"/>
                <w:szCs w:val="24"/>
              </w:rPr>
              <w:lastRenderedPageBreak/>
              <w:t xml:space="preserve">Paslaugų teikėjas teikdamas pasiūlymą turi pateikti dokumentą, patvirtinantį, kad paslaugų teikėjas yra siūlomos, techninėje specifikacijoje nurodytos, programinės įrangos gamintojas (pateikiama tiekėjo pažyma), ar įgaliotas siūlomos techninėje specifikacijoje nurodytos programinės įrangos </w:t>
            </w:r>
            <w:r w:rsidRPr="002C38D1">
              <w:rPr>
                <w:color w:val="000000"/>
                <w:szCs w:val="24"/>
              </w:rPr>
              <w:lastRenderedPageBreak/>
              <w:t>gamintojo atstovas (pateikiami oficialų atstovavimą patvirtinantys dokumentai), ar yra sudaręs atitinkamą bendradarbiavimo sutartį su kitu ūkio subjektu, turinčiu atitinkamas gamintojo suteiktas teises (pateikiama patvirtinančios sutarties su kita įmone, turinčia teisę atstovauti siūlomos įrangos gamintoją, skaitmeninė kopija bei ūkio subjektui, su kuriuo sudaryta bendradarbiavimo sutartis, gamintojo išduotas įgaliojimas).</w:t>
            </w:r>
          </w:p>
        </w:tc>
      </w:tr>
      <w:tr w:rsidR="00EF0B88" w:rsidRPr="006C1C04" w14:paraId="65A9BE41" w14:textId="77777777" w:rsidTr="00EF0B88">
        <w:tc>
          <w:tcPr>
            <w:tcW w:w="842" w:type="dxa"/>
            <w:tcBorders>
              <w:top w:val="single" w:sz="4" w:space="0" w:color="auto"/>
              <w:left w:val="single" w:sz="4" w:space="0" w:color="auto"/>
              <w:bottom w:val="single" w:sz="4" w:space="0" w:color="auto"/>
              <w:right w:val="single" w:sz="4" w:space="0" w:color="auto"/>
            </w:tcBorders>
            <w:hideMark/>
          </w:tcPr>
          <w:p w14:paraId="1595B529" w14:textId="77777777" w:rsidR="00EF0B88" w:rsidRPr="002C38D1" w:rsidRDefault="00EF0B88" w:rsidP="00EF0B88">
            <w:pPr>
              <w:rPr>
                <w:color w:val="000000"/>
                <w:szCs w:val="24"/>
              </w:rPr>
            </w:pPr>
            <w:r w:rsidRPr="002C38D1">
              <w:rPr>
                <w:color w:val="000000"/>
                <w:szCs w:val="24"/>
              </w:rPr>
              <w:lastRenderedPageBreak/>
              <w:t>2.</w:t>
            </w:r>
          </w:p>
        </w:tc>
        <w:tc>
          <w:tcPr>
            <w:tcW w:w="3406" w:type="dxa"/>
            <w:tcBorders>
              <w:top w:val="single" w:sz="4" w:space="0" w:color="auto"/>
              <w:left w:val="single" w:sz="4" w:space="0" w:color="auto"/>
              <w:bottom w:val="single" w:sz="4" w:space="0" w:color="auto"/>
              <w:right w:val="single" w:sz="4" w:space="0" w:color="auto"/>
            </w:tcBorders>
            <w:hideMark/>
          </w:tcPr>
          <w:p w14:paraId="2B53995F" w14:textId="77777777" w:rsidR="00EF0B88" w:rsidRPr="002C38D1" w:rsidRDefault="00EF0B88" w:rsidP="00EF0B88">
            <w:pPr>
              <w:rPr>
                <w:color w:val="000000"/>
                <w:szCs w:val="24"/>
              </w:rPr>
            </w:pPr>
            <w:r w:rsidRPr="002C38D1">
              <w:rPr>
                <w:color w:val="000000"/>
                <w:szCs w:val="24"/>
              </w:rPr>
              <w:t>Tarnybinių stočių apsaugos programinės įrangos, kiekis</w:t>
            </w:r>
          </w:p>
        </w:tc>
        <w:tc>
          <w:tcPr>
            <w:tcW w:w="5245" w:type="dxa"/>
            <w:tcBorders>
              <w:top w:val="single" w:sz="4" w:space="0" w:color="auto"/>
              <w:left w:val="single" w:sz="4" w:space="0" w:color="auto"/>
              <w:bottom w:val="single" w:sz="4" w:space="0" w:color="auto"/>
              <w:right w:val="single" w:sz="4" w:space="0" w:color="auto"/>
            </w:tcBorders>
            <w:hideMark/>
          </w:tcPr>
          <w:p w14:paraId="412FA32F" w14:textId="77777777" w:rsidR="00EF0B88" w:rsidRPr="002C38D1" w:rsidRDefault="00EF0B88" w:rsidP="00EF0B88">
            <w:pPr>
              <w:rPr>
                <w:color w:val="000000"/>
                <w:szCs w:val="24"/>
              </w:rPr>
            </w:pPr>
            <w:r w:rsidRPr="002C38D1">
              <w:rPr>
                <w:color w:val="000000"/>
                <w:szCs w:val="24"/>
              </w:rPr>
              <w:t>Turi būti pateikta programinės įrangos licencijų  800 vnt. tarnybinių stočių, iš kurių:</w:t>
            </w:r>
          </w:p>
          <w:p w14:paraId="5B941B76" w14:textId="77777777" w:rsidR="00EF0B88" w:rsidRPr="002C38D1" w:rsidRDefault="00EF0B88" w:rsidP="00EF0B88">
            <w:pPr>
              <w:rPr>
                <w:color w:val="000000"/>
                <w:szCs w:val="24"/>
              </w:rPr>
            </w:pPr>
            <w:r w:rsidRPr="002C38D1">
              <w:rPr>
                <w:color w:val="000000"/>
                <w:szCs w:val="24"/>
              </w:rPr>
              <w:t>- programinės įrangos licencijos baziniam apsaugos funkcionalumui 400 vnt. tarnybinių stočių;</w:t>
            </w:r>
          </w:p>
          <w:p w14:paraId="5BEE7274" w14:textId="77777777" w:rsidR="00EF0B88" w:rsidRPr="002C38D1" w:rsidRDefault="00EF0B88" w:rsidP="00EF0B88">
            <w:pPr>
              <w:rPr>
                <w:color w:val="000000"/>
                <w:szCs w:val="24"/>
              </w:rPr>
            </w:pPr>
            <w:r w:rsidRPr="002C38D1">
              <w:rPr>
                <w:color w:val="000000"/>
                <w:szCs w:val="24"/>
              </w:rPr>
              <w:t>- programinės įrangos licencijos baziniam ir papildomam apsaugos funkcionalumui 400 vnt. tarnybinių stočių.</w:t>
            </w:r>
          </w:p>
        </w:tc>
      </w:tr>
      <w:tr w:rsidR="00EF0B88" w:rsidRPr="006C1C04" w14:paraId="3E55A010" w14:textId="77777777" w:rsidTr="00EF0B88">
        <w:tc>
          <w:tcPr>
            <w:tcW w:w="842" w:type="dxa"/>
            <w:tcBorders>
              <w:top w:val="single" w:sz="4" w:space="0" w:color="auto"/>
              <w:left w:val="single" w:sz="4" w:space="0" w:color="auto"/>
              <w:bottom w:val="single" w:sz="4" w:space="0" w:color="auto"/>
              <w:right w:val="single" w:sz="4" w:space="0" w:color="auto"/>
            </w:tcBorders>
            <w:hideMark/>
          </w:tcPr>
          <w:p w14:paraId="3BF4B5F4" w14:textId="77777777" w:rsidR="00EF0B88" w:rsidRPr="002C38D1" w:rsidRDefault="00EF0B88" w:rsidP="00EF0B88">
            <w:pPr>
              <w:rPr>
                <w:color w:val="000000"/>
                <w:szCs w:val="24"/>
              </w:rPr>
            </w:pPr>
            <w:r w:rsidRPr="002C38D1">
              <w:rPr>
                <w:color w:val="000000"/>
                <w:szCs w:val="24"/>
              </w:rPr>
              <w:t>3.</w:t>
            </w:r>
          </w:p>
        </w:tc>
        <w:tc>
          <w:tcPr>
            <w:tcW w:w="3406" w:type="dxa"/>
            <w:tcBorders>
              <w:top w:val="single" w:sz="4" w:space="0" w:color="auto"/>
              <w:left w:val="single" w:sz="4" w:space="0" w:color="auto"/>
              <w:bottom w:val="single" w:sz="4" w:space="0" w:color="auto"/>
              <w:right w:val="single" w:sz="4" w:space="0" w:color="auto"/>
            </w:tcBorders>
            <w:hideMark/>
          </w:tcPr>
          <w:p w14:paraId="35F53286" w14:textId="77777777" w:rsidR="00EF0B88" w:rsidRPr="002C38D1" w:rsidRDefault="00EF0B88" w:rsidP="00EF0B88">
            <w:pPr>
              <w:rPr>
                <w:color w:val="000000"/>
                <w:szCs w:val="24"/>
              </w:rPr>
            </w:pPr>
            <w:r w:rsidRPr="002C38D1">
              <w:rPr>
                <w:color w:val="000000"/>
                <w:szCs w:val="24"/>
              </w:rPr>
              <w:t>Gamintojo palaikymas</w:t>
            </w:r>
          </w:p>
        </w:tc>
        <w:tc>
          <w:tcPr>
            <w:tcW w:w="5245" w:type="dxa"/>
            <w:tcBorders>
              <w:top w:val="single" w:sz="4" w:space="0" w:color="auto"/>
              <w:left w:val="single" w:sz="4" w:space="0" w:color="auto"/>
              <w:bottom w:val="single" w:sz="4" w:space="0" w:color="auto"/>
              <w:right w:val="single" w:sz="4" w:space="0" w:color="auto"/>
            </w:tcBorders>
            <w:hideMark/>
          </w:tcPr>
          <w:p w14:paraId="1AA01334" w14:textId="77777777" w:rsidR="00EF0B88" w:rsidRPr="002C38D1" w:rsidRDefault="00EF0B88" w:rsidP="00EF0B88">
            <w:pPr>
              <w:rPr>
                <w:color w:val="000000"/>
                <w:szCs w:val="24"/>
              </w:rPr>
            </w:pPr>
            <w:r w:rsidRPr="002C38D1">
              <w:rPr>
                <w:color w:val="000000"/>
                <w:szCs w:val="24"/>
              </w:rPr>
              <w:t>Turi būti suteiktas 1 metų gamintojo palaikymas, užtikrinantis nemokamus programinės įrangos atnaujinimus, programinės įrangos klaidų taisymus.</w:t>
            </w:r>
          </w:p>
          <w:p w14:paraId="0A0D612D" w14:textId="77777777" w:rsidR="00EF0B88" w:rsidRPr="002C38D1" w:rsidRDefault="00EF0B88" w:rsidP="00EF0B88">
            <w:pPr>
              <w:rPr>
                <w:color w:val="000000"/>
                <w:szCs w:val="24"/>
              </w:rPr>
            </w:pPr>
            <w:r w:rsidRPr="002C38D1">
              <w:rPr>
                <w:color w:val="000000"/>
                <w:szCs w:val="24"/>
              </w:rPr>
              <w:t>Turi būti suteikta teisė kreiptis į gamintoją iškilus problemai visomis dienomis, visomis valandomis (paslaugos tipas 24x7) (kreipimosi būdas - internetu, elektroniniu paštu, faksu ar telefonu).</w:t>
            </w:r>
          </w:p>
        </w:tc>
      </w:tr>
    </w:tbl>
    <w:p w14:paraId="75EA5FCC" w14:textId="77777777" w:rsidR="00EF0B88" w:rsidRPr="002C38D1" w:rsidRDefault="00EF0B88" w:rsidP="00EF0B88">
      <w:pPr>
        <w:rPr>
          <w:color w:val="000000"/>
          <w:szCs w:val="24"/>
        </w:rPr>
      </w:pPr>
    </w:p>
    <w:p w14:paraId="709DC5C6" w14:textId="49023E43" w:rsidR="00EF0B88" w:rsidRPr="002C38D1" w:rsidRDefault="00EF0B88" w:rsidP="00A606E4">
      <w:pPr>
        <w:jc w:val="center"/>
        <w:rPr>
          <w:color w:val="000000"/>
          <w:szCs w:val="24"/>
        </w:rPr>
      </w:pPr>
      <w:r w:rsidRPr="002C38D1">
        <w:rPr>
          <w:color w:val="000000"/>
          <w:szCs w:val="24"/>
        </w:rPr>
        <w:t xml:space="preserve">2 lentelė. Turimų </w:t>
      </w:r>
      <w:proofErr w:type="spellStart"/>
      <w:r w:rsidRPr="002C38D1">
        <w:rPr>
          <w:color w:val="000000"/>
          <w:szCs w:val="24"/>
        </w:rPr>
        <w:t>Trend</w:t>
      </w:r>
      <w:proofErr w:type="spellEnd"/>
      <w:r w:rsidRPr="002C38D1">
        <w:rPr>
          <w:color w:val="000000"/>
          <w:szCs w:val="24"/>
        </w:rPr>
        <w:t xml:space="preserve"> </w:t>
      </w:r>
      <w:proofErr w:type="spellStart"/>
      <w:r w:rsidRPr="002C38D1">
        <w:rPr>
          <w:color w:val="000000"/>
          <w:szCs w:val="24"/>
        </w:rPr>
        <w:t>Micro</w:t>
      </w:r>
      <w:proofErr w:type="spellEnd"/>
      <w:r w:rsidRPr="002C38D1">
        <w:rPr>
          <w:color w:val="000000"/>
          <w:szCs w:val="24"/>
        </w:rPr>
        <w:t xml:space="preserve"> </w:t>
      </w:r>
      <w:proofErr w:type="spellStart"/>
      <w:r w:rsidRPr="002C38D1">
        <w:rPr>
          <w:color w:val="000000"/>
          <w:szCs w:val="24"/>
        </w:rPr>
        <w:t>Cloud</w:t>
      </w:r>
      <w:proofErr w:type="spellEnd"/>
      <w:r w:rsidRPr="002C38D1">
        <w:rPr>
          <w:color w:val="000000"/>
          <w:szCs w:val="24"/>
        </w:rPr>
        <w:t xml:space="preserve"> One programinės įrangos licencijų priežiūros (palaikymo) kontraktų numeriai ir galiojimo terminai.</w:t>
      </w:r>
    </w:p>
    <w:tbl>
      <w:tblPr>
        <w:tblW w:w="9495" w:type="dxa"/>
        <w:tblLayout w:type="fixed"/>
        <w:tblLook w:val="04A0" w:firstRow="1" w:lastRow="0" w:firstColumn="1" w:lastColumn="0" w:noHBand="0" w:noVBand="1"/>
      </w:tblPr>
      <w:tblGrid>
        <w:gridCol w:w="572"/>
        <w:gridCol w:w="4103"/>
        <w:gridCol w:w="1559"/>
        <w:gridCol w:w="1134"/>
        <w:gridCol w:w="2127"/>
      </w:tblGrid>
      <w:tr w:rsidR="00EF0B88" w:rsidRPr="006C1C04" w14:paraId="51EC275A" w14:textId="77777777" w:rsidTr="00EF0B88">
        <w:tc>
          <w:tcPr>
            <w:tcW w:w="571" w:type="dxa"/>
            <w:tcBorders>
              <w:top w:val="single" w:sz="4" w:space="0" w:color="auto"/>
              <w:left w:val="single" w:sz="4" w:space="0" w:color="auto"/>
              <w:bottom w:val="single" w:sz="4" w:space="0" w:color="auto"/>
              <w:right w:val="single" w:sz="4" w:space="0" w:color="auto"/>
            </w:tcBorders>
            <w:hideMark/>
          </w:tcPr>
          <w:p w14:paraId="6FB93244" w14:textId="77777777" w:rsidR="00EF0B88" w:rsidRPr="002C38D1" w:rsidRDefault="00EF0B88" w:rsidP="00EF0B88">
            <w:pPr>
              <w:rPr>
                <w:color w:val="000000"/>
                <w:szCs w:val="24"/>
              </w:rPr>
            </w:pPr>
            <w:r w:rsidRPr="002C38D1">
              <w:rPr>
                <w:color w:val="000000"/>
                <w:szCs w:val="24"/>
              </w:rPr>
              <w:t>Eil. Nr.</w:t>
            </w:r>
          </w:p>
        </w:tc>
        <w:tc>
          <w:tcPr>
            <w:tcW w:w="4102" w:type="dxa"/>
            <w:tcBorders>
              <w:top w:val="single" w:sz="4" w:space="0" w:color="auto"/>
              <w:left w:val="single" w:sz="4" w:space="0" w:color="auto"/>
              <w:bottom w:val="single" w:sz="4" w:space="0" w:color="auto"/>
              <w:right w:val="single" w:sz="4" w:space="0" w:color="auto"/>
            </w:tcBorders>
            <w:hideMark/>
          </w:tcPr>
          <w:p w14:paraId="2ECA45ED" w14:textId="77777777" w:rsidR="00EF0B88" w:rsidRPr="002C38D1" w:rsidRDefault="00EF0B88" w:rsidP="00EF0B88">
            <w:pPr>
              <w:rPr>
                <w:color w:val="000000"/>
                <w:szCs w:val="24"/>
              </w:rPr>
            </w:pPr>
            <w:r w:rsidRPr="002C38D1">
              <w:rPr>
                <w:color w:val="000000"/>
                <w:szCs w:val="24"/>
              </w:rPr>
              <w:t>Pavadinimas</w:t>
            </w:r>
          </w:p>
        </w:tc>
        <w:tc>
          <w:tcPr>
            <w:tcW w:w="1559" w:type="dxa"/>
            <w:tcBorders>
              <w:top w:val="single" w:sz="4" w:space="0" w:color="auto"/>
              <w:left w:val="single" w:sz="4" w:space="0" w:color="auto"/>
              <w:bottom w:val="single" w:sz="4" w:space="0" w:color="auto"/>
              <w:right w:val="single" w:sz="4" w:space="0" w:color="auto"/>
            </w:tcBorders>
            <w:hideMark/>
          </w:tcPr>
          <w:p w14:paraId="20E96C3E" w14:textId="77777777" w:rsidR="00EF0B88" w:rsidRPr="002C38D1" w:rsidRDefault="00EF0B88" w:rsidP="00EF0B88">
            <w:pPr>
              <w:rPr>
                <w:color w:val="000000"/>
                <w:szCs w:val="24"/>
              </w:rPr>
            </w:pPr>
            <w:r w:rsidRPr="002C38D1">
              <w:rPr>
                <w:color w:val="000000"/>
                <w:szCs w:val="24"/>
              </w:rPr>
              <w:t xml:space="preserve">Kontrakto </w:t>
            </w:r>
          </w:p>
          <w:p w14:paraId="35EA4384" w14:textId="77777777" w:rsidR="00EF0B88" w:rsidRPr="002C38D1" w:rsidRDefault="00EF0B88" w:rsidP="00EF0B88">
            <w:pPr>
              <w:rPr>
                <w:color w:val="000000"/>
                <w:szCs w:val="24"/>
              </w:rPr>
            </w:pPr>
            <w:r w:rsidRPr="002C38D1">
              <w:rPr>
                <w:color w:val="000000"/>
                <w:szCs w:val="24"/>
              </w:rPr>
              <w:t>numeris</w:t>
            </w:r>
          </w:p>
        </w:tc>
        <w:tc>
          <w:tcPr>
            <w:tcW w:w="1134" w:type="dxa"/>
            <w:tcBorders>
              <w:top w:val="single" w:sz="4" w:space="0" w:color="auto"/>
              <w:left w:val="single" w:sz="4" w:space="0" w:color="auto"/>
              <w:bottom w:val="single" w:sz="4" w:space="0" w:color="auto"/>
              <w:right w:val="single" w:sz="4" w:space="0" w:color="auto"/>
            </w:tcBorders>
            <w:hideMark/>
          </w:tcPr>
          <w:p w14:paraId="772CF33F" w14:textId="77777777" w:rsidR="00EF0B88" w:rsidRPr="002C38D1" w:rsidRDefault="00EF0B88" w:rsidP="00EF0B88">
            <w:pPr>
              <w:rPr>
                <w:color w:val="000000"/>
                <w:szCs w:val="24"/>
              </w:rPr>
            </w:pPr>
            <w:r w:rsidRPr="002C38D1">
              <w:rPr>
                <w:color w:val="000000"/>
                <w:szCs w:val="24"/>
              </w:rPr>
              <w:t>Vienetų skaičius</w:t>
            </w:r>
          </w:p>
        </w:tc>
        <w:tc>
          <w:tcPr>
            <w:tcW w:w="2127" w:type="dxa"/>
            <w:tcBorders>
              <w:top w:val="single" w:sz="4" w:space="0" w:color="auto"/>
              <w:left w:val="single" w:sz="4" w:space="0" w:color="auto"/>
              <w:bottom w:val="single" w:sz="4" w:space="0" w:color="auto"/>
              <w:right w:val="single" w:sz="4" w:space="0" w:color="auto"/>
            </w:tcBorders>
            <w:hideMark/>
          </w:tcPr>
          <w:p w14:paraId="127C9EFE" w14:textId="77777777" w:rsidR="00EF0B88" w:rsidRPr="002C38D1" w:rsidRDefault="00EF0B88" w:rsidP="00EF0B88">
            <w:pPr>
              <w:rPr>
                <w:color w:val="000000"/>
                <w:szCs w:val="24"/>
              </w:rPr>
            </w:pPr>
            <w:r w:rsidRPr="002C38D1">
              <w:rPr>
                <w:color w:val="000000"/>
                <w:szCs w:val="24"/>
              </w:rPr>
              <w:t>Turimų licencijų priežiūros galiojimo pabaigos data</w:t>
            </w:r>
          </w:p>
        </w:tc>
      </w:tr>
      <w:tr w:rsidR="00EF0B88" w:rsidRPr="006C1C04" w14:paraId="5F436741" w14:textId="77777777" w:rsidTr="00EF0B88">
        <w:tc>
          <w:tcPr>
            <w:tcW w:w="571" w:type="dxa"/>
            <w:tcBorders>
              <w:top w:val="single" w:sz="4" w:space="0" w:color="auto"/>
              <w:left w:val="single" w:sz="4" w:space="0" w:color="auto"/>
              <w:bottom w:val="single" w:sz="4" w:space="0" w:color="auto"/>
              <w:right w:val="single" w:sz="4" w:space="0" w:color="auto"/>
            </w:tcBorders>
            <w:hideMark/>
          </w:tcPr>
          <w:p w14:paraId="6BAE808F" w14:textId="77777777" w:rsidR="00EF0B88" w:rsidRPr="002C38D1" w:rsidRDefault="00EF0B88" w:rsidP="00EF0B88">
            <w:pPr>
              <w:rPr>
                <w:color w:val="000000"/>
                <w:szCs w:val="24"/>
              </w:rPr>
            </w:pPr>
            <w:r w:rsidRPr="002C38D1">
              <w:rPr>
                <w:color w:val="000000"/>
                <w:szCs w:val="24"/>
              </w:rPr>
              <w:t>1.</w:t>
            </w:r>
          </w:p>
        </w:tc>
        <w:tc>
          <w:tcPr>
            <w:tcW w:w="4102" w:type="dxa"/>
            <w:tcBorders>
              <w:top w:val="single" w:sz="4" w:space="0" w:color="auto"/>
              <w:left w:val="single" w:sz="4" w:space="0" w:color="auto"/>
              <w:bottom w:val="single" w:sz="4" w:space="0" w:color="auto"/>
              <w:right w:val="single" w:sz="4" w:space="0" w:color="auto"/>
            </w:tcBorders>
            <w:hideMark/>
          </w:tcPr>
          <w:p w14:paraId="2086D820" w14:textId="77777777" w:rsidR="00EF0B88" w:rsidRPr="002C38D1" w:rsidRDefault="00EF0B88" w:rsidP="00EF0B88">
            <w:pPr>
              <w:rPr>
                <w:color w:val="000000"/>
                <w:szCs w:val="24"/>
              </w:rPr>
            </w:pPr>
            <w:r w:rsidRPr="002C38D1">
              <w:rPr>
                <w:color w:val="000000"/>
                <w:szCs w:val="24"/>
              </w:rPr>
              <w:t xml:space="preserve">Programinės įrangos licencija </w:t>
            </w:r>
            <w:proofErr w:type="spellStart"/>
            <w:r w:rsidRPr="002C38D1">
              <w:rPr>
                <w:color w:val="000000"/>
                <w:szCs w:val="24"/>
              </w:rPr>
              <w:t>Trend</w:t>
            </w:r>
            <w:proofErr w:type="spellEnd"/>
            <w:r w:rsidRPr="002C38D1">
              <w:rPr>
                <w:color w:val="000000"/>
                <w:szCs w:val="24"/>
              </w:rPr>
              <w:t xml:space="preserve"> </w:t>
            </w:r>
            <w:proofErr w:type="spellStart"/>
            <w:r w:rsidRPr="002C38D1">
              <w:rPr>
                <w:color w:val="000000"/>
                <w:szCs w:val="24"/>
              </w:rPr>
              <w:t>Micro</w:t>
            </w:r>
            <w:proofErr w:type="spellEnd"/>
            <w:r w:rsidRPr="002C38D1">
              <w:rPr>
                <w:color w:val="000000"/>
                <w:szCs w:val="24"/>
              </w:rPr>
              <w:t xml:space="preserve"> </w:t>
            </w:r>
            <w:proofErr w:type="spellStart"/>
            <w:r w:rsidRPr="002C38D1">
              <w:rPr>
                <w:color w:val="000000"/>
                <w:szCs w:val="24"/>
              </w:rPr>
              <w:t>Cloud</w:t>
            </w:r>
            <w:proofErr w:type="spellEnd"/>
            <w:r w:rsidRPr="002C38D1">
              <w:rPr>
                <w:color w:val="000000"/>
                <w:szCs w:val="24"/>
              </w:rPr>
              <w:t xml:space="preserve"> One – </w:t>
            </w:r>
            <w:proofErr w:type="spellStart"/>
            <w:r w:rsidRPr="002C38D1">
              <w:rPr>
                <w:color w:val="000000"/>
                <w:szCs w:val="24"/>
              </w:rPr>
              <w:t>Endpoint</w:t>
            </w:r>
            <w:proofErr w:type="spellEnd"/>
            <w:r w:rsidRPr="002C38D1">
              <w:rPr>
                <w:color w:val="000000"/>
                <w:szCs w:val="24"/>
              </w:rPr>
              <w:t xml:space="preserve"> </w:t>
            </w:r>
            <w:proofErr w:type="spellStart"/>
            <w:r w:rsidRPr="002C38D1">
              <w:rPr>
                <w:color w:val="000000"/>
                <w:szCs w:val="24"/>
              </w:rPr>
              <w:t>Security</w:t>
            </w:r>
            <w:proofErr w:type="spellEnd"/>
            <w:r w:rsidRPr="002C38D1">
              <w:rPr>
                <w:color w:val="000000"/>
                <w:szCs w:val="24"/>
              </w:rPr>
              <w:t xml:space="preserve"> </w:t>
            </w:r>
            <w:proofErr w:type="spellStart"/>
            <w:r w:rsidRPr="002C38D1">
              <w:rPr>
                <w:color w:val="000000"/>
                <w:szCs w:val="24"/>
              </w:rPr>
              <w:t>with</w:t>
            </w:r>
            <w:proofErr w:type="spellEnd"/>
            <w:r w:rsidRPr="002C38D1">
              <w:rPr>
                <w:color w:val="000000"/>
                <w:szCs w:val="24"/>
              </w:rPr>
              <w:t xml:space="preserve"> XDR (</w:t>
            </w:r>
            <w:proofErr w:type="spellStart"/>
            <w:r w:rsidRPr="002C38D1">
              <w:rPr>
                <w:color w:val="000000"/>
                <w:szCs w:val="24"/>
              </w:rPr>
              <w:t>includes</w:t>
            </w:r>
            <w:proofErr w:type="spellEnd"/>
            <w:r w:rsidRPr="002C38D1">
              <w:rPr>
                <w:color w:val="000000"/>
                <w:szCs w:val="24"/>
              </w:rPr>
              <w:t xml:space="preserve"> ASRM </w:t>
            </w:r>
            <w:proofErr w:type="spellStart"/>
            <w:r w:rsidRPr="002C38D1">
              <w:rPr>
                <w:color w:val="000000"/>
                <w:szCs w:val="24"/>
              </w:rPr>
              <w:t>addon</w:t>
            </w:r>
            <w:proofErr w:type="spellEnd"/>
            <w:r w:rsidRPr="002C38D1">
              <w:rPr>
                <w:color w:val="000000"/>
                <w:szCs w:val="24"/>
              </w:rPr>
              <w:t xml:space="preserve">), </w:t>
            </w:r>
            <w:proofErr w:type="spellStart"/>
            <w:r w:rsidRPr="002C38D1">
              <w:rPr>
                <w:color w:val="000000"/>
                <w:szCs w:val="24"/>
              </w:rPr>
              <w:t>Government</w:t>
            </w:r>
            <w:proofErr w:type="spellEnd"/>
            <w:r w:rsidRPr="002C38D1">
              <w:rPr>
                <w:color w:val="000000"/>
                <w:szCs w:val="24"/>
              </w:rPr>
              <w:t xml:space="preserve">, 251-500 </w:t>
            </w:r>
            <w:proofErr w:type="spellStart"/>
            <w:r w:rsidRPr="002C38D1">
              <w:rPr>
                <w:color w:val="000000"/>
                <w:szCs w:val="24"/>
              </w:rPr>
              <w:t>License</w:t>
            </w:r>
            <w:proofErr w:type="spellEnd"/>
            <w:r w:rsidRPr="002C38D1">
              <w:rPr>
                <w:color w:val="000000"/>
                <w:szCs w:val="24"/>
              </w:rPr>
              <w:t xml:space="preserve">, 12 </w:t>
            </w:r>
            <w:proofErr w:type="spellStart"/>
            <w:r w:rsidRPr="002C38D1">
              <w:rPr>
                <w:color w:val="000000"/>
                <w:szCs w:val="24"/>
              </w:rPr>
              <w:t>months</w:t>
            </w:r>
            <w:proofErr w:type="spellEnd"/>
            <w:r w:rsidRPr="002C38D1">
              <w:rPr>
                <w:color w:val="000000"/>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701E05EF" w14:textId="77777777" w:rsidR="00EF0B88" w:rsidRPr="002C38D1" w:rsidRDefault="00EF0B88" w:rsidP="00EF0B88">
            <w:pPr>
              <w:rPr>
                <w:color w:val="000000"/>
                <w:szCs w:val="24"/>
              </w:rPr>
            </w:pPr>
            <w:r w:rsidRPr="002C38D1">
              <w:rPr>
                <w:color w:val="000000"/>
                <w:szCs w:val="24"/>
              </w:rPr>
              <w:t>722690268241 (</w:t>
            </w:r>
            <w:proofErr w:type="spellStart"/>
            <w:r w:rsidRPr="002C38D1">
              <w:rPr>
                <w:color w:val="000000"/>
                <w:szCs w:val="24"/>
              </w:rPr>
              <w:t>Instance</w:t>
            </w:r>
            <w:proofErr w:type="spellEnd"/>
            <w:r w:rsidRPr="002C38D1">
              <w:rPr>
                <w:color w:val="000000"/>
                <w:szCs w:val="24"/>
              </w:rPr>
              <w:t xml:space="preserve"> ID)</w:t>
            </w:r>
          </w:p>
        </w:tc>
        <w:tc>
          <w:tcPr>
            <w:tcW w:w="1134" w:type="dxa"/>
            <w:tcBorders>
              <w:top w:val="single" w:sz="4" w:space="0" w:color="auto"/>
              <w:left w:val="single" w:sz="4" w:space="0" w:color="auto"/>
              <w:bottom w:val="single" w:sz="4" w:space="0" w:color="auto"/>
              <w:right w:val="single" w:sz="4" w:space="0" w:color="auto"/>
            </w:tcBorders>
            <w:hideMark/>
          </w:tcPr>
          <w:p w14:paraId="4AD69883" w14:textId="77777777" w:rsidR="00EF0B88" w:rsidRPr="002C38D1" w:rsidRDefault="00EF0B88" w:rsidP="00EF0B88">
            <w:pPr>
              <w:rPr>
                <w:color w:val="000000"/>
                <w:szCs w:val="24"/>
              </w:rPr>
            </w:pPr>
            <w:r w:rsidRPr="002C38D1">
              <w:rPr>
                <w:color w:val="000000"/>
                <w:szCs w:val="24"/>
              </w:rPr>
              <w:t>300</w:t>
            </w:r>
          </w:p>
        </w:tc>
        <w:tc>
          <w:tcPr>
            <w:tcW w:w="2127" w:type="dxa"/>
            <w:tcBorders>
              <w:top w:val="single" w:sz="4" w:space="0" w:color="auto"/>
              <w:left w:val="single" w:sz="4" w:space="0" w:color="auto"/>
              <w:bottom w:val="single" w:sz="4" w:space="0" w:color="auto"/>
              <w:right w:val="single" w:sz="4" w:space="0" w:color="auto"/>
            </w:tcBorders>
            <w:hideMark/>
          </w:tcPr>
          <w:p w14:paraId="25A5A8A4" w14:textId="77777777" w:rsidR="00EF0B88" w:rsidRPr="002C38D1" w:rsidRDefault="00EF0B88" w:rsidP="00EF0B88">
            <w:pPr>
              <w:rPr>
                <w:color w:val="000000"/>
                <w:szCs w:val="24"/>
              </w:rPr>
            </w:pPr>
            <w:r w:rsidRPr="002C38D1">
              <w:rPr>
                <w:color w:val="000000"/>
                <w:szCs w:val="24"/>
              </w:rPr>
              <w:t>2025-01-17</w:t>
            </w:r>
          </w:p>
        </w:tc>
      </w:tr>
      <w:tr w:rsidR="00EF0B88" w:rsidRPr="006C1C04" w14:paraId="2F159281" w14:textId="77777777" w:rsidTr="00EF0B88">
        <w:tc>
          <w:tcPr>
            <w:tcW w:w="571" w:type="dxa"/>
            <w:tcBorders>
              <w:top w:val="single" w:sz="4" w:space="0" w:color="auto"/>
              <w:left w:val="single" w:sz="4" w:space="0" w:color="auto"/>
              <w:bottom w:val="single" w:sz="4" w:space="0" w:color="auto"/>
              <w:right w:val="single" w:sz="4" w:space="0" w:color="auto"/>
            </w:tcBorders>
            <w:hideMark/>
          </w:tcPr>
          <w:p w14:paraId="37DD13FD" w14:textId="77777777" w:rsidR="00EF0B88" w:rsidRPr="002C38D1" w:rsidRDefault="00EF0B88" w:rsidP="00EF0B88">
            <w:pPr>
              <w:rPr>
                <w:color w:val="000000"/>
                <w:szCs w:val="24"/>
              </w:rPr>
            </w:pPr>
            <w:r w:rsidRPr="002C38D1">
              <w:rPr>
                <w:color w:val="000000"/>
                <w:szCs w:val="24"/>
              </w:rPr>
              <w:lastRenderedPageBreak/>
              <w:t>2.</w:t>
            </w:r>
          </w:p>
        </w:tc>
        <w:tc>
          <w:tcPr>
            <w:tcW w:w="4102" w:type="dxa"/>
            <w:tcBorders>
              <w:top w:val="single" w:sz="4" w:space="0" w:color="auto"/>
              <w:left w:val="single" w:sz="4" w:space="0" w:color="auto"/>
              <w:bottom w:val="single" w:sz="4" w:space="0" w:color="auto"/>
              <w:right w:val="single" w:sz="4" w:space="0" w:color="auto"/>
            </w:tcBorders>
            <w:hideMark/>
          </w:tcPr>
          <w:p w14:paraId="37548F8D" w14:textId="77777777" w:rsidR="00EF0B88" w:rsidRPr="002C38D1" w:rsidRDefault="00EF0B88" w:rsidP="00EF0B88">
            <w:pPr>
              <w:rPr>
                <w:color w:val="000000"/>
                <w:szCs w:val="24"/>
              </w:rPr>
            </w:pPr>
            <w:r w:rsidRPr="002C38D1">
              <w:rPr>
                <w:color w:val="000000"/>
                <w:szCs w:val="24"/>
              </w:rPr>
              <w:t xml:space="preserve">Programinės įrangos licencija </w:t>
            </w:r>
            <w:proofErr w:type="spellStart"/>
            <w:r w:rsidRPr="002C38D1">
              <w:rPr>
                <w:color w:val="000000"/>
                <w:szCs w:val="24"/>
              </w:rPr>
              <w:t>Trend</w:t>
            </w:r>
            <w:proofErr w:type="spellEnd"/>
            <w:r w:rsidRPr="002C38D1">
              <w:rPr>
                <w:color w:val="000000"/>
                <w:szCs w:val="24"/>
              </w:rPr>
              <w:t xml:space="preserve"> </w:t>
            </w:r>
            <w:proofErr w:type="spellStart"/>
            <w:r w:rsidRPr="002C38D1">
              <w:rPr>
                <w:color w:val="000000"/>
                <w:szCs w:val="24"/>
              </w:rPr>
              <w:t>Micro</w:t>
            </w:r>
            <w:proofErr w:type="spellEnd"/>
            <w:r w:rsidRPr="002C38D1">
              <w:rPr>
                <w:color w:val="000000"/>
                <w:szCs w:val="24"/>
              </w:rPr>
              <w:t xml:space="preserve"> </w:t>
            </w:r>
            <w:proofErr w:type="spellStart"/>
            <w:r w:rsidRPr="002C38D1">
              <w:rPr>
                <w:color w:val="000000"/>
                <w:szCs w:val="24"/>
              </w:rPr>
              <w:t>Cloud</w:t>
            </w:r>
            <w:proofErr w:type="spellEnd"/>
            <w:r w:rsidRPr="002C38D1">
              <w:rPr>
                <w:color w:val="000000"/>
                <w:szCs w:val="24"/>
              </w:rPr>
              <w:t xml:space="preserve"> One – </w:t>
            </w:r>
            <w:proofErr w:type="spellStart"/>
            <w:r w:rsidRPr="002C38D1">
              <w:rPr>
                <w:color w:val="000000"/>
                <w:szCs w:val="24"/>
              </w:rPr>
              <w:t>Workload</w:t>
            </w:r>
            <w:proofErr w:type="spellEnd"/>
            <w:r w:rsidRPr="002C38D1">
              <w:rPr>
                <w:color w:val="000000"/>
                <w:szCs w:val="24"/>
              </w:rPr>
              <w:t xml:space="preserve"> </w:t>
            </w:r>
            <w:proofErr w:type="spellStart"/>
            <w:r w:rsidRPr="002C38D1">
              <w:rPr>
                <w:color w:val="000000"/>
                <w:szCs w:val="24"/>
              </w:rPr>
              <w:t>Security</w:t>
            </w:r>
            <w:proofErr w:type="spellEnd"/>
            <w:r w:rsidRPr="002C38D1">
              <w:rPr>
                <w:color w:val="000000"/>
                <w:szCs w:val="24"/>
              </w:rPr>
              <w:t xml:space="preserve"> </w:t>
            </w:r>
            <w:proofErr w:type="spellStart"/>
            <w:r w:rsidRPr="002C38D1">
              <w:rPr>
                <w:color w:val="000000"/>
                <w:szCs w:val="24"/>
              </w:rPr>
              <w:t>with</w:t>
            </w:r>
            <w:proofErr w:type="spellEnd"/>
            <w:r w:rsidRPr="002C38D1">
              <w:rPr>
                <w:color w:val="000000"/>
                <w:szCs w:val="24"/>
              </w:rPr>
              <w:t xml:space="preserve"> XDR (</w:t>
            </w:r>
            <w:proofErr w:type="spellStart"/>
            <w:r w:rsidRPr="002C38D1">
              <w:rPr>
                <w:color w:val="000000"/>
                <w:szCs w:val="24"/>
              </w:rPr>
              <w:t>includes</w:t>
            </w:r>
            <w:proofErr w:type="spellEnd"/>
            <w:r w:rsidRPr="002C38D1">
              <w:rPr>
                <w:color w:val="000000"/>
                <w:szCs w:val="24"/>
              </w:rPr>
              <w:t xml:space="preserve"> ASRM </w:t>
            </w:r>
            <w:proofErr w:type="spellStart"/>
            <w:r w:rsidRPr="002C38D1">
              <w:rPr>
                <w:color w:val="000000"/>
                <w:szCs w:val="24"/>
              </w:rPr>
              <w:t>addon</w:t>
            </w:r>
            <w:proofErr w:type="spellEnd"/>
            <w:r w:rsidRPr="002C38D1">
              <w:rPr>
                <w:color w:val="000000"/>
                <w:szCs w:val="24"/>
              </w:rPr>
              <w:t xml:space="preserve">), </w:t>
            </w:r>
            <w:proofErr w:type="spellStart"/>
            <w:r w:rsidRPr="002C38D1">
              <w:rPr>
                <w:color w:val="000000"/>
                <w:szCs w:val="24"/>
              </w:rPr>
              <w:t>Government</w:t>
            </w:r>
            <w:proofErr w:type="spellEnd"/>
            <w:r w:rsidRPr="002C38D1">
              <w:rPr>
                <w:color w:val="000000"/>
                <w:szCs w:val="24"/>
              </w:rPr>
              <w:t xml:space="preserve">, 251-500 </w:t>
            </w:r>
            <w:proofErr w:type="spellStart"/>
            <w:r w:rsidRPr="002C38D1">
              <w:rPr>
                <w:color w:val="000000"/>
                <w:szCs w:val="24"/>
              </w:rPr>
              <w:t>License</w:t>
            </w:r>
            <w:proofErr w:type="spellEnd"/>
            <w:r w:rsidRPr="002C38D1">
              <w:rPr>
                <w:color w:val="000000"/>
                <w:szCs w:val="24"/>
              </w:rPr>
              <w:t xml:space="preserve">, 12 </w:t>
            </w:r>
            <w:proofErr w:type="spellStart"/>
            <w:r w:rsidRPr="002C38D1">
              <w:rPr>
                <w:color w:val="000000"/>
                <w:szCs w:val="24"/>
              </w:rPr>
              <w:t>months</w:t>
            </w:r>
            <w:proofErr w:type="spellEnd"/>
            <w:r w:rsidRPr="002C38D1">
              <w:rPr>
                <w:color w:val="000000"/>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4213E85E" w14:textId="77777777" w:rsidR="00EF0B88" w:rsidRPr="002C38D1" w:rsidRDefault="00EF0B88" w:rsidP="00EF0B88">
            <w:pPr>
              <w:rPr>
                <w:color w:val="000000"/>
                <w:szCs w:val="24"/>
              </w:rPr>
            </w:pPr>
            <w:r w:rsidRPr="002C38D1">
              <w:rPr>
                <w:color w:val="000000"/>
                <w:szCs w:val="24"/>
              </w:rPr>
              <w:t>722690268241 (</w:t>
            </w:r>
            <w:proofErr w:type="spellStart"/>
            <w:r w:rsidRPr="002C38D1">
              <w:rPr>
                <w:color w:val="000000"/>
                <w:szCs w:val="24"/>
              </w:rPr>
              <w:t>Instance</w:t>
            </w:r>
            <w:proofErr w:type="spellEnd"/>
            <w:r w:rsidRPr="002C38D1">
              <w:rPr>
                <w:color w:val="000000"/>
                <w:szCs w:val="24"/>
              </w:rPr>
              <w:t xml:space="preserve"> ID) </w:t>
            </w:r>
          </w:p>
        </w:tc>
        <w:tc>
          <w:tcPr>
            <w:tcW w:w="1134" w:type="dxa"/>
            <w:tcBorders>
              <w:top w:val="single" w:sz="4" w:space="0" w:color="auto"/>
              <w:left w:val="single" w:sz="4" w:space="0" w:color="auto"/>
              <w:bottom w:val="single" w:sz="4" w:space="0" w:color="auto"/>
              <w:right w:val="single" w:sz="4" w:space="0" w:color="auto"/>
            </w:tcBorders>
            <w:hideMark/>
          </w:tcPr>
          <w:p w14:paraId="10C63751" w14:textId="77777777" w:rsidR="00EF0B88" w:rsidRPr="002C38D1" w:rsidRDefault="00EF0B88" w:rsidP="00EF0B88">
            <w:pPr>
              <w:rPr>
                <w:color w:val="000000"/>
                <w:szCs w:val="24"/>
              </w:rPr>
            </w:pPr>
            <w:r w:rsidRPr="002C38D1">
              <w:rPr>
                <w:color w:val="000000"/>
                <w:szCs w:val="24"/>
              </w:rPr>
              <w:t>300</w:t>
            </w:r>
          </w:p>
        </w:tc>
        <w:tc>
          <w:tcPr>
            <w:tcW w:w="2127" w:type="dxa"/>
            <w:tcBorders>
              <w:top w:val="single" w:sz="4" w:space="0" w:color="auto"/>
              <w:left w:val="single" w:sz="4" w:space="0" w:color="auto"/>
              <w:bottom w:val="single" w:sz="4" w:space="0" w:color="auto"/>
              <w:right w:val="single" w:sz="4" w:space="0" w:color="auto"/>
            </w:tcBorders>
            <w:hideMark/>
          </w:tcPr>
          <w:p w14:paraId="1F44D7C0" w14:textId="77777777" w:rsidR="00EF0B88" w:rsidRPr="002C38D1" w:rsidRDefault="00EF0B88" w:rsidP="00EF0B88">
            <w:pPr>
              <w:rPr>
                <w:color w:val="000000"/>
                <w:szCs w:val="24"/>
              </w:rPr>
            </w:pPr>
            <w:r w:rsidRPr="002C38D1">
              <w:rPr>
                <w:color w:val="000000"/>
                <w:szCs w:val="24"/>
              </w:rPr>
              <w:t>2025-01-17</w:t>
            </w:r>
          </w:p>
        </w:tc>
      </w:tr>
    </w:tbl>
    <w:p w14:paraId="69A229B7" w14:textId="77777777" w:rsidR="00EF0B88" w:rsidRPr="002C38D1" w:rsidRDefault="00EF0B88" w:rsidP="00EF0B88">
      <w:pPr>
        <w:rPr>
          <w:color w:val="000000"/>
          <w:szCs w:val="24"/>
        </w:rPr>
      </w:pPr>
    </w:p>
    <w:p w14:paraId="35593C12" w14:textId="7E6D1FC7" w:rsidR="00EF0B88" w:rsidRPr="002C38D1" w:rsidRDefault="00EF0B88" w:rsidP="00A606E4">
      <w:pPr>
        <w:jc w:val="center"/>
        <w:rPr>
          <w:color w:val="000000"/>
          <w:szCs w:val="24"/>
        </w:rPr>
      </w:pPr>
      <w:r w:rsidRPr="002C38D1">
        <w:rPr>
          <w:color w:val="000000"/>
          <w:szCs w:val="24"/>
        </w:rPr>
        <w:t xml:space="preserve">3 lentelė. </w:t>
      </w:r>
      <w:proofErr w:type="spellStart"/>
      <w:r w:rsidRPr="002C38D1">
        <w:rPr>
          <w:color w:val="000000"/>
          <w:szCs w:val="24"/>
        </w:rPr>
        <w:t>Trend</w:t>
      </w:r>
      <w:proofErr w:type="spellEnd"/>
      <w:r w:rsidRPr="002C38D1">
        <w:rPr>
          <w:color w:val="000000"/>
          <w:szCs w:val="24"/>
        </w:rPr>
        <w:t xml:space="preserve"> </w:t>
      </w:r>
      <w:proofErr w:type="spellStart"/>
      <w:r w:rsidRPr="002C38D1">
        <w:rPr>
          <w:color w:val="000000"/>
          <w:szCs w:val="24"/>
        </w:rPr>
        <w:t>Micro</w:t>
      </w:r>
      <w:proofErr w:type="spellEnd"/>
      <w:r w:rsidRPr="002C38D1">
        <w:rPr>
          <w:color w:val="000000"/>
          <w:szCs w:val="24"/>
        </w:rPr>
        <w:t xml:space="preserve"> </w:t>
      </w:r>
      <w:proofErr w:type="spellStart"/>
      <w:r w:rsidRPr="002C38D1">
        <w:rPr>
          <w:color w:val="000000"/>
          <w:szCs w:val="24"/>
        </w:rPr>
        <w:t>Cloud</w:t>
      </w:r>
      <w:proofErr w:type="spellEnd"/>
      <w:r w:rsidRPr="002C38D1">
        <w:rPr>
          <w:color w:val="000000"/>
          <w:szCs w:val="24"/>
        </w:rPr>
        <w:t xml:space="preserve"> One programinės įrangos licencijų prenumerata – 200 vnt. su 1 metų palaikymu.</w:t>
      </w:r>
    </w:p>
    <w:tbl>
      <w:tblPr>
        <w:tblW w:w="9495" w:type="dxa"/>
        <w:tblLayout w:type="fixed"/>
        <w:tblLook w:val="04A0" w:firstRow="1" w:lastRow="0" w:firstColumn="1" w:lastColumn="0" w:noHBand="0" w:noVBand="1"/>
      </w:tblPr>
      <w:tblGrid>
        <w:gridCol w:w="675"/>
        <w:gridCol w:w="4830"/>
        <w:gridCol w:w="1351"/>
        <w:gridCol w:w="2639"/>
      </w:tblGrid>
      <w:tr w:rsidR="00EF0B88" w:rsidRPr="006C1C04" w14:paraId="1D7F47A1" w14:textId="77777777" w:rsidTr="006C1C04">
        <w:tc>
          <w:tcPr>
            <w:tcW w:w="675" w:type="dxa"/>
            <w:tcBorders>
              <w:top w:val="single" w:sz="4" w:space="0" w:color="auto"/>
              <w:left w:val="single" w:sz="4" w:space="0" w:color="auto"/>
              <w:bottom w:val="single" w:sz="4" w:space="0" w:color="auto"/>
              <w:right w:val="single" w:sz="4" w:space="0" w:color="auto"/>
            </w:tcBorders>
            <w:hideMark/>
          </w:tcPr>
          <w:p w14:paraId="3B624E90" w14:textId="77777777" w:rsidR="00EF0B88" w:rsidRPr="002C38D1" w:rsidRDefault="00EF0B88" w:rsidP="00EF0B88">
            <w:pPr>
              <w:rPr>
                <w:color w:val="000000"/>
                <w:szCs w:val="24"/>
              </w:rPr>
            </w:pPr>
            <w:r w:rsidRPr="002C38D1">
              <w:rPr>
                <w:color w:val="000000"/>
                <w:szCs w:val="24"/>
              </w:rPr>
              <w:t>Eil. Nr.</w:t>
            </w:r>
          </w:p>
        </w:tc>
        <w:tc>
          <w:tcPr>
            <w:tcW w:w="4830" w:type="dxa"/>
            <w:tcBorders>
              <w:top w:val="single" w:sz="4" w:space="0" w:color="auto"/>
              <w:left w:val="single" w:sz="4" w:space="0" w:color="auto"/>
              <w:bottom w:val="single" w:sz="4" w:space="0" w:color="auto"/>
              <w:right w:val="single" w:sz="4" w:space="0" w:color="auto"/>
            </w:tcBorders>
            <w:hideMark/>
          </w:tcPr>
          <w:p w14:paraId="456CC3DA" w14:textId="77777777" w:rsidR="00EF0B88" w:rsidRPr="002C38D1" w:rsidRDefault="00EF0B88" w:rsidP="00EF0B88">
            <w:pPr>
              <w:rPr>
                <w:color w:val="000000"/>
                <w:szCs w:val="24"/>
              </w:rPr>
            </w:pPr>
            <w:r w:rsidRPr="002C38D1">
              <w:rPr>
                <w:color w:val="000000"/>
                <w:szCs w:val="24"/>
              </w:rPr>
              <w:t>Pavadinimas</w:t>
            </w:r>
          </w:p>
        </w:tc>
        <w:tc>
          <w:tcPr>
            <w:tcW w:w="1351" w:type="dxa"/>
            <w:tcBorders>
              <w:top w:val="single" w:sz="4" w:space="0" w:color="auto"/>
              <w:left w:val="single" w:sz="4" w:space="0" w:color="auto"/>
              <w:bottom w:val="single" w:sz="4" w:space="0" w:color="auto"/>
              <w:right w:val="single" w:sz="4" w:space="0" w:color="auto"/>
            </w:tcBorders>
            <w:hideMark/>
          </w:tcPr>
          <w:p w14:paraId="78A25E5B" w14:textId="77777777" w:rsidR="00EF0B88" w:rsidRPr="002C38D1" w:rsidRDefault="00EF0B88" w:rsidP="00EF0B88">
            <w:pPr>
              <w:rPr>
                <w:color w:val="000000"/>
                <w:szCs w:val="24"/>
              </w:rPr>
            </w:pPr>
            <w:r w:rsidRPr="002C38D1">
              <w:rPr>
                <w:color w:val="000000"/>
                <w:szCs w:val="24"/>
              </w:rPr>
              <w:t>Vienetų skaičius</w:t>
            </w:r>
          </w:p>
        </w:tc>
        <w:tc>
          <w:tcPr>
            <w:tcW w:w="2639" w:type="dxa"/>
            <w:tcBorders>
              <w:top w:val="single" w:sz="4" w:space="0" w:color="auto"/>
              <w:left w:val="single" w:sz="4" w:space="0" w:color="auto"/>
              <w:bottom w:val="single" w:sz="4" w:space="0" w:color="auto"/>
              <w:right w:val="single" w:sz="4" w:space="0" w:color="auto"/>
            </w:tcBorders>
            <w:hideMark/>
          </w:tcPr>
          <w:p w14:paraId="080AB2F0" w14:textId="77777777" w:rsidR="00EF0B88" w:rsidRPr="002C38D1" w:rsidRDefault="00EF0B88" w:rsidP="00EF0B88">
            <w:pPr>
              <w:rPr>
                <w:color w:val="000000"/>
                <w:szCs w:val="24"/>
              </w:rPr>
            </w:pPr>
            <w:r w:rsidRPr="002C38D1">
              <w:rPr>
                <w:color w:val="000000"/>
                <w:szCs w:val="24"/>
              </w:rPr>
              <w:t>Licencijų priežiūros galiojimo pradžios data</w:t>
            </w:r>
          </w:p>
        </w:tc>
      </w:tr>
      <w:tr w:rsidR="00EF0B88" w:rsidRPr="006C1C04" w14:paraId="2E74B4AB" w14:textId="77777777" w:rsidTr="006C1C04">
        <w:tc>
          <w:tcPr>
            <w:tcW w:w="675" w:type="dxa"/>
            <w:tcBorders>
              <w:top w:val="single" w:sz="4" w:space="0" w:color="auto"/>
              <w:left w:val="single" w:sz="4" w:space="0" w:color="auto"/>
              <w:bottom w:val="single" w:sz="4" w:space="0" w:color="auto"/>
              <w:right w:val="single" w:sz="4" w:space="0" w:color="auto"/>
            </w:tcBorders>
            <w:hideMark/>
          </w:tcPr>
          <w:p w14:paraId="36EBA5EF" w14:textId="77777777" w:rsidR="00EF0B88" w:rsidRPr="002C38D1" w:rsidRDefault="00EF0B88" w:rsidP="00EF0B88">
            <w:pPr>
              <w:rPr>
                <w:color w:val="000000"/>
                <w:szCs w:val="24"/>
              </w:rPr>
            </w:pPr>
            <w:r w:rsidRPr="002C38D1">
              <w:rPr>
                <w:color w:val="000000"/>
                <w:szCs w:val="24"/>
              </w:rPr>
              <w:t>1.</w:t>
            </w:r>
          </w:p>
        </w:tc>
        <w:tc>
          <w:tcPr>
            <w:tcW w:w="4830" w:type="dxa"/>
            <w:tcBorders>
              <w:top w:val="single" w:sz="4" w:space="0" w:color="auto"/>
              <w:left w:val="single" w:sz="4" w:space="0" w:color="auto"/>
              <w:bottom w:val="single" w:sz="4" w:space="0" w:color="auto"/>
              <w:right w:val="single" w:sz="4" w:space="0" w:color="auto"/>
            </w:tcBorders>
            <w:hideMark/>
          </w:tcPr>
          <w:p w14:paraId="09498F61" w14:textId="77777777" w:rsidR="00EF0B88" w:rsidRPr="002C38D1" w:rsidRDefault="00EF0B88" w:rsidP="00EF0B88">
            <w:pPr>
              <w:rPr>
                <w:color w:val="000000"/>
                <w:szCs w:val="24"/>
              </w:rPr>
            </w:pPr>
            <w:r w:rsidRPr="002C38D1">
              <w:rPr>
                <w:color w:val="000000"/>
                <w:szCs w:val="24"/>
              </w:rPr>
              <w:t xml:space="preserve">Programinės įrangos licencija </w:t>
            </w:r>
            <w:proofErr w:type="spellStart"/>
            <w:r w:rsidRPr="002C38D1">
              <w:rPr>
                <w:color w:val="000000"/>
                <w:szCs w:val="24"/>
              </w:rPr>
              <w:t>Trend</w:t>
            </w:r>
            <w:proofErr w:type="spellEnd"/>
            <w:r w:rsidRPr="002C38D1">
              <w:rPr>
                <w:color w:val="000000"/>
                <w:szCs w:val="24"/>
              </w:rPr>
              <w:t xml:space="preserve"> </w:t>
            </w:r>
            <w:proofErr w:type="spellStart"/>
            <w:r w:rsidRPr="002C38D1">
              <w:rPr>
                <w:color w:val="000000"/>
                <w:szCs w:val="24"/>
              </w:rPr>
              <w:t>Micro</w:t>
            </w:r>
            <w:proofErr w:type="spellEnd"/>
            <w:r w:rsidRPr="002C38D1">
              <w:rPr>
                <w:color w:val="000000"/>
                <w:szCs w:val="24"/>
              </w:rPr>
              <w:t xml:space="preserve"> </w:t>
            </w:r>
            <w:proofErr w:type="spellStart"/>
            <w:r w:rsidRPr="002C38D1">
              <w:rPr>
                <w:color w:val="000000"/>
                <w:szCs w:val="24"/>
              </w:rPr>
              <w:t>Cloud</w:t>
            </w:r>
            <w:proofErr w:type="spellEnd"/>
            <w:r w:rsidRPr="002C38D1">
              <w:rPr>
                <w:color w:val="000000"/>
                <w:szCs w:val="24"/>
              </w:rPr>
              <w:t xml:space="preserve"> One – </w:t>
            </w:r>
            <w:proofErr w:type="spellStart"/>
            <w:r w:rsidRPr="002C38D1">
              <w:rPr>
                <w:color w:val="000000"/>
                <w:szCs w:val="24"/>
              </w:rPr>
              <w:t>Endpoint</w:t>
            </w:r>
            <w:proofErr w:type="spellEnd"/>
            <w:r w:rsidRPr="002C38D1">
              <w:rPr>
                <w:color w:val="000000"/>
                <w:szCs w:val="24"/>
              </w:rPr>
              <w:t xml:space="preserve"> </w:t>
            </w:r>
            <w:proofErr w:type="spellStart"/>
            <w:r w:rsidRPr="002C38D1">
              <w:rPr>
                <w:color w:val="000000"/>
                <w:szCs w:val="24"/>
              </w:rPr>
              <w:t>Security</w:t>
            </w:r>
            <w:proofErr w:type="spellEnd"/>
            <w:r w:rsidRPr="002C38D1">
              <w:rPr>
                <w:color w:val="000000"/>
                <w:szCs w:val="24"/>
              </w:rPr>
              <w:t xml:space="preserve"> </w:t>
            </w:r>
            <w:proofErr w:type="spellStart"/>
            <w:r w:rsidRPr="002C38D1">
              <w:rPr>
                <w:color w:val="000000"/>
                <w:szCs w:val="24"/>
              </w:rPr>
              <w:t>with</w:t>
            </w:r>
            <w:proofErr w:type="spellEnd"/>
            <w:r w:rsidRPr="002C38D1">
              <w:rPr>
                <w:color w:val="000000"/>
                <w:szCs w:val="24"/>
              </w:rPr>
              <w:t xml:space="preserve"> XDR (</w:t>
            </w:r>
            <w:proofErr w:type="spellStart"/>
            <w:r w:rsidRPr="002C38D1">
              <w:rPr>
                <w:color w:val="000000"/>
                <w:szCs w:val="24"/>
              </w:rPr>
              <w:t>includes</w:t>
            </w:r>
            <w:proofErr w:type="spellEnd"/>
            <w:r w:rsidRPr="002C38D1">
              <w:rPr>
                <w:color w:val="000000"/>
                <w:szCs w:val="24"/>
              </w:rPr>
              <w:t xml:space="preserve"> ASRM </w:t>
            </w:r>
            <w:proofErr w:type="spellStart"/>
            <w:r w:rsidRPr="002C38D1">
              <w:rPr>
                <w:color w:val="000000"/>
                <w:szCs w:val="24"/>
              </w:rPr>
              <w:t>addon</w:t>
            </w:r>
            <w:proofErr w:type="spellEnd"/>
            <w:r w:rsidRPr="002C38D1">
              <w:rPr>
                <w:color w:val="000000"/>
                <w:szCs w:val="24"/>
              </w:rPr>
              <w:t xml:space="preserve">), </w:t>
            </w:r>
            <w:proofErr w:type="spellStart"/>
            <w:r w:rsidRPr="002C38D1">
              <w:rPr>
                <w:color w:val="000000"/>
                <w:szCs w:val="24"/>
              </w:rPr>
              <w:t>Government</w:t>
            </w:r>
            <w:proofErr w:type="spellEnd"/>
            <w:r w:rsidRPr="002C38D1">
              <w:rPr>
                <w:color w:val="000000"/>
                <w:szCs w:val="24"/>
              </w:rPr>
              <w:t xml:space="preserve">, 251-500 </w:t>
            </w:r>
            <w:proofErr w:type="spellStart"/>
            <w:r w:rsidRPr="002C38D1">
              <w:rPr>
                <w:color w:val="000000"/>
                <w:szCs w:val="24"/>
              </w:rPr>
              <w:t>License</w:t>
            </w:r>
            <w:proofErr w:type="spellEnd"/>
            <w:r w:rsidRPr="002C38D1">
              <w:rPr>
                <w:color w:val="000000"/>
                <w:szCs w:val="24"/>
              </w:rPr>
              <w:t xml:space="preserve">, 12 </w:t>
            </w:r>
            <w:proofErr w:type="spellStart"/>
            <w:r w:rsidRPr="002C38D1">
              <w:rPr>
                <w:color w:val="000000"/>
                <w:szCs w:val="24"/>
              </w:rPr>
              <w:t>months</w:t>
            </w:r>
            <w:proofErr w:type="spellEnd"/>
          </w:p>
        </w:tc>
        <w:tc>
          <w:tcPr>
            <w:tcW w:w="1351" w:type="dxa"/>
            <w:tcBorders>
              <w:top w:val="single" w:sz="4" w:space="0" w:color="auto"/>
              <w:left w:val="single" w:sz="4" w:space="0" w:color="auto"/>
              <w:bottom w:val="single" w:sz="4" w:space="0" w:color="auto"/>
              <w:right w:val="single" w:sz="4" w:space="0" w:color="auto"/>
            </w:tcBorders>
            <w:hideMark/>
          </w:tcPr>
          <w:p w14:paraId="660E2FA3" w14:textId="77777777" w:rsidR="00EF0B88" w:rsidRPr="002C38D1" w:rsidRDefault="00EF0B88" w:rsidP="00EF0B88">
            <w:pPr>
              <w:rPr>
                <w:color w:val="000000"/>
                <w:szCs w:val="24"/>
              </w:rPr>
            </w:pPr>
            <w:r w:rsidRPr="002C38D1">
              <w:rPr>
                <w:color w:val="000000"/>
                <w:szCs w:val="24"/>
              </w:rPr>
              <w:t>100</w:t>
            </w:r>
          </w:p>
        </w:tc>
        <w:tc>
          <w:tcPr>
            <w:tcW w:w="2639" w:type="dxa"/>
            <w:tcBorders>
              <w:top w:val="single" w:sz="4" w:space="0" w:color="auto"/>
              <w:left w:val="single" w:sz="4" w:space="0" w:color="auto"/>
              <w:bottom w:val="single" w:sz="4" w:space="0" w:color="auto"/>
              <w:right w:val="single" w:sz="4" w:space="0" w:color="auto"/>
            </w:tcBorders>
            <w:hideMark/>
          </w:tcPr>
          <w:p w14:paraId="49467148" w14:textId="77777777" w:rsidR="00EF0B88" w:rsidRPr="002C38D1" w:rsidRDefault="00EF0B88" w:rsidP="00EF0B88">
            <w:pPr>
              <w:rPr>
                <w:color w:val="000000"/>
                <w:szCs w:val="24"/>
              </w:rPr>
            </w:pPr>
            <w:r w:rsidRPr="002C38D1">
              <w:rPr>
                <w:color w:val="000000"/>
                <w:szCs w:val="24"/>
              </w:rPr>
              <w:t xml:space="preserve">2025-01-18 </w:t>
            </w:r>
          </w:p>
        </w:tc>
      </w:tr>
      <w:tr w:rsidR="00EF0B88" w:rsidRPr="006C1C04" w14:paraId="7943E37E" w14:textId="77777777" w:rsidTr="006C1C04">
        <w:tc>
          <w:tcPr>
            <w:tcW w:w="675" w:type="dxa"/>
            <w:tcBorders>
              <w:top w:val="nil"/>
              <w:left w:val="single" w:sz="4" w:space="0" w:color="auto"/>
              <w:bottom w:val="single" w:sz="4" w:space="0" w:color="auto"/>
              <w:right w:val="single" w:sz="4" w:space="0" w:color="auto"/>
            </w:tcBorders>
            <w:hideMark/>
          </w:tcPr>
          <w:p w14:paraId="4E43D1F9" w14:textId="77777777" w:rsidR="00EF0B88" w:rsidRPr="002C38D1" w:rsidRDefault="00EF0B88" w:rsidP="00EF0B88">
            <w:pPr>
              <w:rPr>
                <w:color w:val="000000"/>
                <w:szCs w:val="24"/>
              </w:rPr>
            </w:pPr>
            <w:r w:rsidRPr="002C38D1">
              <w:rPr>
                <w:color w:val="000000"/>
                <w:szCs w:val="24"/>
              </w:rPr>
              <w:t>2.</w:t>
            </w:r>
          </w:p>
        </w:tc>
        <w:tc>
          <w:tcPr>
            <w:tcW w:w="4830" w:type="dxa"/>
            <w:tcBorders>
              <w:top w:val="nil"/>
              <w:left w:val="single" w:sz="4" w:space="0" w:color="auto"/>
              <w:bottom w:val="single" w:sz="4" w:space="0" w:color="auto"/>
              <w:right w:val="single" w:sz="4" w:space="0" w:color="auto"/>
            </w:tcBorders>
            <w:hideMark/>
          </w:tcPr>
          <w:p w14:paraId="1ADB0CBC" w14:textId="77777777" w:rsidR="00EF0B88" w:rsidRPr="002C38D1" w:rsidRDefault="00EF0B88" w:rsidP="00EF0B88">
            <w:pPr>
              <w:rPr>
                <w:color w:val="000000"/>
                <w:szCs w:val="24"/>
              </w:rPr>
            </w:pPr>
            <w:r w:rsidRPr="002C38D1">
              <w:rPr>
                <w:color w:val="000000"/>
                <w:szCs w:val="24"/>
              </w:rPr>
              <w:t xml:space="preserve">Programinės įrangos licencija </w:t>
            </w:r>
            <w:proofErr w:type="spellStart"/>
            <w:r w:rsidRPr="002C38D1">
              <w:rPr>
                <w:color w:val="000000"/>
                <w:szCs w:val="24"/>
              </w:rPr>
              <w:t>Trend</w:t>
            </w:r>
            <w:proofErr w:type="spellEnd"/>
            <w:r w:rsidRPr="002C38D1">
              <w:rPr>
                <w:color w:val="000000"/>
                <w:szCs w:val="24"/>
              </w:rPr>
              <w:t xml:space="preserve"> </w:t>
            </w:r>
            <w:proofErr w:type="spellStart"/>
            <w:r w:rsidRPr="002C38D1">
              <w:rPr>
                <w:color w:val="000000"/>
                <w:szCs w:val="24"/>
              </w:rPr>
              <w:t>Micro</w:t>
            </w:r>
            <w:proofErr w:type="spellEnd"/>
            <w:r w:rsidRPr="002C38D1">
              <w:rPr>
                <w:color w:val="000000"/>
                <w:szCs w:val="24"/>
              </w:rPr>
              <w:t xml:space="preserve"> </w:t>
            </w:r>
            <w:proofErr w:type="spellStart"/>
            <w:r w:rsidRPr="002C38D1">
              <w:rPr>
                <w:color w:val="000000"/>
                <w:szCs w:val="24"/>
              </w:rPr>
              <w:t>Cloud</w:t>
            </w:r>
            <w:proofErr w:type="spellEnd"/>
            <w:r w:rsidRPr="002C38D1">
              <w:rPr>
                <w:color w:val="000000"/>
                <w:szCs w:val="24"/>
              </w:rPr>
              <w:t xml:space="preserve"> One – </w:t>
            </w:r>
            <w:proofErr w:type="spellStart"/>
            <w:r w:rsidRPr="002C38D1">
              <w:rPr>
                <w:color w:val="000000"/>
                <w:szCs w:val="24"/>
              </w:rPr>
              <w:t>Workload</w:t>
            </w:r>
            <w:proofErr w:type="spellEnd"/>
            <w:r w:rsidRPr="002C38D1">
              <w:rPr>
                <w:color w:val="000000"/>
                <w:szCs w:val="24"/>
              </w:rPr>
              <w:t xml:space="preserve"> </w:t>
            </w:r>
            <w:proofErr w:type="spellStart"/>
            <w:r w:rsidRPr="002C38D1">
              <w:rPr>
                <w:color w:val="000000"/>
                <w:szCs w:val="24"/>
              </w:rPr>
              <w:t>Security</w:t>
            </w:r>
            <w:proofErr w:type="spellEnd"/>
            <w:r w:rsidRPr="002C38D1">
              <w:rPr>
                <w:color w:val="000000"/>
                <w:szCs w:val="24"/>
              </w:rPr>
              <w:t xml:space="preserve"> </w:t>
            </w:r>
            <w:proofErr w:type="spellStart"/>
            <w:r w:rsidRPr="002C38D1">
              <w:rPr>
                <w:color w:val="000000"/>
                <w:szCs w:val="24"/>
              </w:rPr>
              <w:t>with</w:t>
            </w:r>
            <w:proofErr w:type="spellEnd"/>
            <w:r w:rsidRPr="002C38D1">
              <w:rPr>
                <w:color w:val="000000"/>
                <w:szCs w:val="24"/>
              </w:rPr>
              <w:t xml:space="preserve"> XDR (</w:t>
            </w:r>
            <w:proofErr w:type="spellStart"/>
            <w:r w:rsidRPr="002C38D1">
              <w:rPr>
                <w:color w:val="000000"/>
                <w:szCs w:val="24"/>
              </w:rPr>
              <w:t>includes</w:t>
            </w:r>
            <w:proofErr w:type="spellEnd"/>
            <w:r w:rsidRPr="002C38D1">
              <w:rPr>
                <w:color w:val="000000"/>
                <w:szCs w:val="24"/>
              </w:rPr>
              <w:t xml:space="preserve"> ASRM </w:t>
            </w:r>
            <w:proofErr w:type="spellStart"/>
            <w:r w:rsidRPr="002C38D1">
              <w:rPr>
                <w:color w:val="000000"/>
                <w:szCs w:val="24"/>
              </w:rPr>
              <w:t>addon</w:t>
            </w:r>
            <w:proofErr w:type="spellEnd"/>
            <w:r w:rsidRPr="002C38D1">
              <w:rPr>
                <w:color w:val="000000"/>
                <w:szCs w:val="24"/>
              </w:rPr>
              <w:t xml:space="preserve">), </w:t>
            </w:r>
            <w:proofErr w:type="spellStart"/>
            <w:r w:rsidRPr="002C38D1">
              <w:rPr>
                <w:color w:val="000000"/>
                <w:szCs w:val="24"/>
              </w:rPr>
              <w:t>Government</w:t>
            </w:r>
            <w:proofErr w:type="spellEnd"/>
            <w:r w:rsidRPr="002C38D1">
              <w:rPr>
                <w:color w:val="000000"/>
                <w:szCs w:val="24"/>
              </w:rPr>
              <w:t xml:space="preserve">, 251-500 </w:t>
            </w:r>
            <w:proofErr w:type="spellStart"/>
            <w:r w:rsidRPr="002C38D1">
              <w:rPr>
                <w:color w:val="000000"/>
                <w:szCs w:val="24"/>
              </w:rPr>
              <w:t>License</w:t>
            </w:r>
            <w:proofErr w:type="spellEnd"/>
            <w:r w:rsidRPr="002C38D1">
              <w:rPr>
                <w:color w:val="000000"/>
                <w:szCs w:val="24"/>
              </w:rPr>
              <w:t xml:space="preserve">, 12 </w:t>
            </w:r>
            <w:proofErr w:type="spellStart"/>
            <w:r w:rsidRPr="002C38D1">
              <w:rPr>
                <w:color w:val="000000"/>
                <w:szCs w:val="24"/>
              </w:rPr>
              <w:t>months</w:t>
            </w:r>
            <w:proofErr w:type="spellEnd"/>
          </w:p>
        </w:tc>
        <w:tc>
          <w:tcPr>
            <w:tcW w:w="1351" w:type="dxa"/>
            <w:tcBorders>
              <w:top w:val="nil"/>
              <w:left w:val="single" w:sz="4" w:space="0" w:color="auto"/>
              <w:bottom w:val="single" w:sz="4" w:space="0" w:color="auto"/>
              <w:right w:val="single" w:sz="4" w:space="0" w:color="auto"/>
            </w:tcBorders>
            <w:hideMark/>
          </w:tcPr>
          <w:p w14:paraId="60844284" w14:textId="77777777" w:rsidR="00EF0B88" w:rsidRPr="002C38D1" w:rsidRDefault="00EF0B88" w:rsidP="00EF0B88">
            <w:pPr>
              <w:rPr>
                <w:color w:val="000000"/>
                <w:szCs w:val="24"/>
              </w:rPr>
            </w:pPr>
            <w:r w:rsidRPr="002C38D1">
              <w:rPr>
                <w:color w:val="000000"/>
                <w:szCs w:val="24"/>
              </w:rPr>
              <w:t>100</w:t>
            </w:r>
          </w:p>
        </w:tc>
        <w:tc>
          <w:tcPr>
            <w:tcW w:w="2639" w:type="dxa"/>
            <w:tcBorders>
              <w:top w:val="nil"/>
              <w:left w:val="single" w:sz="4" w:space="0" w:color="auto"/>
              <w:bottom w:val="single" w:sz="4" w:space="0" w:color="auto"/>
              <w:right w:val="single" w:sz="4" w:space="0" w:color="auto"/>
            </w:tcBorders>
            <w:hideMark/>
          </w:tcPr>
          <w:p w14:paraId="4CF8A0F6" w14:textId="77777777" w:rsidR="00EF0B88" w:rsidRPr="002C38D1" w:rsidRDefault="00EF0B88" w:rsidP="00EF0B88">
            <w:pPr>
              <w:rPr>
                <w:color w:val="000000"/>
                <w:szCs w:val="24"/>
              </w:rPr>
            </w:pPr>
            <w:r w:rsidRPr="002C38D1">
              <w:rPr>
                <w:color w:val="000000"/>
                <w:szCs w:val="24"/>
              </w:rPr>
              <w:t xml:space="preserve">2025-01-18 </w:t>
            </w:r>
          </w:p>
        </w:tc>
      </w:tr>
    </w:tbl>
    <w:p w14:paraId="037A8815" w14:textId="77777777" w:rsidR="005C784F" w:rsidRDefault="005C784F" w:rsidP="006C1C04">
      <w:pPr>
        <w:jc w:val="center"/>
        <w:rPr>
          <w:rFonts w:asciiTheme="minorHAnsi" w:eastAsiaTheme="minorHAnsi" w:hAnsiTheme="minorHAnsi" w:cstheme="minorHAnsi"/>
          <w:b/>
          <w:bCs/>
          <w:sz w:val="22"/>
          <w:lang w:eastAsia="lt-LT"/>
        </w:rPr>
      </w:pPr>
    </w:p>
    <w:p w14:paraId="6EA2C324" w14:textId="45EF2C12" w:rsidR="006C1C04" w:rsidRPr="006C1C04" w:rsidRDefault="006C1C04" w:rsidP="006C1C04">
      <w:pPr>
        <w:jc w:val="center"/>
        <w:rPr>
          <w:rFonts w:asciiTheme="minorHAnsi" w:eastAsiaTheme="minorHAnsi" w:hAnsiTheme="minorHAnsi" w:cstheme="minorHAnsi"/>
          <w:b/>
          <w:bCs/>
          <w:sz w:val="22"/>
          <w:lang w:eastAsia="lt-LT"/>
        </w:rPr>
      </w:pPr>
      <w:r w:rsidRPr="006C1C04">
        <w:rPr>
          <w:rFonts w:asciiTheme="minorHAnsi" w:eastAsiaTheme="minorHAnsi" w:hAnsiTheme="minorHAnsi" w:cstheme="minorHAnsi"/>
          <w:b/>
          <w:bCs/>
          <w:sz w:val="22"/>
          <w:lang w:eastAsia="lt-LT"/>
        </w:rPr>
        <w:t>2. REIKALAVIMAI, SUSIJĘ SU NACIONALINIU SAUGUMU.</w:t>
      </w:r>
    </w:p>
    <w:tbl>
      <w:tblPr>
        <w:tblStyle w:val="Lentelstinklelis11"/>
        <w:tblW w:w="5265" w:type="pct"/>
        <w:tblInd w:w="0" w:type="dxa"/>
        <w:tblLook w:val="04A0" w:firstRow="1" w:lastRow="0" w:firstColumn="1" w:lastColumn="0" w:noHBand="0" w:noVBand="1"/>
      </w:tblPr>
      <w:tblGrid>
        <w:gridCol w:w="9494"/>
      </w:tblGrid>
      <w:tr w:rsidR="006C1C04" w:rsidRPr="006C1C04" w14:paraId="3091E763" w14:textId="77777777" w:rsidTr="005C784F">
        <w:trPr>
          <w:trHeight w:val="16"/>
        </w:trPr>
        <w:tc>
          <w:tcPr>
            <w:tcW w:w="5000" w:type="pct"/>
            <w:tcBorders>
              <w:top w:val="single" w:sz="4" w:space="0" w:color="auto"/>
              <w:left w:val="single" w:sz="4" w:space="0" w:color="auto"/>
              <w:bottom w:val="single" w:sz="4" w:space="0" w:color="auto"/>
              <w:right w:val="single" w:sz="4" w:space="0" w:color="auto"/>
            </w:tcBorders>
            <w:vAlign w:val="center"/>
            <w:hideMark/>
          </w:tcPr>
          <w:p w14:paraId="75253C94" w14:textId="77777777" w:rsidR="006C1C04" w:rsidRPr="002C38D1" w:rsidRDefault="006C1C04" w:rsidP="007C5F05">
            <w:pPr>
              <w:spacing w:before="60" w:after="60"/>
              <w:jc w:val="both"/>
              <w:rPr>
                <w:rFonts w:ascii="Calibri Light" w:hAnsi="Calibri Light" w:cs="Calibri Light"/>
                <w:iCs/>
                <w:sz w:val="22"/>
                <w:highlight w:val="yellow"/>
                <w:lang w:val="lt-LT"/>
              </w:rPr>
            </w:pPr>
            <w:r w:rsidRPr="00975272">
              <w:rPr>
                <w:rFonts w:ascii="Calibri Light" w:eastAsia="Cambria" w:hAnsi="Calibri Light" w:cs="Calibri Light"/>
                <w:sz w:val="22"/>
                <w:u w:val="single"/>
                <w:lang w:val="lt-LT"/>
              </w:rPr>
              <w:t>Pirkimo objektui taikomi VPĮ 37 str. 9 dalies reikalavimai susiję su nacionaliniu saugumu*</w:t>
            </w:r>
            <w:r w:rsidRPr="006C1C04">
              <w:rPr>
                <w:rFonts w:ascii="Calibri Light" w:eastAsia="Cambria" w:hAnsi="Calibri Light" w:cs="Calibri Light"/>
                <w:sz w:val="22"/>
                <w:lang w:val="lt-LT"/>
              </w:rPr>
              <w:t xml:space="preserve">. Tiekėjas privalo įrodyti, kad siūlomos paslaugos ir prekės nekelia grėsmės nacionaliniam saugumui, </w:t>
            </w:r>
            <w:r w:rsidRPr="00975272">
              <w:rPr>
                <w:rFonts w:ascii="Calibri Light" w:eastAsia="Cambria" w:hAnsi="Calibri Light" w:cs="Calibri Light"/>
                <w:sz w:val="22"/>
                <w:u w:val="single"/>
                <w:lang w:val="lt-LT"/>
              </w:rPr>
              <w:t>paslaugų teikimas nėra vykdomas iš VPĮ 92 straipsnio 14 dalyje numatytame sąraše nurodytų valstybių ar teritorijų</w:t>
            </w:r>
            <w:r w:rsidRPr="00975272">
              <w:rPr>
                <w:rFonts w:ascii="Calibri Light" w:eastAsia="Cambria" w:hAnsi="Calibri Light" w:cs="Calibri Light"/>
                <w:sz w:val="22"/>
                <w:lang w:val="lt-LT"/>
              </w:rPr>
              <w:t>.</w:t>
            </w:r>
          </w:p>
        </w:tc>
      </w:tr>
      <w:tr w:rsidR="006C1C04" w:rsidRPr="006C1C04" w14:paraId="41D23394" w14:textId="77777777" w:rsidTr="005C784F">
        <w:trPr>
          <w:trHeight w:val="16"/>
        </w:trPr>
        <w:tc>
          <w:tcPr>
            <w:tcW w:w="5000" w:type="pct"/>
            <w:tcBorders>
              <w:top w:val="single" w:sz="4" w:space="0" w:color="auto"/>
              <w:left w:val="single" w:sz="4" w:space="0" w:color="auto"/>
              <w:bottom w:val="single" w:sz="4" w:space="0" w:color="auto"/>
              <w:right w:val="single" w:sz="4" w:space="0" w:color="auto"/>
            </w:tcBorders>
            <w:vAlign w:val="center"/>
          </w:tcPr>
          <w:p w14:paraId="686690E9" w14:textId="77777777" w:rsidR="006C1C04" w:rsidRPr="006C1C04" w:rsidRDefault="006C1C04" w:rsidP="007C5F05">
            <w:pPr>
              <w:jc w:val="both"/>
              <w:rPr>
                <w:rFonts w:ascii="Calibri Light" w:hAnsi="Calibri Light" w:cs="Calibri Light"/>
                <w:iCs/>
                <w:sz w:val="22"/>
                <w:lang w:val="lt-LT"/>
              </w:rPr>
            </w:pPr>
            <w:r w:rsidRPr="00975272">
              <w:rPr>
                <w:rFonts w:ascii="Calibri Light" w:eastAsia="Cambria" w:hAnsi="Calibri Light" w:cs="Calibri Light"/>
                <w:sz w:val="22"/>
                <w:lang w:val="lt-LT"/>
              </w:rPr>
              <w:t>Pirkimo vykdytojas pasiūlymo atitikčiai VPĮ 37 straipsnio 9 dalies reikalavimams patvirtinti iš tiekėjo reikalauja KARTU SU PARAIŠKA</w:t>
            </w:r>
            <w:r w:rsidRPr="006C1C04">
              <w:rPr>
                <w:rFonts w:ascii="Calibri Light" w:eastAsia="Cambria" w:hAnsi="Calibri Light" w:cs="Calibri Light"/>
                <w:sz w:val="22"/>
                <w:lang w:val="lt-LT"/>
              </w:rPr>
              <w:t xml:space="preserve"> </w:t>
            </w:r>
            <w:r w:rsidRPr="00975272">
              <w:rPr>
                <w:rFonts w:ascii="Calibri Light" w:eastAsia="Cambria" w:hAnsi="Calibri Light" w:cs="Calibri Light"/>
                <w:sz w:val="22"/>
                <w:lang w:val="lt-LT"/>
              </w:rPr>
              <w:t>PATEIKTI užpildytą „Nacionalinio saugumo reikalavimų atitikties deklaracija“ (7_PRIEDAS_A_DALIS_Atitikties_deklaracija)***, o iš Konkrečiam pirkimui ekonomiškai naudingiausią pasiūlymą pateikusio DPS tiekėjo reikalaus pateikti (</w:t>
            </w:r>
            <w:r w:rsidRPr="00975272">
              <w:rPr>
                <w:rFonts w:ascii="Calibri Light" w:eastAsia="Cambria" w:hAnsi="Calibri Light" w:cs="Calibri Light"/>
                <w:sz w:val="22"/>
                <w:u w:val="single"/>
                <w:lang w:val="lt-LT"/>
              </w:rPr>
              <w:t>kartu su pasiūlymu šių dokumentų tiekėjas pateikti neturi</w:t>
            </w:r>
            <w:r w:rsidRPr="00975272">
              <w:rPr>
                <w:rFonts w:ascii="Calibri Light" w:eastAsia="Cambria" w:hAnsi="Calibri Light" w:cs="Calibri Light"/>
                <w:sz w:val="22"/>
                <w:lang w:val="lt-LT"/>
              </w:rPr>
              <w:t>)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6C1C04" w:rsidRPr="006C1C04" w14:paraId="59F271F9" w14:textId="77777777" w:rsidTr="005C784F">
        <w:trPr>
          <w:trHeight w:val="16"/>
        </w:trPr>
        <w:tc>
          <w:tcPr>
            <w:tcW w:w="5000" w:type="pct"/>
            <w:tcBorders>
              <w:top w:val="single" w:sz="4" w:space="0" w:color="auto"/>
              <w:left w:val="single" w:sz="4" w:space="0" w:color="auto"/>
              <w:bottom w:val="single" w:sz="4" w:space="0" w:color="auto"/>
              <w:right w:val="single" w:sz="4" w:space="0" w:color="auto"/>
            </w:tcBorders>
            <w:vAlign w:val="center"/>
          </w:tcPr>
          <w:p w14:paraId="3811950D" w14:textId="77777777" w:rsidR="006C1C04" w:rsidRPr="002C38D1" w:rsidRDefault="006C1C04" w:rsidP="007C5F05">
            <w:pPr>
              <w:spacing w:before="60" w:after="60"/>
              <w:jc w:val="both"/>
              <w:rPr>
                <w:rFonts w:ascii="Calibri Light" w:eastAsia="Cambria" w:hAnsi="Calibri Light" w:cs="Calibri Light"/>
                <w:sz w:val="22"/>
                <w:lang w:val="lt-LT"/>
              </w:rPr>
            </w:pPr>
            <w:r w:rsidRPr="00975272">
              <w:rPr>
                <w:rFonts w:ascii="Calibri Light" w:eastAsia="Cambria" w:hAnsi="Calibri Light" w:cs="Calibri Light"/>
                <w:sz w:val="22"/>
                <w:lang w:val="lt-LT"/>
              </w:rPr>
              <w:t>Pastabos:</w:t>
            </w:r>
          </w:p>
          <w:p w14:paraId="158FD6DC" w14:textId="77777777" w:rsidR="006C1C04" w:rsidRPr="006C1C04" w:rsidRDefault="006C1C04" w:rsidP="007C5F05">
            <w:pPr>
              <w:spacing w:before="60" w:after="60"/>
              <w:jc w:val="both"/>
              <w:rPr>
                <w:rFonts w:ascii="Calibri Light" w:eastAsia="Cambria" w:hAnsi="Calibri Light" w:cs="Calibri Light"/>
                <w:i/>
                <w:sz w:val="22"/>
                <w:lang w:val="lt-LT"/>
              </w:rPr>
            </w:pPr>
            <w:r w:rsidRPr="006C1C04">
              <w:rPr>
                <w:rFonts w:ascii="Calibri Light" w:eastAsia="Cambria" w:hAnsi="Calibri Light" w:cs="Calibri Light"/>
                <w:i/>
                <w:sz w:val="22"/>
                <w:lang w:val="lt-LT"/>
              </w:rPr>
              <w:t xml:space="preserve">*Jeigu prekių gamintojas ar paslaugų teikėjas ar jį kontroliuojantis asmuo yra nacionaliniam saugumui užtikrinti svarbi įmonė, valstybės įmonė, savivaldybės įmonė, taip pat valstybės valdoma bendrovė ir jų </w:t>
            </w:r>
            <w:r w:rsidRPr="006C1C04">
              <w:rPr>
                <w:rFonts w:ascii="Calibri Light" w:eastAsia="Cambria" w:hAnsi="Calibri Light" w:cs="Calibri Light"/>
                <w:i/>
                <w:sz w:val="22"/>
                <w:lang w:val="lt-LT"/>
              </w:rPr>
              <w:lastRenderedPageBreak/>
              <w:t>dukterinės bendrovės, išvardytos Nacionaliniam saugumui užtikrinti svarbių objektų apsaugos įstatyme, šiems subjektams aukščiau nurodytas reikalavimas (VPĮ 37 straipsnio 9 dalis) yra netaikomas.</w:t>
            </w:r>
          </w:p>
          <w:p w14:paraId="4A32862B" w14:textId="77777777" w:rsidR="006C1C04" w:rsidRPr="006C1C04" w:rsidRDefault="006C1C04" w:rsidP="007C5F05">
            <w:pPr>
              <w:spacing w:before="60" w:after="60"/>
              <w:jc w:val="both"/>
              <w:rPr>
                <w:rFonts w:ascii="Calibri Light" w:eastAsia="Cambria" w:hAnsi="Calibri Light" w:cs="Calibri Light"/>
                <w:i/>
                <w:sz w:val="22"/>
                <w:lang w:val="lt-LT"/>
              </w:rPr>
            </w:pPr>
            <w:r w:rsidRPr="006C1C04">
              <w:rPr>
                <w:rFonts w:ascii="Calibri Light" w:eastAsia="Cambria" w:hAnsi="Calibri Light" w:cs="Calibri Light"/>
                <w:i/>
                <w:sz w:val="22"/>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14:paraId="0F520E12" w14:textId="77777777" w:rsidR="006C1C04" w:rsidRPr="002C38D1" w:rsidRDefault="006C1C04" w:rsidP="007C5F05">
            <w:pPr>
              <w:spacing w:before="60" w:after="60"/>
              <w:jc w:val="both"/>
              <w:rPr>
                <w:rFonts w:ascii="Calibri Light" w:eastAsia="Cambria" w:hAnsi="Calibri Light" w:cs="Calibri Light"/>
                <w:sz w:val="22"/>
                <w:lang w:val="lt-LT"/>
              </w:rPr>
            </w:pPr>
            <w:r w:rsidRPr="00975272">
              <w:rPr>
                <w:rFonts w:ascii="Calibri Light" w:eastAsia="Cambria" w:hAnsi="Calibri Light" w:cs="Calibri Light"/>
                <w:i/>
                <w:sz w:val="22"/>
                <w:lang w:val="lt-LT"/>
              </w:rPr>
              <w:t xml:space="preserve">*** </w:t>
            </w:r>
            <w:r w:rsidRPr="006C1C04">
              <w:rPr>
                <w:rFonts w:ascii="Calibri Light" w:eastAsia="Cambria" w:hAnsi="Calibri Light" w:cs="Calibri Light"/>
                <w:i/>
                <w:sz w:val="22"/>
                <w:lang w:val="lt-LT"/>
              </w:rPr>
              <w:t>Konkrečiam pirkimui teikti nereikia, jei DPS sukūrimo p</w:t>
            </w:r>
            <w:r w:rsidRPr="006C1C04">
              <w:rPr>
                <w:rFonts w:ascii="Calibri Light" w:eastAsia="Arial" w:hAnsi="Calibri Light" w:cs="Calibri Light"/>
                <w:i/>
                <w:color w:val="000000"/>
                <w:sz w:val="22"/>
                <w:lang w:val="lt-LT"/>
              </w:rPr>
              <w:t xml:space="preserve">irkimui Nr. CVPIS </w:t>
            </w:r>
            <w:hyperlink r:id="rId7" w:history="1">
              <w:r w:rsidRPr="006C1C04">
                <w:rPr>
                  <w:rFonts w:ascii="Calibri Light" w:eastAsia="Arial" w:hAnsi="Calibri Light" w:cs="Calibri Light"/>
                  <w:i/>
                  <w:color w:val="0000FF"/>
                  <w:sz w:val="22"/>
                  <w:u w:val="single"/>
                  <w:lang w:val="lt-LT"/>
                </w:rPr>
                <w:t>697161</w:t>
              </w:r>
            </w:hyperlink>
            <w:r w:rsidRPr="006C1C04">
              <w:rPr>
                <w:rFonts w:ascii="Calibri Light" w:eastAsia="Arial" w:hAnsi="Calibri Light" w:cs="Calibri Light"/>
                <w:i/>
                <w:color w:val="FF0000"/>
                <w:sz w:val="22"/>
                <w:lang w:val="lt-LT"/>
              </w:rPr>
              <w:t xml:space="preserve"> </w:t>
            </w:r>
            <w:r w:rsidRPr="006C1C04">
              <w:rPr>
                <w:rFonts w:ascii="Calibri Light" w:eastAsia="Cambria" w:hAnsi="Calibri Light" w:cs="Calibri Light"/>
                <w:i/>
                <w:sz w:val="22"/>
                <w:lang w:val="lt-LT"/>
              </w:rPr>
              <w:t>Nacionalinio saugumo reikalavimų atitikties deklaracijoje (A dalies. DPS sukūrimas 7 priedas) nurodyta informacija yra nepasikeitusi;</w:t>
            </w:r>
          </w:p>
        </w:tc>
      </w:tr>
    </w:tbl>
    <w:p w14:paraId="450B4874" w14:textId="77777777" w:rsidR="006C1C04" w:rsidRPr="001D5947" w:rsidRDefault="006C1C04" w:rsidP="006C1C04">
      <w:pPr>
        <w:ind w:firstLine="425"/>
        <w:jc w:val="both"/>
        <w:rPr>
          <w:rFonts w:asciiTheme="minorHAnsi" w:eastAsiaTheme="minorHAnsi" w:hAnsiTheme="minorHAnsi" w:cstheme="minorHAnsi"/>
          <w:b/>
          <w:bCs/>
          <w:sz w:val="22"/>
          <w:lang w:eastAsia="lt-LT"/>
        </w:rPr>
      </w:pPr>
    </w:p>
    <w:p w14:paraId="5CE772AA" w14:textId="77777777" w:rsidR="006C1C04" w:rsidRPr="001D5947" w:rsidRDefault="006C1C04" w:rsidP="006C1C04">
      <w:pPr>
        <w:jc w:val="center"/>
        <w:rPr>
          <w:rFonts w:asciiTheme="minorHAnsi" w:eastAsiaTheme="minorHAnsi" w:hAnsiTheme="minorHAnsi" w:cstheme="minorHAnsi"/>
          <w:b/>
          <w:bCs/>
          <w:sz w:val="22"/>
          <w:lang w:eastAsia="lt-LT"/>
        </w:rPr>
      </w:pPr>
      <w:r w:rsidRPr="001D5947">
        <w:rPr>
          <w:rFonts w:asciiTheme="minorHAnsi" w:eastAsiaTheme="minorHAnsi" w:hAnsiTheme="minorHAnsi" w:cstheme="minorHAnsi"/>
          <w:b/>
          <w:bCs/>
          <w:sz w:val="22"/>
          <w:lang w:eastAsia="lt-LT"/>
        </w:rPr>
        <w:t>3. APLINKOSAUGINIAI KRITERIJAI.</w:t>
      </w:r>
    </w:p>
    <w:tbl>
      <w:tblPr>
        <w:tblStyle w:val="Lentelstinklelis11"/>
        <w:tblW w:w="5265" w:type="pct"/>
        <w:tblInd w:w="0" w:type="dxa"/>
        <w:tblLook w:val="04A0" w:firstRow="1" w:lastRow="0" w:firstColumn="1" w:lastColumn="0" w:noHBand="0" w:noVBand="1"/>
      </w:tblPr>
      <w:tblGrid>
        <w:gridCol w:w="9494"/>
      </w:tblGrid>
      <w:tr w:rsidR="006C1C04" w:rsidRPr="001D5947" w14:paraId="09806E86" w14:textId="77777777" w:rsidTr="005C784F">
        <w:trPr>
          <w:trHeight w:val="16"/>
        </w:trPr>
        <w:tc>
          <w:tcPr>
            <w:tcW w:w="5000" w:type="pct"/>
            <w:tcBorders>
              <w:top w:val="single" w:sz="4" w:space="0" w:color="auto"/>
              <w:left w:val="single" w:sz="4" w:space="0" w:color="auto"/>
              <w:bottom w:val="single" w:sz="4" w:space="0" w:color="auto"/>
              <w:right w:val="single" w:sz="4" w:space="0" w:color="auto"/>
            </w:tcBorders>
          </w:tcPr>
          <w:p w14:paraId="3626CC82" w14:textId="77777777" w:rsidR="006C1C04" w:rsidRPr="001D5947" w:rsidRDefault="006C1C04" w:rsidP="007C5F05">
            <w:pPr>
              <w:spacing w:before="60" w:after="60"/>
              <w:jc w:val="both"/>
              <w:rPr>
                <w:rFonts w:asciiTheme="minorHAnsi" w:eastAsia="Cambria" w:hAnsiTheme="minorHAnsi" w:cstheme="minorHAnsi"/>
                <w:b/>
                <w:sz w:val="22"/>
                <w:lang w:val="lt-LT"/>
              </w:rPr>
            </w:pPr>
            <w:r w:rsidRPr="001D5947">
              <w:rPr>
                <w:rFonts w:asciiTheme="minorHAnsi" w:eastAsia="Cambria" w:hAnsiTheme="minorHAnsi" w:cstheme="minorHAnsi"/>
                <w:b/>
                <w:sz w:val="22"/>
                <w:lang w:val="lt-LT"/>
              </w:rPr>
              <w:t>APLINKOSAUGINIAI KRITERIJAI</w:t>
            </w:r>
          </w:p>
        </w:tc>
      </w:tr>
      <w:tr w:rsidR="006C1C04" w:rsidRPr="001D5947" w14:paraId="2A7BCFF1" w14:textId="77777777" w:rsidTr="005C784F">
        <w:trPr>
          <w:trHeight w:val="16"/>
        </w:trPr>
        <w:tc>
          <w:tcPr>
            <w:tcW w:w="5000" w:type="pct"/>
            <w:tcBorders>
              <w:top w:val="single" w:sz="4" w:space="0" w:color="auto"/>
              <w:left w:val="single" w:sz="4" w:space="0" w:color="auto"/>
              <w:bottom w:val="single" w:sz="4" w:space="0" w:color="auto"/>
              <w:right w:val="single" w:sz="4" w:space="0" w:color="auto"/>
            </w:tcBorders>
          </w:tcPr>
          <w:p w14:paraId="1F1CAF3F" w14:textId="77777777" w:rsidR="006C1C04" w:rsidRPr="001D5947" w:rsidRDefault="006C1C04" w:rsidP="007C5F05">
            <w:pPr>
              <w:spacing w:before="60" w:after="60"/>
              <w:jc w:val="both"/>
              <w:rPr>
                <w:rFonts w:asciiTheme="minorHAnsi" w:eastAsia="Cambria" w:hAnsiTheme="minorHAnsi" w:cstheme="minorHAnsi"/>
                <w:b/>
                <w:sz w:val="22"/>
                <w:lang w:val="lt-LT"/>
              </w:rPr>
            </w:pPr>
            <w:r w:rsidRPr="001D5947">
              <w:rPr>
                <w:rFonts w:asciiTheme="minorHAnsi" w:eastAsia="Yu Mincho" w:hAnsiTheme="minorHAnsi" w:cstheme="minorHAnsi"/>
                <w:sz w:val="22"/>
                <w:lang w:val="lt-LT"/>
              </w:rPr>
              <w:t>Pirkimo objektas atitinka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punkte nustatytą aplinkosauginį principą.</w:t>
            </w:r>
          </w:p>
        </w:tc>
      </w:tr>
    </w:tbl>
    <w:p w14:paraId="655466E8" w14:textId="0649B3DB" w:rsidR="00F40FAA" w:rsidRPr="00F40FAA" w:rsidRDefault="00F40FAA" w:rsidP="005D7716">
      <w:pPr>
        <w:rPr>
          <w:rFonts w:eastAsiaTheme="minorHAnsi"/>
          <w:b/>
          <w:bCs/>
          <w:szCs w:val="24"/>
          <w:lang w:eastAsia="lt-LT"/>
        </w:rPr>
      </w:pPr>
    </w:p>
    <w:p w14:paraId="4E226BC8" w14:textId="71FCBCE7" w:rsidR="00F40FAA" w:rsidRPr="00D06F42" w:rsidRDefault="00F40FAA" w:rsidP="00F40FAA">
      <w:pPr>
        <w:tabs>
          <w:tab w:val="left" w:pos="3492"/>
        </w:tabs>
        <w:spacing w:after="0" w:line="360" w:lineRule="auto"/>
        <w:ind w:firstLine="851"/>
        <w:jc w:val="both"/>
        <w:rPr>
          <w:rFonts w:eastAsiaTheme="minorHAnsi"/>
          <w:szCs w:val="24"/>
          <w:lang w:eastAsia="ar-S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1"/>
        <w:gridCol w:w="4655"/>
      </w:tblGrid>
      <w:tr w:rsidR="00F40FAA" w:rsidRPr="00A470F5" w14:paraId="6E3C0571" w14:textId="77777777" w:rsidTr="004471AA">
        <w:tc>
          <w:tcPr>
            <w:tcW w:w="4817" w:type="dxa"/>
          </w:tcPr>
          <w:p w14:paraId="198DA8BB" w14:textId="1348D51C" w:rsidR="00F40FAA" w:rsidRPr="00975272" w:rsidRDefault="00F40FAA" w:rsidP="004471AA">
            <w:pPr>
              <w:suppressAutoHyphens w:val="0"/>
              <w:autoSpaceDN/>
              <w:spacing w:after="0" w:line="240" w:lineRule="auto"/>
              <w:textAlignment w:val="auto"/>
              <w:rPr>
                <w:rFonts w:eastAsia="Times New Roman"/>
                <w:b/>
                <w:sz w:val="24"/>
                <w:szCs w:val="24"/>
                <w:lang w:val="nb-NO"/>
              </w:rPr>
            </w:pPr>
            <w:r w:rsidRPr="00975272">
              <w:rPr>
                <w:rFonts w:eastAsia="Times New Roman"/>
                <w:b/>
                <w:sz w:val="24"/>
                <w:szCs w:val="24"/>
                <w:lang w:val="nb-NO"/>
              </w:rPr>
              <w:t>KLIENTAS</w:t>
            </w:r>
          </w:p>
          <w:p w14:paraId="6A8ED5F0" w14:textId="77777777" w:rsidR="00F40FAA" w:rsidRPr="00975272" w:rsidRDefault="00F40FAA" w:rsidP="004471AA">
            <w:pPr>
              <w:suppressAutoHyphens w:val="0"/>
              <w:autoSpaceDN/>
              <w:spacing w:after="0" w:line="240" w:lineRule="auto"/>
              <w:textAlignment w:val="auto"/>
              <w:rPr>
                <w:rFonts w:eastAsia="Times New Roman"/>
                <w:b/>
                <w:sz w:val="24"/>
                <w:szCs w:val="24"/>
                <w:lang w:val="nb-NO"/>
              </w:rPr>
            </w:pPr>
          </w:p>
          <w:p w14:paraId="04B24763" w14:textId="77777777" w:rsidR="00F40FAA" w:rsidRPr="00975272" w:rsidRDefault="00F40FAA" w:rsidP="004471AA">
            <w:pPr>
              <w:suppressAutoHyphens w:val="0"/>
              <w:autoSpaceDN/>
              <w:spacing w:after="0" w:line="240" w:lineRule="auto"/>
              <w:jc w:val="both"/>
              <w:textAlignment w:val="auto"/>
              <w:rPr>
                <w:rFonts w:eastAsia="Times New Roman"/>
                <w:b/>
                <w:bCs/>
                <w:sz w:val="24"/>
                <w:szCs w:val="24"/>
                <w:lang w:val="nb-NO"/>
              </w:rPr>
            </w:pPr>
            <w:r w:rsidRPr="00975272">
              <w:rPr>
                <w:rFonts w:eastAsia="Times New Roman"/>
                <w:b/>
                <w:bCs/>
                <w:sz w:val="24"/>
                <w:szCs w:val="24"/>
                <w:lang w:val="nb-NO"/>
              </w:rPr>
              <w:t xml:space="preserve">Informatikos ir ryšių departamentas </w:t>
            </w:r>
          </w:p>
          <w:p w14:paraId="4669435B" w14:textId="77777777" w:rsidR="00F40FAA" w:rsidRPr="00975272" w:rsidRDefault="00F40FAA" w:rsidP="004471AA">
            <w:pPr>
              <w:suppressAutoHyphens w:val="0"/>
              <w:autoSpaceDN/>
              <w:spacing w:after="0" w:line="240" w:lineRule="auto"/>
              <w:jc w:val="both"/>
              <w:textAlignment w:val="auto"/>
              <w:rPr>
                <w:rFonts w:eastAsia="Times New Roman"/>
                <w:b/>
                <w:bCs/>
                <w:sz w:val="24"/>
                <w:szCs w:val="24"/>
                <w:lang w:val="nb-NO"/>
              </w:rPr>
            </w:pPr>
            <w:r w:rsidRPr="00975272">
              <w:rPr>
                <w:rFonts w:eastAsia="Times New Roman"/>
                <w:b/>
                <w:bCs/>
                <w:sz w:val="24"/>
                <w:szCs w:val="24"/>
                <w:lang w:val="nb-NO"/>
              </w:rPr>
              <w:t xml:space="preserve">prie Lietuvos Respublikos vidaus </w:t>
            </w:r>
          </w:p>
          <w:p w14:paraId="6077F786" w14:textId="0D7F7D2F" w:rsidR="00F40FAA" w:rsidRPr="00975272" w:rsidRDefault="00F40FAA" w:rsidP="00A606E4">
            <w:pPr>
              <w:suppressAutoHyphens w:val="0"/>
              <w:autoSpaceDN/>
              <w:spacing w:after="0" w:line="240" w:lineRule="auto"/>
              <w:jc w:val="both"/>
              <w:textAlignment w:val="auto"/>
              <w:rPr>
                <w:rFonts w:eastAsia="Times New Roman"/>
                <w:b/>
                <w:bCs/>
                <w:sz w:val="24"/>
                <w:szCs w:val="24"/>
                <w:lang w:val="nb-NO"/>
              </w:rPr>
            </w:pPr>
            <w:r w:rsidRPr="00975272">
              <w:rPr>
                <w:rFonts w:eastAsia="Times New Roman"/>
                <w:b/>
                <w:bCs/>
                <w:sz w:val="24"/>
                <w:szCs w:val="24"/>
                <w:lang w:val="nb-NO"/>
              </w:rPr>
              <w:t>reikalų ministerijos</w:t>
            </w:r>
          </w:p>
          <w:p w14:paraId="755FBB93" w14:textId="77777777" w:rsidR="00F40FAA" w:rsidRPr="00975272" w:rsidRDefault="00F40FAA" w:rsidP="004471AA">
            <w:pPr>
              <w:suppressAutoHyphens w:val="0"/>
              <w:autoSpaceDN/>
              <w:spacing w:after="0" w:line="240" w:lineRule="auto"/>
              <w:textAlignment w:val="auto"/>
              <w:rPr>
                <w:rFonts w:eastAsia="Times New Roman"/>
                <w:sz w:val="24"/>
                <w:szCs w:val="24"/>
                <w:lang w:val="nb-NO"/>
              </w:rPr>
            </w:pPr>
          </w:p>
          <w:p w14:paraId="74ABE5D1" w14:textId="77777777" w:rsidR="00F40FAA" w:rsidRPr="00975272" w:rsidRDefault="00F40FAA" w:rsidP="004471AA">
            <w:pPr>
              <w:suppressAutoHyphens w:val="0"/>
              <w:autoSpaceDN/>
              <w:spacing w:after="0" w:line="240" w:lineRule="auto"/>
              <w:textAlignment w:val="auto"/>
              <w:rPr>
                <w:rFonts w:eastAsia="Times New Roman"/>
                <w:sz w:val="24"/>
                <w:szCs w:val="24"/>
                <w:lang w:val="nb-NO"/>
              </w:rPr>
            </w:pPr>
            <w:r w:rsidRPr="00975272">
              <w:rPr>
                <w:rFonts w:eastAsia="Times New Roman"/>
                <w:sz w:val="24"/>
                <w:szCs w:val="24"/>
                <w:lang w:val="nb-NO"/>
              </w:rPr>
              <w:t>Direktorė</w:t>
            </w:r>
          </w:p>
          <w:p w14:paraId="019C8707" w14:textId="77777777" w:rsidR="00F40FAA" w:rsidRPr="00975272" w:rsidRDefault="00F40FAA" w:rsidP="004471AA">
            <w:pPr>
              <w:suppressAutoHyphens w:val="0"/>
              <w:autoSpaceDN/>
              <w:spacing w:after="0" w:line="240" w:lineRule="auto"/>
              <w:textAlignment w:val="auto"/>
              <w:rPr>
                <w:rFonts w:eastAsia="Times New Roman"/>
                <w:sz w:val="24"/>
                <w:szCs w:val="24"/>
                <w:lang w:val="nb-NO"/>
              </w:rPr>
            </w:pPr>
          </w:p>
          <w:p w14:paraId="6CF4D402" w14:textId="0229540D" w:rsidR="00F40FAA" w:rsidRPr="00975272" w:rsidRDefault="00F40FAA" w:rsidP="004471AA">
            <w:pPr>
              <w:suppressAutoHyphens w:val="0"/>
              <w:autoSpaceDN/>
              <w:spacing w:after="0" w:line="240" w:lineRule="auto"/>
              <w:textAlignment w:val="auto"/>
              <w:rPr>
                <w:rFonts w:eastAsia="Times New Roman"/>
                <w:sz w:val="24"/>
                <w:szCs w:val="24"/>
                <w:lang w:val="nb-NO"/>
              </w:rPr>
            </w:pPr>
          </w:p>
        </w:tc>
        <w:tc>
          <w:tcPr>
            <w:tcW w:w="4818" w:type="dxa"/>
          </w:tcPr>
          <w:p w14:paraId="077640F9" w14:textId="06F82CE0" w:rsidR="00F40FAA" w:rsidRPr="002B00BD" w:rsidRDefault="00F40FAA" w:rsidP="004471AA">
            <w:pPr>
              <w:suppressAutoHyphens w:val="0"/>
              <w:autoSpaceDN/>
              <w:spacing w:after="0" w:line="240" w:lineRule="auto"/>
              <w:textAlignment w:val="auto"/>
              <w:rPr>
                <w:rFonts w:eastAsia="Times New Roman"/>
                <w:b/>
                <w:sz w:val="24"/>
                <w:szCs w:val="24"/>
              </w:rPr>
            </w:pPr>
            <w:r>
              <w:rPr>
                <w:rFonts w:eastAsia="Times New Roman"/>
                <w:b/>
                <w:sz w:val="24"/>
                <w:szCs w:val="24"/>
              </w:rPr>
              <w:t>PASLAUGŲ TEIKĖJAS</w:t>
            </w:r>
          </w:p>
          <w:p w14:paraId="5EA75337" w14:textId="77777777" w:rsidR="00F40FAA" w:rsidRPr="002B00BD" w:rsidRDefault="00F40FAA" w:rsidP="004471AA">
            <w:pPr>
              <w:suppressAutoHyphens w:val="0"/>
              <w:autoSpaceDN/>
              <w:spacing w:after="0" w:line="240" w:lineRule="auto"/>
              <w:textAlignment w:val="auto"/>
              <w:rPr>
                <w:rFonts w:eastAsia="Times New Roman"/>
                <w:sz w:val="24"/>
                <w:szCs w:val="24"/>
              </w:rPr>
            </w:pPr>
          </w:p>
          <w:p w14:paraId="54305F1D" w14:textId="0911DDA3" w:rsidR="00F40FAA" w:rsidRPr="002B00BD" w:rsidRDefault="00EF0B88" w:rsidP="004471AA">
            <w:pPr>
              <w:suppressAutoHyphens w:val="0"/>
              <w:autoSpaceDN/>
              <w:spacing w:after="0" w:line="240" w:lineRule="auto"/>
              <w:textAlignment w:val="auto"/>
              <w:rPr>
                <w:rFonts w:eastAsia="Times New Roman"/>
                <w:b/>
                <w:bCs/>
                <w:sz w:val="24"/>
                <w:szCs w:val="24"/>
              </w:rPr>
            </w:pPr>
            <w:r>
              <w:rPr>
                <w:rFonts w:eastAsia="Times New Roman"/>
                <w:b/>
                <w:bCs/>
                <w:sz w:val="24"/>
                <w:szCs w:val="24"/>
              </w:rPr>
              <w:t>“Blue Bridge M</w:t>
            </w:r>
            <w:r w:rsidR="00AD491E">
              <w:rPr>
                <w:rFonts w:eastAsia="Times New Roman"/>
                <w:b/>
                <w:bCs/>
                <w:sz w:val="24"/>
                <w:szCs w:val="24"/>
              </w:rPr>
              <w:t>SP, UAB</w:t>
            </w:r>
            <w:r w:rsidR="00F40FAA" w:rsidRPr="002B00BD">
              <w:rPr>
                <w:rFonts w:eastAsia="Times New Roman"/>
                <w:b/>
                <w:bCs/>
                <w:sz w:val="24"/>
                <w:szCs w:val="24"/>
              </w:rPr>
              <w:t>“</w:t>
            </w:r>
          </w:p>
          <w:p w14:paraId="2F5130A2" w14:textId="77777777" w:rsidR="00F40FAA" w:rsidRPr="002B00BD" w:rsidRDefault="00F40FAA" w:rsidP="00A606E4">
            <w:pPr>
              <w:suppressAutoHyphens w:val="0"/>
              <w:autoSpaceDN/>
              <w:spacing w:after="0" w:line="240" w:lineRule="auto"/>
              <w:contextualSpacing/>
              <w:textAlignment w:val="auto"/>
              <w:rPr>
                <w:rFonts w:eastAsia="Times New Roman"/>
                <w:b/>
                <w:sz w:val="24"/>
                <w:szCs w:val="24"/>
              </w:rPr>
            </w:pPr>
          </w:p>
          <w:p w14:paraId="58C38D18" w14:textId="77777777" w:rsidR="00F40FAA" w:rsidRPr="002B00BD" w:rsidRDefault="00F40FAA" w:rsidP="004471AA">
            <w:pPr>
              <w:suppressAutoHyphens w:val="0"/>
              <w:autoSpaceDN/>
              <w:spacing w:after="0" w:line="240" w:lineRule="auto"/>
              <w:ind w:left="3480"/>
              <w:contextualSpacing/>
              <w:textAlignment w:val="auto"/>
              <w:rPr>
                <w:rFonts w:eastAsia="Times New Roman"/>
                <w:b/>
                <w:sz w:val="24"/>
                <w:szCs w:val="24"/>
              </w:rPr>
            </w:pPr>
          </w:p>
          <w:p w14:paraId="6108AE2E" w14:textId="77777777" w:rsidR="00F40FAA" w:rsidRPr="002B00BD" w:rsidRDefault="00F40FAA" w:rsidP="004471AA">
            <w:pPr>
              <w:suppressAutoHyphens w:val="0"/>
              <w:autoSpaceDN/>
              <w:spacing w:after="0" w:line="240" w:lineRule="auto"/>
              <w:ind w:left="3480"/>
              <w:contextualSpacing/>
              <w:textAlignment w:val="auto"/>
              <w:rPr>
                <w:rFonts w:eastAsia="Times New Roman"/>
                <w:b/>
                <w:sz w:val="24"/>
                <w:szCs w:val="24"/>
              </w:rPr>
            </w:pPr>
          </w:p>
          <w:p w14:paraId="250EFA19" w14:textId="7204EEDC" w:rsidR="00F40FAA" w:rsidRPr="002B00BD" w:rsidRDefault="00AD491E" w:rsidP="004471AA">
            <w:pPr>
              <w:suppressAutoHyphens w:val="0"/>
              <w:autoSpaceDN/>
              <w:spacing w:after="0" w:line="240" w:lineRule="auto"/>
              <w:textAlignment w:val="auto"/>
              <w:rPr>
                <w:rFonts w:eastAsia="Times New Roman"/>
                <w:sz w:val="24"/>
                <w:szCs w:val="24"/>
              </w:rPr>
            </w:pPr>
            <w:proofErr w:type="spellStart"/>
            <w:r>
              <w:rPr>
                <w:rFonts w:eastAsia="Times New Roman"/>
                <w:sz w:val="24"/>
                <w:szCs w:val="24"/>
              </w:rPr>
              <w:t>D</w:t>
            </w:r>
            <w:r w:rsidR="00F40FAA">
              <w:rPr>
                <w:rFonts w:eastAsia="Times New Roman"/>
                <w:sz w:val="24"/>
                <w:szCs w:val="24"/>
              </w:rPr>
              <w:t>irektorius</w:t>
            </w:r>
            <w:proofErr w:type="spellEnd"/>
          </w:p>
          <w:p w14:paraId="4A9D4D53" w14:textId="77777777" w:rsidR="00F40FAA" w:rsidRPr="002B00BD" w:rsidRDefault="00F40FAA" w:rsidP="004471AA">
            <w:pPr>
              <w:suppressAutoHyphens w:val="0"/>
              <w:autoSpaceDN/>
              <w:spacing w:after="0" w:line="240" w:lineRule="auto"/>
              <w:textAlignment w:val="auto"/>
              <w:rPr>
                <w:rFonts w:eastAsia="Times New Roman"/>
                <w:sz w:val="24"/>
                <w:szCs w:val="24"/>
              </w:rPr>
            </w:pPr>
          </w:p>
          <w:p w14:paraId="5ECC595B" w14:textId="77777777" w:rsidR="00F40FAA" w:rsidRPr="002B00BD" w:rsidRDefault="00F40FAA" w:rsidP="004471AA">
            <w:pPr>
              <w:suppressAutoHyphens w:val="0"/>
              <w:autoSpaceDN/>
              <w:spacing w:after="0" w:line="240" w:lineRule="auto"/>
              <w:ind w:left="3480"/>
              <w:contextualSpacing/>
              <w:textAlignment w:val="auto"/>
              <w:rPr>
                <w:rFonts w:eastAsia="Times New Roman"/>
                <w:b/>
                <w:sz w:val="24"/>
                <w:szCs w:val="24"/>
              </w:rPr>
            </w:pPr>
          </w:p>
          <w:p w14:paraId="608CF21D" w14:textId="77777777" w:rsidR="00F40FAA" w:rsidRPr="002B00BD" w:rsidRDefault="00F40FAA" w:rsidP="004471AA">
            <w:pPr>
              <w:suppressAutoHyphens w:val="0"/>
              <w:autoSpaceDN/>
              <w:spacing w:after="0" w:line="240" w:lineRule="auto"/>
              <w:ind w:left="3480"/>
              <w:contextualSpacing/>
              <w:textAlignment w:val="auto"/>
              <w:rPr>
                <w:rFonts w:eastAsia="Times New Roman"/>
                <w:b/>
                <w:sz w:val="24"/>
                <w:szCs w:val="24"/>
              </w:rPr>
            </w:pPr>
          </w:p>
          <w:p w14:paraId="1A313E9E" w14:textId="77777777" w:rsidR="00F40FAA" w:rsidRPr="002B00BD" w:rsidRDefault="00F40FAA" w:rsidP="004471AA">
            <w:pPr>
              <w:suppressAutoHyphens w:val="0"/>
              <w:autoSpaceDN/>
              <w:spacing w:after="0" w:line="240" w:lineRule="auto"/>
              <w:ind w:left="3480"/>
              <w:contextualSpacing/>
              <w:textAlignment w:val="auto"/>
              <w:rPr>
                <w:rFonts w:eastAsia="Times New Roman"/>
                <w:b/>
                <w:sz w:val="24"/>
                <w:szCs w:val="24"/>
              </w:rPr>
            </w:pPr>
          </w:p>
        </w:tc>
      </w:tr>
    </w:tbl>
    <w:p w14:paraId="0FA9BC49" w14:textId="77777777" w:rsidR="00F40FAA" w:rsidRDefault="00F40FAA" w:rsidP="00F40FAA"/>
    <w:p w14:paraId="26C5CE88" w14:textId="77777777" w:rsidR="00F40FAA" w:rsidRDefault="00F40FAA"/>
    <w:sectPr w:rsidR="00F40FAA" w:rsidSect="00F40FAA">
      <w:head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7D25B" w14:textId="77777777" w:rsidR="003B7D9D" w:rsidRDefault="003B7D9D">
      <w:pPr>
        <w:spacing w:after="0" w:line="240" w:lineRule="auto"/>
      </w:pPr>
      <w:r>
        <w:separator/>
      </w:r>
    </w:p>
  </w:endnote>
  <w:endnote w:type="continuationSeparator" w:id="0">
    <w:p w14:paraId="4A29D7C3" w14:textId="77777777" w:rsidR="003B7D9D" w:rsidRDefault="003B7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F317B" w14:textId="77777777" w:rsidR="003B7D9D" w:rsidRDefault="003B7D9D">
      <w:pPr>
        <w:spacing w:after="0" w:line="240" w:lineRule="auto"/>
      </w:pPr>
      <w:r>
        <w:separator/>
      </w:r>
    </w:p>
  </w:footnote>
  <w:footnote w:type="continuationSeparator" w:id="0">
    <w:p w14:paraId="6E373352" w14:textId="77777777" w:rsidR="003B7D9D" w:rsidRDefault="003B7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9098395"/>
      <w:docPartObj>
        <w:docPartGallery w:val="Page Numbers (Top of Page)"/>
        <w:docPartUnique/>
      </w:docPartObj>
    </w:sdtPr>
    <w:sdtContent>
      <w:p w14:paraId="7DA8F649" w14:textId="77777777" w:rsidR="00F40FAA" w:rsidRDefault="00F40FAA">
        <w:pPr>
          <w:pStyle w:val="Antrats"/>
          <w:jc w:val="center"/>
        </w:pPr>
        <w:r>
          <w:fldChar w:fldCharType="begin"/>
        </w:r>
        <w:r>
          <w:instrText>PAGE   \* MERGEFORMAT</w:instrText>
        </w:r>
        <w:r>
          <w:fldChar w:fldCharType="separate"/>
        </w:r>
        <w:r>
          <w:t>2</w:t>
        </w:r>
        <w:r>
          <w:fldChar w:fldCharType="end"/>
        </w:r>
      </w:p>
    </w:sdtContent>
  </w:sdt>
  <w:p w14:paraId="55FD5072" w14:textId="77777777" w:rsidR="00F40FAA" w:rsidRDefault="00F40F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num w:numId="1" w16cid:durableId="630987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AA"/>
    <w:rsid w:val="00015EDE"/>
    <w:rsid w:val="001B44E9"/>
    <w:rsid w:val="002468BC"/>
    <w:rsid w:val="002710C7"/>
    <w:rsid w:val="002C38D1"/>
    <w:rsid w:val="003461D7"/>
    <w:rsid w:val="003B7D9D"/>
    <w:rsid w:val="00416402"/>
    <w:rsid w:val="00510DC3"/>
    <w:rsid w:val="005C784F"/>
    <w:rsid w:val="005D7716"/>
    <w:rsid w:val="006B50E9"/>
    <w:rsid w:val="006C1C04"/>
    <w:rsid w:val="00791DBB"/>
    <w:rsid w:val="0086366C"/>
    <w:rsid w:val="00926CF1"/>
    <w:rsid w:val="00943F3E"/>
    <w:rsid w:val="00975272"/>
    <w:rsid w:val="009D4E05"/>
    <w:rsid w:val="009D6363"/>
    <w:rsid w:val="00A606E4"/>
    <w:rsid w:val="00AD491E"/>
    <w:rsid w:val="00B71584"/>
    <w:rsid w:val="00BC2C3C"/>
    <w:rsid w:val="00CA6F2F"/>
    <w:rsid w:val="00D64410"/>
    <w:rsid w:val="00E915A3"/>
    <w:rsid w:val="00EE69F6"/>
    <w:rsid w:val="00EF0B88"/>
    <w:rsid w:val="00F40F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685F"/>
  <w15:chartTrackingRefBased/>
  <w15:docId w15:val="{93D36416-78FA-45B5-A6A1-1D71AA33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F40FAA"/>
    <w:pPr>
      <w:suppressAutoHyphens/>
      <w:autoSpaceDN w:val="0"/>
      <w:spacing w:after="200" w:line="276" w:lineRule="auto"/>
      <w:textAlignment w:val="baseline"/>
    </w:pPr>
    <w:rPr>
      <w:rFonts w:ascii="Times New Roman" w:eastAsia="Calibri" w:hAnsi="Times New Roman" w:cs="Times New Roman"/>
      <w:kern w:val="0"/>
      <w:szCs w:val="22"/>
      <w14:ligatures w14:val="none"/>
    </w:rPr>
  </w:style>
  <w:style w:type="paragraph" w:styleId="Antrat1">
    <w:name w:val="heading 1"/>
    <w:basedOn w:val="prastasis"/>
    <w:next w:val="prastasis"/>
    <w:link w:val="Antrat1Diagrama"/>
    <w:uiPriority w:val="9"/>
    <w:qFormat/>
    <w:rsid w:val="00F40F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40F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40FA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40FA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40FA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40FA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40FA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40FA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40FA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0FA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40FA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40FA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40FA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40FA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40FA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40FA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40FA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40FA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40F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40F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40FA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40FA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40F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40FAA"/>
    <w:rPr>
      <w:i/>
      <w:iCs/>
      <w:color w:val="404040" w:themeColor="text1" w:themeTint="BF"/>
    </w:rPr>
  </w:style>
  <w:style w:type="paragraph" w:styleId="Sraopastraipa">
    <w:name w:val="List Paragraph"/>
    <w:basedOn w:val="prastasis"/>
    <w:uiPriority w:val="34"/>
    <w:qFormat/>
    <w:rsid w:val="00F40FAA"/>
    <w:pPr>
      <w:ind w:left="720"/>
      <w:contextualSpacing/>
    </w:pPr>
  </w:style>
  <w:style w:type="character" w:styleId="Rykuspabraukimas">
    <w:name w:val="Intense Emphasis"/>
    <w:basedOn w:val="Numatytasispastraiposriftas"/>
    <w:uiPriority w:val="21"/>
    <w:qFormat/>
    <w:rsid w:val="00F40FAA"/>
    <w:rPr>
      <w:i/>
      <w:iCs/>
      <w:color w:val="0F4761" w:themeColor="accent1" w:themeShade="BF"/>
    </w:rPr>
  </w:style>
  <w:style w:type="paragraph" w:styleId="Iskirtacitata">
    <w:name w:val="Intense Quote"/>
    <w:basedOn w:val="prastasis"/>
    <w:next w:val="prastasis"/>
    <w:link w:val="IskirtacitataDiagrama"/>
    <w:uiPriority w:val="30"/>
    <w:qFormat/>
    <w:rsid w:val="00F40F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40FAA"/>
    <w:rPr>
      <w:i/>
      <w:iCs/>
      <w:color w:val="0F4761" w:themeColor="accent1" w:themeShade="BF"/>
    </w:rPr>
  </w:style>
  <w:style w:type="character" w:styleId="Rykinuoroda">
    <w:name w:val="Intense Reference"/>
    <w:basedOn w:val="Numatytasispastraiposriftas"/>
    <w:uiPriority w:val="32"/>
    <w:qFormat/>
    <w:rsid w:val="00F40FAA"/>
    <w:rPr>
      <w:b/>
      <w:bCs/>
      <w:smallCaps/>
      <w:color w:val="0F4761" w:themeColor="accent1" w:themeShade="BF"/>
      <w:spacing w:val="5"/>
    </w:rPr>
  </w:style>
  <w:style w:type="paragraph" w:styleId="Antrats">
    <w:name w:val="header"/>
    <w:basedOn w:val="prastasis"/>
    <w:link w:val="AntratsDiagrama"/>
    <w:uiPriority w:val="99"/>
    <w:unhideWhenUsed/>
    <w:rsid w:val="00F40FA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40FAA"/>
    <w:rPr>
      <w:rFonts w:ascii="Times New Roman" w:eastAsia="Calibri" w:hAnsi="Times New Roman" w:cs="Times New Roman"/>
      <w:kern w:val="0"/>
      <w:szCs w:val="22"/>
      <w14:ligatures w14:val="none"/>
    </w:rPr>
  </w:style>
  <w:style w:type="table" w:customStyle="1" w:styleId="TableGrid1">
    <w:name w:val="Table Grid1"/>
    <w:basedOn w:val="prastojilentel"/>
    <w:next w:val="Lentelstinklelis"/>
    <w:uiPriority w:val="59"/>
    <w:rsid w:val="00F40FAA"/>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40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yriauspavadinimas">
    <w:name w:val="Skyriaus pavadinimas"/>
    <w:basedOn w:val="prastasis"/>
    <w:rsid w:val="00F40FAA"/>
    <w:pPr>
      <w:numPr>
        <w:numId w:val="1"/>
      </w:numPr>
      <w:suppressAutoHyphens w:val="0"/>
      <w:autoSpaceDN/>
      <w:spacing w:after="0" w:line="240" w:lineRule="auto"/>
      <w:jc w:val="center"/>
      <w:textAlignment w:val="auto"/>
    </w:pPr>
    <w:rPr>
      <w:rFonts w:ascii="Times New Roman Bold" w:eastAsia="Times New Roman" w:hAnsi="Times New Roman Bold"/>
      <w:b/>
      <w:caps/>
      <w:szCs w:val="24"/>
      <w:lang w:val="en-GB"/>
    </w:rPr>
  </w:style>
  <w:style w:type="table" w:customStyle="1" w:styleId="Lentelstinklelis11">
    <w:name w:val="Lentelės tinklelis11"/>
    <w:basedOn w:val="prastojilentel"/>
    <w:uiPriority w:val="99"/>
    <w:rsid w:val="00F40FAA"/>
    <w:pPr>
      <w:spacing w:after="0" w:line="240" w:lineRule="auto"/>
    </w:pPr>
    <w:rPr>
      <w:rFonts w:ascii="Cambria" w:eastAsia="Cambria" w:hAnsi="Cambria" w:cs="Angsana New"/>
      <w:kern w:val="0"/>
      <w:sz w:val="20"/>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rsid w:val="00F40FA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C1C04"/>
    <w:pPr>
      <w:spacing w:after="0" w:line="240" w:lineRule="auto"/>
    </w:pPr>
    <w:rPr>
      <w:rFonts w:ascii="Times New Roman" w:eastAsia="Calibri" w:hAnsi="Times New Roman"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387153">
      <w:bodyDiv w:val="1"/>
      <w:marLeft w:val="0"/>
      <w:marRight w:val="0"/>
      <w:marTop w:val="0"/>
      <w:marBottom w:val="0"/>
      <w:divBdr>
        <w:top w:val="none" w:sz="0" w:space="0" w:color="auto"/>
        <w:left w:val="none" w:sz="0" w:space="0" w:color="auto"/>
        <w:bottom w:val="none" w:sz="0" w:space="0" w:color="auto"/>
        <w:right w:val="none" w:sz="0" w:space="0" w:color="auto"/>
      </w:divBdr>
    </w:div>
    <w:div w:id="75335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vpp.eviesiejipirkimai.lt/?SelectedTextFilter=&amp;Query=&amp;OrderingType=0&amp;OrderingDirection=0&amp;IncludeExpired=true&amp;Cpvs=&amp;TenderId=697161+&amp;EpsReferenceNr=&amp;DeadlineFromDate=&amp;DeadlineToDate=&amp;PublishedFromDate=&amp;PublishedToDate=&amp;IsGreenProcurement=false&amp;PageNumber=1&amp;PageSize=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5082</Words>
  <Characters>2898</Characters>
  <Application>Microsoft Office Word</Application>
  <DocSecurity>0</DocSecurity>
  <Lines>24</Lines>
  <Paragraphs>15</Paragraphs>
  <ScaleCrop>false</ScaleCrop>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Plentaitė-Cibulskė</dc:creator>
  <cp:keywords/>
  <dc:description/>
  <cp:lastModifiedBy>Asta Šimonėlienė</cp:lastModifiedBy>
  <cp:revision>3</cp:revision>
  <dcterms:created xsi:type="dcterms:W3CDTF">2024-12-05T06:06:00Z</dcterms:created>
  <dcterms:modified xsi:type="dcterms:W3CDTF">2024-12-05T06:17:00Z</dcterms:modified>
</cp:coreProperties>
</file>