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0695386" w:rsidR="00085A74" w:rsidRPr="00D00AD9"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096F39">
        <w:rPr>
          <w:rFonts w:cs="Arial"/>
          <w:sz w:val="20"/>
          <w:szCs w:val="20"/>
        </w:rPr>
        <w:t xml:space="preserve">Projektų valdymo </w:t>
      </w:r>
      <w:r w:rsidR="00043231">
        <w:rPr>
          <w:rFonts w:cs="Arial"/>
          <w:sz w:val="20"/>
          <w:szCs w:val="20"/>
        </w:rPr>
        <w:t>paslaugos</w:t>
      </w:r>
      <w:r w:rsidR="00025963" w:rsidRPr="00AD23DC">
        <w:rPr>
          <w:rFonts w:cs="Arial"/>
        </w:rPr>
        <w:t>.</w:t>
      </w:r>
    </w:p>
    <w:p w14:paraId="3F24026F" w14:textId="7D1B19EB" w:rsidR="00085A74" w:rsidRPr="00D00AD9" w:rsidRDefault="004F6BF8" w:rsidP="00875C21">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r w:rsidR="002D413F">
        <w:rPr>
          <w:rFonts w:cs="Arial"/>
          <w:sz w:val="20"/>
          <w:szCs w:val="20"/>
        </w:rPr>
        <w:t>.</w:t>
      </w:r>
      <w:r w:rsidR="001225A0">
        <w:rPr>
          <w:rFonts w:cs="Arial"/>
          <w:sz w:val="20"/>
          <w:szCs w:val="20"/>
        </w:rPr>
        <w:t xml:space="preserve"> </w:t>
      </w:r>
      <w:bookmarkStart w:id="0" w:name="_Hlk31698696"/>
      <w:sdt>
        <w:sdtPr>
          <w:id w:val="1799497722"/>
          <w:placeholder>
            <w:docPart w:val="43C52851D3174BE9B5989F8A614C5F4E"/>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4C544C">
            <w:t>UAB „Ignitis“</w:t>
          </w:r>
        </w:sdtContent>
      </w:sdt>
      <w:bookmarkEnd w:id="0"/>
    </w:p>
    <w:p w14:paraId="637E3650" w14:textId="2E3659FE" w:rsidR="00085A74" w:rsidRPr="00D00AD9"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DBD77B9" w:rsidR="00CE17F8" w:rsidRPr="00D00AD9" w:rsidRDefault="00875C21" w:rsidP="00875C21">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3E9F68BD" w:rsidR="004020B0" w:rsidRDefault="00430ED8" w:rsidP="00875C21">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4C544C" w:rsidRPr="004C544C">
        <w:rPr>
          <w:rFonts w:cs="Arial"/>
          <w:b/>
          <w:sz w:val="20"/>
          <w:szCs w:val="20"/>
        </w:rPr>
        <w:t>620 000</w:t>
      </w:r>
      <w:r w:rsidR="004F6BF8" w:rsidRPr="004C544C">
        <w:rPr>
          <w:rFonts w:cs="Arial"/>
          <w:b/>
          <w:sz w:val="20"/>
          <w:szCs w:val="20"/>
        </w:rPr>
        <w:t>,</w:t>
      </w:r>
      <w:r w:rsidR="004C544C" w:rsidRPr="004C544C">
        <w:rPr>
          <w:rFonts w:cs="Arial"/>
          <w:b/>
          <w:sz w:val="20"/>
          <w:szCs w:val="20"/>
        </w:rPr>
        <w:t>00</w:t>
      </w:r>
      <w:r w:rsidR="004F6BF8" w:rsidRPr="004C544C">
        <w:rPr>
          <w:rFonts w:cs="Arial"/>
          <w:b/>
          <w:sz w:val="20"/>
          <w:szCs w:val="20"/>
        </w:rPr>
        <w:t xml:space="preserve"> </w:t>
      </w:r>
      <w:r w:rsidRPr="004C544C">
        <w:rPr>
          <w:rFonts w:cs="Arial"/>
          <w:b/>
          <w:sz w:val="20"/>
          <w:szCs w:val="20"/>
        </w:rPr>
        <w:t xml:space="preserve">EUR </w:t>
      </w:r>
      <w:r w:rsidRPr="004020B0">
        <w:rPr>
          <w:rFonts w:cs="Arial"/>
          <w:b/>
          <w:sz w:val="20"/>
          <w:szCs w:val="20"/>
        </w:rPr>
        <w:t>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2AD09295" w:rsidR="004020B0" w:rsidRDefault="004020B0" w:rsidP="00875C21">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875C21" w:rsidRPr="00875C21">
        <w:rPr>
          <w:rFonts w:cs="Arial"/>
          <w:bCs/>
          <w:sz w:val="20"/>
          <w:szCs w:val="20"/>
        </w:rPr>
        <w:t xml:space="preserve"> </w:t>
      </w:r>
      <w:r w:rsidR="00875C21" w:rsidRPr="004020B0">
        <w:rPr>
          <w:rFonts w:cs="Arial"/>
          <w:bCs/>
          <w:sz w:val="20"/>
          <w:szCs w:val="20"/>
        </w:rPr>
        <w:t xml:space="preserve">vykdant </w:t>
      </w:r>
      <w:r w:rsidR="00875C21">
        <w:rPr>
          <w:rFonts w:cs="Arial"/>
          <w:bCs/>
          <w:sz w:val="20"/>
          <w:szCs w:val="20"/>
        </w:rPr>
        <w:t>S</w:t>
      </w:r>
      <w:r w:rsidR="00875C21" w:rsidRPr="004020B0">
        <w:rPr>
          <w:rFonts w:cs="Arial"/>
          <w:bCs/>
          <w:sz w:val="20"/>
          <w:szCs w:val="20"/>
        </w:rPr>
        <w:t>utartį</w:t>
      </w:r>
      <w:r w:rsidRPr="004020B0">
        <w:rPr>
          <w:rFonts w:cs="Arial"/>
          <w:bCs/>
          <w:sz w:val="20"/>
          <w:szCs w:val="20"/>
        </w:rPr>
        <w:t xml:space="preserve">, priklausys nuo Pirkėjo pagal Bendrovės poreikį užsakytų (su </w:t>
      </w:r>
      <w:r w:rsidR="00145295">
        <w:rPr>
          <w:rFonts w:cs="Arial"/>
          <w:bCs/>
          <w:sz w:val="20"/>
          <w:szCs w:val="20"/>
        </w:rPr>
        <w:t>Pirkėju</w:t>
      </w:r>
      <w:r w:rsidR="00145295"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ListParagraph"/>
        <w:tabs>
          <w:tab w:val="left" w:pos="426"/>
        </w:tabs>
        <w:spacing w:before="60" w:after="60"/>
        <w:ind w:left="0" w:firstLine="0"/>
        <w:jc w:val="both"/>
        <w:rPr>
          <w:rFonts w:cs="Arial"/>
          <w:bCs/>
          <w:sz w:val="20"/>
          <w:szCs w:val="20"/>
        </w:rPr>
      </w:pPr>
    </w:p>
    <w:p w14:paraId="57F2123B" w14:textId="3CCE90B2" w:rsidR="002B4BC7" w:rsidRDefault="00096F39" w:rsidP="008C1BC8">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 xml:space="preserve">Projektų valdymo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01BA08C0" w:rsidR="000819AB" w:rsidRPr="00600808" w:rsidRDefault="00096F39" w:rsidP="00600808">
            <w:pPr>
              <w:rPr>
                <w:rFonts w:cs="Arial"/>
                <w:bCs/>
                <w:sz w:val="20"/>
                <w:szCs w:val="20"/>
              </w:rPr>
            </w:pPr>
            <w:r>
              <w:rPr>
                <w:rFonts w:cs="Arial"/>
                <w:bCs/>
                <w:sz w:val="20"/>
                <w:szCs w:val="20"/>
              </w:rPr>
              <w:t xml:space="preserve">Projektų valdymo </w:t>
            </w:r>
            <w:r w:rsidR="000819AB" w:rsidRPr="00600808">
              <w:rPr>
                <w:rFonts w:cs="Arial"/>
                <w:bCs/>
                <w:sz w:val="20"/>
                <w:szCs w:val="20"/>
              </w:rPr>
              <w:t>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4C767B59" w:rsidR="004F6BF8" w:rsidRDefault="00FC4D0B" w:rsidP="008C1BC8">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096F39">
        <w:rPr>
          <w:rFonts w:cs="Arial"/>
          <w:bCs/>
          <w:sz w:val="20"/>
          <w:szCs w:val="20"/>
        </w:rPr>
        <w:t xml:space="preserve">Projektų valdymo </w:t>
      </w:r>
      <w:r w:rsidRPr="003E1F23">
        <w:rPr>
          <w:rFonts w:cs="Arial"/>
          <w:bCs/>
          <w:sz w:val="20"/>
          <w:szCs w:val="20"/>
        </w:rPr>
        <w:t>paslaugas</w:t>
      </w:r>
      <w:r w:rsidR="00E33FF3">
        <w:rPr>
          <w:rFonts w:cs="Arial"/>
          <w:bCs/>
          <w:sz w:val="20"/>
          <w:szCs w:val="20"/>
        </w:rPr>
        <w:t>.</w:t>
      </w:r>
    </w:p>
    <w:p w14:paraId="27F6255E" w14:textId="1D2D90ED" w:rsidR="00BD35F8" w:rsidRPr="004F6BF8" w:rsidRDefault="00BD35F8" w:rsidP="008C1BC8">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096F39">
        <w:rPr>
          <w:rFonts w:cs="Arial"/>
          <w:bCs/>
          <w:sz w:val="20"/>
          <w:szCs w:val="20"/>
        </w:rPr>
        <w:t xml:space="preserve">Projektų valdymo </w:t>
      </w:r>
      <w:r w:rsidRPr="004F6BF8">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736"/>
      </w:tblGrid>
      <w:tr w:rsidR="003E1F23" w:rsidRPr="0090702B" w14:paraId="4D7A0F3B" w14:textId="77777777" w:rsidTr="009F369F">
        <w:trPr>
          <w:trHeight w:val="403"/>
        </w:trPr>
        <w:tc>
          <w:tcPr>
            <w:tcW w:w="9649" w:type="dxa"/>
            <w:tcBorders>
              <w:top w:val="nil"/>
              <w:left w:val="nil"/>
              <w:bottom w:val="nil"/>
              <w:right w:val="nil"/>
            </w:tcBorders>
            <w:shd w:val="clear" w:color="auto" w:fill="auto"/>
            <w:tcMar>
              <w:top w:w="13" w:type="dxa"/>
              <w:left w:w="13" w:type="dxa"/>
              <w:bottom w:w="0" w:type="dxa"/>
              <w:right w:w="13" w:type="dxa"/>
            </w:tcMar>
            <w:vAlign w:val="bottom"/>
            <w:hideMark/>
          </w:tcPr>
          <w:p w14:paraId="19507022" w14:textId="6D78890A" w:rsidR="008C1BC8" w:rsidRPr="00BA1D0F" w:rsidRDefault="008C1BC8" w:rsidP="009F369F">
            <w:pPr>
              <w:pStyle w:val="ListParagraph"/>
              <w:numPr>
                <w:ilvl w:val="2"/>
                <w:numId w:val="1"/>
              </w:numPr>
              <w:tabs>
                <w:tab w:val="left" w:pos="683"/>
              </w:tabs>
              <w:ind w:left="0" w:firstLine="0"/>
              <w:rPr>
                <w:sz w:val="20"/>
                <w:szCs w:val="20"/>
              </w:rPr>
            </w:pPr>
            <w:r w:rsidRPr="009F369F">
              <w:rPr>
                <w:sz w:val="20"/>
                <w:szCs w:val="20"/>
              </w:rPr>
              <w:t>Paslaugų detalizavimas</w:t>
            </w:r>
            <w:r w:rsidR="00107EEC" w:rsidRPr="009F369F">
              <w:rPr>
                <w:sz w:val="20"/>
                <w:szCs w:val="20"/>
              </w:rPr>
              <w:t>:</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17"/>
              <w:gridCol w:w="2014"/>
              <w:gridCol w:w="7169"/>
            </w:tblGrid>
            <w:tr w:rsidR="00096F39" w:rsidRPr="005D66ED" w14:paraId="24813443" w14:textId="77777777" w:rsidTr="008C1BC8">
              <w:trPr>
                <w:trHeight w:val="246"/>
              </w:trPr>
              <w:tc>
                <w:tcPr>
                  <w:tcW w:w="517" w:type="dxa"/>
                  <w:shd w:val="clear" w:color="000000" w:fill="BFBFBF"/>
                  <w:hideMark/>
                </w:tcPr>
                <w:p w14:paraId="71B38F82"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Eil. Nr.</w:t>
                  </w:r>
                </w:p>
              </w:tc>
              <w:tc>
                <w:tcPr>
                  <w:tcW w:w="2014" w:type="dxa"/>
                  <w:shd w:val="clear" w:color="000000" w:fill="BFBFBF"/>
                  <w:vAlign w:val="center"/>
                  <w:hideMark/>
                </w:tcPr>
                <w:p w14:paraId="10955D33"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Paslauga</w:t>
                  </w:r>
                </w:p>
              </w:tc>
              <w:tc>
                <w:tcPr>
                  <w:tcW w:w="7169" w:type="dxa"/>
                  <w:shd w:val="clear" w:color="000000" w:fill="BFBFBF"/>
                  <w:vAlign w:val="center"/>
                  <w:hideMark/>
                </w:tcPr>
                <w:p w14:paraId="4D252174"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Paslaugų detalizacija</w:t>
                  </w:r>
                </w:p>
              </w:tc>
            </w:tr>
            <w:tr w:rsidR="00096F39" w:rsidRPr="005D66ED" w14:paraId="6F0BD05E" w14:textId="77777777" w:rsidTr="008C1BC8">
              <w:trPr>
                <w:trHeight w:val="97"/>
              </w:trPr>
              <w:tc>
                <w:tcPr>
                  <w:tcW w:w="517" w:type="dxa"/>
                  <w:hideMark/>
                </w:tcPr>
                <w:p w14:paraId="0BBEAF02" w14:textId="77777777" w:rsidR="00096F39" w:rsidRPr="005D66ED" w:rsidRDefault="00096F39" w:rsidP="00096F39">
                  <w:pPr>
                    <w:ind w:firstLine="0"/>
                    <w:rPr>
                      <w:rFonts w:eastAsia="Times New Roman" w:cs="Arial"/>
                      <w:color w:val="000000"/>
                      <w:sz w:val="20"/>
                      <w:szCs w:val="20"/>
                      <w:lang w:eastAsia="lt-LT"/>
                    </w:rPr>
                  </w:pPr>
                  <w:r w:rsidRPr="005D66ED">
                    <w:rPr>
                      <w:rFonts w:eastAsia="Times New Roman" w:cs="Arial"/>
                      <w:color w:val="000000"/>
                      <w:sz w:val="20"/>
                      <w:szCs w:val="20"/>
                      <w:lang w:eastAsia="lt-LT"/>
                    </w:rPr>
                    <w:t>1</w:t>
                  </w:r>
                </w:p>
              </w:tc>
              <w:tc>
                <w:tcPr>
                  <w:tcW w:w="2014" w:type="dxa"/>
                  <w:hideMark/>
                </w:tcPr>
                <w:p w14:paraId="2D4C89D6" w14:textId="77777777" w:rsidR="00096F39" w:rsidRPr="005D66ED" w:rsidRDefault="00096F39" w:rsidP="00096F39">
                  <w:pPr>
                    <w:ind w:firstLine="0"/>
                    <w:rPr>
                      <w:rFonts w:eastAsia="Times New Roman" w:cs="Arial"/>
                      <w:color w:val="000000"/>
                      <w:sz w:val="20"/>
                      <w:szCs w:val="20"/>
                      <w:lang w:eastAsia="lt-LT"/>
                    </w:rPr>
                  </w:pPr>
                  <w:r w:rsidRPr="00711420">
                    <w:rPr>
                      <w:rFonts w:eastAsia="Times New Roman" w:cs="Arial"/>
                      <w:color w:val="000000"/>
                      <w:sz w:val="20"/>
                      <w:szCs w:val="20"/>
                      <w:lang w:eastAsia="lt-LT"/>
                    </w:rPr>
                    <w:t>Projektų</w:t>
                  </w:r>
                  <w:r>
                    <w:rPr>
                      <w:rFonts w:eastAsia="Times New Roman" w:cs="Arial"/>
                      <w:color w:val="000000"/>
                      <w:sz w:val="20"/>
                      <w:szCs w:val="20"/>
                      <w:lang w:eastAsia="lt-LT"/>
                    </w:rPr>
                    <w:t xml:space="preserve"> </w:t>
                  </w:r>
                  <w:r w:rsidRPr="00711420">
                    <w:rPr>
                      <w:rFonts w:eastAsia="Times New Roman" w:cs="Arial"/>
                      <w:color w:val="000000"/>
                      <w:sz w:val="20"/>
                      <w:szCs w:val="20"/>
                      <w:lang w:eastAsia="lt-LT"/>
                    </w:rPr>
                    <w:t>/ programų valdymas</w:t>
                  </w:r>
                </w:p>
              </w:tc>
              <w:tc>
                <w:tcPr>
                  <w:tcW w:w="7169" w:type="dxa"/>
                  <w:hideMark/>
                </w:tcPr>
                <w:p w14:paraId="6C50B3BA" w14:textId="77777777" w:rsidR="00096F39" w:rsidRPr="005D66ED" w:rsidRDefault="00096F39" w:rsidP="003553A0">
                  <w:pPr>
                    <w:ind w:firstLine="0"/>
                    <w:rPr>
                      <w:rFonts w:eastAsia="Times New Roman" w:cs="Arial"/>
                      <w:color w:val="000000"/>
                      <w:sz w:val="20"/>
                      <w:szCs w:val="20"/>
                      <w:lang w:eastAsia="lt-LT"/>
                    </w:rPr>
                  </w:pPr>
                  <w:r>
                    <w:rPr>
                      <w:rFonts w:cs="Arial"/>
                      <w:color w:val="000000"/>
                      <w:sz w:val="20"/>
                      <w:szCs w:val="20"/>
                      <w:shd w:val="clear" w:color="auto" w:fill="FFFFFF"/>
                    </w:rPr>
                    <w:t>Įmonių ir/arba grupės projektų bei programų valdymas</w:t>
                  </w:r>
                </w:p>
              </w:tc>
            </w:tr>
            <w:tr w:rsidR="00096F39" w:rsidRPr="005D66ED" w14:paraId="7D4A2D8F" w14:textId="77777777" w:rsidTr="008C1BC8">
              <w:trPr>
                <w:trHeight w:val="189"/>
              </w:trPr>
              <w:tc>
                <w:tcPr>
                  <w:tcW w:w="517" w:type="dxa"/>
                  <w:vMerge w:val="restart"/>
                </w:tcPr>
                <w:p w14:paraId="33459245" w14:textId="77777777" w:rsidR="00096F39" w:rsidRPr="005D66ED" w:rsidRDefault="00096F39" w:rsidP="00096F39">
                  <w:pPr>
                    <w:ind w:firstLine="0"/>
                    <w:rPr>
                      <w:rFonts w:eastAsia="Times New Roman" w:cs="Arial"/>
                      <w:color w:val="000000"/>
                      <w:sz w:val="20"/>
                      <w:szCs w:val="20"/>
                      <w:lang w:eastAsia="lt-LT"/>
                    </w:rPr>
                  </w:pPr>
                  <w:r>
                    <w:rPr>
                      <w:rFonts w:eastAsia="Times New Roman" w:cs="Arial"/>
                      <w:color w:val="000000"/>
                      <w:sz w:val="20"/>
                      <w:szCs w:val="20"/>
                      <w:lang w:eastAsia="lt-LT"/>
                    </w:rPr>
                    <w:t>2</w:t>
                  </w:r>
                </w:p>
              </w:tc>
              <w:tc>
                <w:tcPr>
                  <w:tcW w:w="2014" w:type="dxa"/>
                  <w:vMerge w:val="restart"/>
                </w:tcPr>
                <w:p w14:paraId="0F093F1B" w14:textId="6A745936" w:rsidR="00096F39" w:rsidRPr="009D568F" w:rsidRDefault="00096F39" w:rsidP="00096F39">
                  <w:pPr>
                    <w:ind w:firstLine="0"/>
                    <w:rPr>
                      <w:rFonts w:cs="Arial"/>
                      <w:b/>
                      <w:color w:val="000000"/>
                    </w:rPr>
                  </w:pPr>
                  <w:r w:rsidRPr="009D568F">
                    <w:rPr>
                      <w:rFonts w:eastAsia="Times New Roman" w:cs="Arial"/>
                      <w:color w:val="000000"/>
                      <w:sz w:val="20"/>
                      <w:szCs w:val="20"/>
                      <w:lang w:eastAsia="lt-LT"/>
                    </w:rPr>
                    <w:t>Grupės ir įmonių projektų/programų portfelio valdymas ir funkcijos vystymas</w:t>
                  </w:r>
                </w:p>
                <w:p w14:paraId="70C6A0B5" w14:textId="77777777" w:rsidR="00096F39" w:rsidRPr="005D66ED" w:rsidRDefault="00096F39" w:rsidP="00096F39">
                  <w:pPr>
                    <w:rPr>
                      <w:rFonts w:eastAsia="Times New Roman" w:cs="Arial"/>
                      <w:color w:val="000000"/>
                      <w:sz w:val="20"/>
                      <w:szCs w:val="20"/>
                      <w:lang w:eastAsia="lt-LT"/>
                    </w:rPr>
                  </w:pPr>
                </w:p>
              </w:tc>
              <w:tc>
                <w:tcPr>
                  <w:tcW w:w="7169" w:type="dxa"/>
                </w:tcPr>
                <w:p w14:paraId="346DEC21" w14:textId="23CE1F65" w:rsidR="003553A0"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Grupės ir įmonių projektų bei programų por</w:t>
                  </w:r>
                  <w:r>
                    <w:rPr>
                      <w:rFonts w:cs="Arial"/>
                      <w:color w:val="000000"/>
                      <w:sz w:val="20"/>
                      <w:szCs w:val="20"/>
                      <w:shd w:val="clear" w:color="auto" w:fill="FFFFFF"/>
                    </w:rPr>
                    <w:t>t</w:t>
                  </w:r>
                  <w:r w:rsidRPr="009D568F">
                    <w:rPr>
                      <w:rFonts w:cs="Arial"/>
                      <w:color w:val="000000"/>
                      <w:sz w:val="20"/>
                      <w:szCs w:val="20"/>
                      <w:shd w:val="clear" w:color="auto" w:fill="FFFFFF"/>
                    </w:rPr>
                    <w:t>felio formavimas, stebėsena - projektų ir resursų sąryšiai, susidariusių apribojimų sprendimų siūlymai, pagalba projektų/programų vadovams bei savininkams, informacijos teikimas vadovams sprendimų priėmimui</w:t>
                  </w:r>
                  <w:r w:rsidR="007668FB">
                    <w:rPr>
                      <w:rFonts w:cs="Arial"/>
                      <w:color w:val="000000"/>
                      <w:sz w:val="20"/>
                      <w:szCs w:val="20"/>
                      <w:shd w:val="clear" w:color="auto" w:fill="FFFFFF"/>
                    </w:rPr>
                    <w:t>.</w:t>
                  </w:r>
                  <w:r w:rsidRPr="009D568F">
                    <w:rPr>
                      <w:rFonts w:cs="Arial"/>
                      <w:color w:val="000000"/>
                      <w:sz w:val="20"/>
                      <w:szCs w:val="20"/>
                      <w:shd w:val="clear" w:color="auto" w:fill="FFFFFF"/>
                    </w:rPr>
                    <w:br/>
                  </w:r>
                  <w:r w:rsidR="00243D74">
                    <w:rPr>
                      <w:rFonts w:cs="Arial"/>
                      <w:color w:val="000000"/>
                      <w:sz w:val="20"/>
                      <w:szCs w:val="20"/>
                      <w:shd w:val="clear" w:color="auto" w:fill="FFFFFF"/>
                    </w:rPr>
                    <w:t>Projektų valdymo funkcij</w:t>
                  </w:r>
                  <w:r w:rsidR="007F3C34">
                    <w:rPr>
                      <w:rFonts w:cs="Arial"/>
                      <w:color w:val="000000"/>
                      <w:sz w:val="20"/>
                      <w:szCs w:val="20"/>
                      <w:shd w:val="clear" w:color="auto" w:fill="FFFFFF"/>
                    </w:rPr>
                    <w:t>os</w:t>
                  </w:r>
                  <w:r w:rsidR="00972A0E">
                    <w:rPr>
                      <w:rFonts w:cs="Arial"/>
                      <w:color w:val="000000"/>
                      <w:sz w:val="20"/>
                      <w:szCs w:val="20"/>
                      <w:shd w:val="clear" w:color="auto" w:fill="FFFFFF"/>
                    </w:rPr>
                    <w:t xml:space="preserve"> </w:t>
                  </w:r>
                  <w:r w:rsidRPr="009D568F">
                    <w:rPr>
                      <w:rFonts w:cs="Arial"/>
                      <w:color w:val="000000"/>
                      <w:sz w:val="20"/>
                      <w:szCs w:val="20"/>
                      <w:shd w:val="clear" w:color="auto" w:fill="FFFFFF"/>
                    </w:rPr>
                    <w:t xml:space="preserve">bendruomenės palaikymas ir vystymas. </w:t>
                  </w:r>
                </w:p>
                <w:p w14:paraId="780AFBCF" w14:textId="0F4A70E2" w:rsidR="003553A0" w:rsidRDefault="00865D47" w:rsidP="003553A0">
                  <w:pPr>
                    <w:ind w:firstLine="0"/>
                    <w:rPr>
                      <w:rFonts w:cs="Arial"/>
                      <w:color w:val="000000"/>
                      <w:sz w:val="20"/>
                      <w:szCs w:val="20"/>
                      <w:shd w:val="clear" w:color="auto" w:fill="FFFFFF"/>
                    </w:rPr>
                  </w:pPr>
                  <w:r w:rsidRPr="007F3C34">
                    <w:rPr>
                      <w:rFonts w:cs="Arial"/>
                      <w:color w:val="000000"/>
                      <w:sz w:val="20"/>
                      <w:szCs w:val="20"/>
                      <w:shd w:val="clear" w:color="auto" w:fill="FFFFFF"/>
                    </w:rPr>
                    <w:t xml:space="preserve">Ekspertų </w:t>
                  </w:r>
                  <w:proofErr w:type="spellStart"/>
                  <w:r w:rsidRPr="007F3C34">
                    <w:rPr>
                      <w:rFonts w:cs="Arial"/>
                      <w:color w:val="000000"/>
                      <w:sz w:val="20"/>
                      <w:szCs w:val="20"/>
                      <w:shd w:val="clear" w:color="auto" w:fill="FFFFFF"/>
                    </w:rPr>
                    <w:t>pamainumo</w:t>
                  </w:r>
                  <w:proofErr w:type="spellEnd"/>
                  <w:r w:rsidRPr="007F3C34">
                    <w:rPr>
                      <w:rFonts w:cs="Arial"/>
                      <w:color w:val="000000"/>
                      <w:sz w:val="20"/>
                      <w:szCs w:val="20"/>
                      <w:shd w:val="clear" w:color="auto" w:fill="FFFFFF"/>
                    </w:rPr>
                    <w:t xml:space="preserve"> ir tinkamos kompetencijos užtikrinimas, ugdymas</w:t>
                  </w:r>
                  <w:r w:rsidR="00096F39" w:rsidRPr="009D568F">
                    <w:rPr>
                      <w:rFonts w:cs="Arial"/>
                      <w:color w:val="000000"/>
                      <w:sz w:val="20"/>
                      <w:szCs w:val="20"/>
                      <w:shd w:val="clear" w:color="auto" w:fill="FFFFFF"/>
                    </w:rPr>
                    <w:t xml:space="preserve">. </w:t>
                  </w:r>
                </w:p>
                <w:p w14:paraId="0F103EE9" w14:textId="71509577" w:rsidR="00096F39" w:rsidRPr="005D66ED" w:rsidRDefault="00096F39" w:rsidP="003553A0">
                  <w:pPr>
                    <w:ind w:firstLine="0"/>
                    <w:rPr>
                      <w:rFonts w:eastAsia="Times New Roman" w:cs="Arial"/>
                      <w:color w:val="000000"/>
                      <w:sz w:val="20"/>
                      <w:szCs w:val="20"/>
                      <w:lang w:eastAsia="lt-LT"/>
                    </w:rPr>
                  </w:pPr>
                  <w:r w:rsidRPr="009D568F">
                    <w:rPr>
                      <w:rFonts w:cs="Arial"/>
                      <w:color w:val="000000"/>
                      <w:sz w:val="20"/>
                      <w:szCs w:val="20"/>
                      <w:shd w:val="clear" w:color="auto" w:fill="FFFFFF"/>
                    </w:rPr>
                    <w:t>Konsultavimas projektų/programų valdymo klausimais</w:t>
                  </w:r>
                  <w:r w:rsidR="00BA1D0F">
                    <w:rPr>
                      <w:rFonts w:cs="Arial"/>
                      <w:color w:val="000000"/>
                      <w:sz w:val="20"/>
                      <w:szCs w:val="20"/>
                      <w:shd w:val="clear" w:color="auto" w:fill="FFFFFF"/>
                    </w:rPr>
                    <w:t>.</w:t>
                  </w:r>
                </w:p>
              </w:tc>
            </w:tr>
            <w:tr w:rsidR="00096F39" w:rsidRPr="005D66ED" w14:paraId="7CEE457F" w14:textId="77777777" w:rsidTr="008C1BC8">
              <w:trPr>
                <w:trHeight w:val="561"/>
              </w:trPr>
              <w:tc>
                <w:tcPr>
                  <w:tcW w:w="517" w:type="dxa"/>
                  <w:vMerge/>
                  <w:hideMark/>
                </w:tcPr>
                <w:p w14:paraId="21C2BAA4" w14:textId="77777777" w:rsidR="00096F39" w:rsidRPr="005D66ED" w:rsidRDefault="00096F39" w:rsidP="00096F39">
                  <w:pPr>
                    <w:rPr>
                      <w:rFonts w:eastAsia="Times New Roman" w:cs="Arial"/>
                      <w:color w:val="000000"/>
                      <w:sz w:val="20"/>
                      <w:szCs w:val="20"/>
                      <w:lang w:eastAsia="lt-LT"/>
                    </w:rPr>
                  </w:pPr>
                </w:p>
              </w:tc>
              <w:tc>
                <w:tcPr>
                  <w:tcW w:w="2014" w:type="dxa"/>
                  <w:vMerge/>
                  <w:hideMark/>
                </w:tcPr>
                <w:p w14:paraId="467EEA70" w14:textId="77777777" w:rsidR="00096F39" w:rsidRPr="005D66ED" w:rsidRDefault="00096F39" w:rsidP="00096F39">
                  <w:pPr>
                    <w:rPr>
                      <w:rFonts w:eastAsia="Times New Roman" w:cs="Arial"/>
                      <w:color w:val="000000"/>
                      <w:sz w:val="20"/>
                      <w:szCs w:val="20"/>
                      <w:lang w:eastAsia="lt-LT"/>
                    </w:rPr>
                  </w:pPr>
                </w:p>
              </w:tc>
              <w:tc>
                <w:tcPr>
                  <w:tcW w:w="7169" w:type="dxa"/>
                  <w:vMerge w:val="restart"/>
                </w:tcPr>
                <w:p w14:paraId="01B96B18"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Metodinis projektų/programų valdymo reglamentavimas (metodikų rengimas, mokymai, gerosios praktikos). </w:t>
                  </w:r>
                </w:p>
                <w:p w14:paraId="70D01855"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Funkcijos vystymo krypties nustatymas, tikslų formavimas ir įgyvendinimo užtikrinimas. </w:t>
                  </w:r>
                </w:p>
                <w:p w14:paraId="61FA1F4E"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Projektų ir programų valdymo kompetencijos matricos užtikrinimas grupės lygiu. </w:t>
                  </w:r>
                </w:p>
                <w:p w14:paraId="0DF4A1C2" w14:textId="56D25658" w:rsidR="00096F39" w:rsidRPr="009D568F" w:rsidRDefault="009E2E86" w:rsidP="003553A0">
                  <w:pPr>
                    <w:ind w:firstLine="0"/>
                    <w:rPr>
                      <w:rFonts w:cs="Arial"/>
                      <w:color w:val="000000"/>
                      <w:sz w:val="20"/>
                      <w:szCs w:val="20"/>
                      <w:shd w:val="clear" w:color="auto" w:fill="FFFFFF"/>
                    </w:rPr>
                  </w:pPr>
                  <w:r>
                    <w:rPr>
                      <w:rFonts w:cs="Arial"/>
                      <w:color w:val="000000"/>
                      <w:sz w:val="20"/>
                      <w:szCs w:val="20"/>
                      <w:shd w:val="clear" w:color="auto" w:fill="FFFFFF"/>
                    </w:rPr>
                    <w:t xml:space="preserve">Grupės vadovų komitetų </w:t>
                  </w:r>
                  <w:r w:rsidR="00096F39" w:rsidRPr="009D568F">
                    <w:rPr>
                      <w:rFonts w:cs="Arial"/>
                      <w:color w:val="000000"/>
                      <w:sz w:val="20"/>
                      <w:szCs w:val="20"/>
                      <w:shd w:val="clear" w:color="auto" w:fill="FFFFFF"/>
                    </w:rPr>
                    <w:t>organizavimas ir proceso palaikyma</w:t>
                  </w:r>
                  <w:r w:rsidR="00096F39">
                    <w:rPr>
                      <w:rFonts w:cs="Arial"/>
                      <w:color w:val="000000"/>
                      <w:sz w:val="20"/>
                      <w:szCs w:val="20"/>
                      <w:shd w:val="clear" w:color="auto" w:fill="FFFFFF"/>
                    </w:rPr>
                    <w:t>s.</w:t>
                  </w:r>
                </w:p>
              </w:tc>
            </w:tr>
            <w:tr w:rsidR="00096F39" w:rsidRPr="005D66ED" w14:paraId="15A5BE73" w14:textId="77777777" w:rsidTr="008C1BC8">
              <w:trPr>
                <w:trHeight w:val="592"/>
              </w:trPr>
              <w:tc>
                <w:tcPr>
                  <w:tcW w:w="517" w:type="dxa"/>
                  <w:vMerge/>
                  <w:vAlign w:val="center"/>
                </w:tcPr>
                <w:p w14:paraId="5BED17EA" w14:textId="77777777" w:rsidR="00096F39" w:rsidRPr="005D66ED" w:rsidRDefault="00096F39" w:rsidP="00096F39">
                  <w:pPr>
                    <w:jc w:val="center"/>
                    <w:rPr>
                      <w:rFonts w:eastAsia="Times New Roman" w:cs="Arial"/>
                      <w:color w:val="000000"/>
                      <w:sz w:val="20"/>
                      <w:szCs w:val="20"/>
                      <w:lang w:eastAsia="lt-LT"/>
                    </w:rPr>
                  </w:pPr>
                </w:p>
              </w:tc>
              <w:tc>
                <w:tcPr>
                  <w:tcW w:w="2014" w:type="dxa"/>
                  <w:vMerge/>
                  <w:vAlign w:val="center"/>
                </w:tcPr>
                <w:p w14:paraId="31BB52BC" w14:textId="77777777" w:rsidR="00096F39" w:rsidRPr="005D66ED" w:rsidRDefault="00096F39" w:rsidP="00096F39">
                  <w:pPr>
                    <w:rPr>
                      <w:rFonts w:eastAsia="Times New Roman" w:cs="Arial"/>
                      <w:color w:val="000000"/>
                      <w:sz w:val="20"/>
                      <w:szCs w:val="20"/>
                      <w:lang w:eastAsia="lt-LT"/>
                    </w:rPr>
                  </w:pPr>
                </w:p>
              </w:tc>
              <w:tc>
                <w:tcPr>
                  <w:tcW w:w="7169" w:type="dxa"/>
                  <w:vMerge/>
                  <w:vAlign w:val="center"/>
                </w:tcPr>
                <w:p w14:paraId="7A61D142" w14:textId="77777777" w:rsidR="00096F39" w:rsidRPr="00165629" w:rsidRDefault="00096F39" w:rsidP="00096F39">
                  <w:pPr>
                    <w:jc w:val="both"/>
                    <w:rPr>
                      <w:rFonts w:eastAsia="Times New Roman" w:cs="Arial"/>
                      <w:color w:val="000000"/>
                      <w:sz w:val="20"/>
                      <w:szCs w:val="20"/>
                      <w:lang w:eastAsia="lt-LT"/>
                    </w:rPr>
                  </w:pPr>
                </w:p>
              </w:tc>
            </w:tr>
          </w:tbl>
          <w:p w14:paraId="368AF13B" w14:textId="0B55337D" w:rsidR="00E33FF3" w:rsidRDefault="00E33FF3" w:rsidP="00E156DD">
            <w:pPr>
              <w:ind w:firstLine="0"/>
              <w:rPr>
                <w:rFonts w:eastAsia="Times New Roman" w:cs="Arial"/>
                <w:sz w:val="20"/>
                <w:szCs w:val="20"/>
                <w:lang w:eastAsia="lt-LT"/>
              </w:rPr>
            </w:pPr>
          </w:p>
          <w:p w14:paraId="654CC6F8" w14:textId="36FAFC10" w:rsidR="00833A1B" w:rsidRPr="004F6BF8" w:rsidRDefault="00096F39" w:rsidP="004F6BF8">
            <w:pPr>
              <w:pStyle w:val="ListParagraph"/>
              <w:numPr>
                <w:ilvl w:val="2"/>
                <w:numId w:val="1"/>
              </w:numPr>
              <w:tabs>
                <w:tab w:val="left" w:pos="683"/>
              </w:tabs>
              <w:ind w:left="0" w:firstLine="0"/>
              <w:rPr>
                <w:sz w:val="20"/>
                <w:szCs w:val="20"/>
                <w:lang w:eastAsia="lt-LT"/>
              </w:rPr>
            </w:pPr>
            <w:r>
              <w:rPr>
                <w:rFonts w:eastAsia="Times New Roman" w:cs="Arial"/>
                <w:sz w:val="20"/>
                <w:szCs w:val="20"/>
                <w:lang w:eastAsia="lt-LT"/>
              </w:rPr>
              <w:t xml:space="preserve">Projektų valdymo </w:t>
            </w:r>
            <w:r w:rsidR="003E1F23" w:rsidRPr="004F6BF8">
              <w:rPr>
                <w:rFonts w:eastAsia="Times New Roman" w:cs="Arial"/>
                <w:sz w:val="20"/>
                <w:szCs w:val="20"/>
                <w:lang w:eastAsia="lt-LT"/>
              </w:rPr>
              <w:t xml:space="preserve">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2"/>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6828B" w14:textId="77777777" w:rsidR="00460570" w:rsidRDefault="00460570" w:rsidP="00427694">
      <w:r>
        <w:separator/>
      </w:r>
    </w:p>
  </w:endnote>
  <w:endnote w:type="continuationSeparator" w:id="0">
    <w:p w14:paraId="36396FED" w14:textId="77777777" w:rsidR="00460570" w:rsidRDefault="00460570"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E835E" w14:textId="77777777" w:rsidR="00460570" w:rsidRDefault="00460570" w:rsidP="00427694">
      <w:r>
        <w:separator/>
      </w:r>
    </w:p>
  </w:footnote>
  <w:footnote w:type="continuationSeparator" w:id="0">
    <w:p w14:paraId="52312D84" w14:textId="77777777" w:rsidR="00460570" w:rsidRDefault="00460570"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584E7BA3"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96F39"/>
    <w:rsid w:val="000A52C6"/>
    <w:rsid w:val="000C4CFA"/>
    <w:rsid w:val="000C6D3E"/>
    <w:rsid w:val="000E011C"/>
    <w:rsid w:val="000E1D1C"/>
    <w:rsid w:val="000E4215"/>
    <w:rsid w:val="00102417"/>
    <w:rsid w:val="001039B4"/>
    <w:rsid w:val="00107EEC"/>
    <w:rsid w:val="00110568"/>
    <w:rsid w:val="001225A0"/>
    <w:rsid w:val="001263FA"/>
    <w:rsid w:val="00136FE5"/>
    <w:rsid w:val="00137B5E"/>
    <w:rsid w:val="00145295"/>
    <w:rsid w:val="0014668D"/>
    <w:rsid w:val="001512C3"/>
    <w:rsid w:val="00154859"/>
    <w:rsid w:val="00156E2A"/>
    <w:rsid w:val="00166AD8"/>
    <w:rsid w:val="001702BB"/>
    <w:rsid w:val="001813F1"/>
    <w:rsid w:val="00182340"/>
    <w:rsid w:val="0018597A"/>
    <w:rsid w:val="001A2152"/>
    <w:rsid w:val="001F4E67"/>
    <w:rsid w:val="001F57AC"/>
    <w:rsid w:val="00205616"/>
    <w:rsid w:val="00216E39"/>
    <w:rsid w:val="00221B57"/>
    <w:rsid w:val="002359BD"/>
    <w:rsid w:val="00243D74"/>
    <w:rsid w:val="002465CA"/>
    <w:rsid w:val="002528BA"/>
    <w:rsid w:val="002635E4"/>
    <w:rsid w:val="00270435"/>
    <w:rsid w:val="0027623B"/>
    <w:rsid w:val="00297CFA"/>
    <w:rsid w:val="002A000B"/>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53A0"/>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570"/>
    <w:rsid w:val="00460C67"/>
    <w:rsid w:val="00462C11"/>
    <w:rsid w:val="00474A1D"/>
    <w:rsid w:val="00477A19"/>
    <w:rsid w:val="00477A4D"/>
    <w:rsid w:val="00480079"/>
    <w:rsid w:val="00491C2D"/>
    <w:rsid w:val="00492F5E"/>
    <w:rsid w:val="0049799C"/>
    <w:rsid w:val="004B218A"/>
    <w:rsid w:val="004B6078"/>
    <w:rsid w:val="004B7553"/>
    <w:rsid w:val="004C4262"/>
    <w:rsid w:val="004C544C"/>
    <w:rsid w:val="004D2CDE"/>
    <w:rsid w:val="004D5996"/>
    <w:rsid w:val="004D5A9A"/>
    <w:rsid w:val="004D6519"/>
    <w:rsid w:val="004E3D41"/>
    <w:rsid w:val="004E680A"/>
    <w:rsid w:val="004F48CE"/>
    <w:rsid w:val="004F56FB"/>
    <w:rsid w:val="004F57B0"/>
    <w:rsid w:val="004F6BF8"/>
    <w:rsid w:val="00506108"/>
    <w:rsid w:val="00513484"/>
    <w:rsid w:val="00516E0D"/>
    <w:rsid w:val="00521AC7"/>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668FB"/>
    <w:rsid w:val="00787203"/>
    <w:rsid w:val="0079503B"/>
    <w:rsid w:val="007A2880"/>
    <w:rsid w:val="007A4BA3"/>
    <w:rsid w:val="007A709D"/>
    <w:rsid w:val="007B6D5A"/>
    <w:rsid w:val="007C3C91"/>
    <w:rsid w:val="007C6EA8"/>
    <w:rsid w:val="007E376C"/>
    <w:rsid w:val="007E6DE2"/>
    <w:rsid w:val="007E7F35"/>
    <w:rsid w:val="007F3C34"/>
    <w:rsid w:val="007F3CD0"/>
    <w:rsid w:val="00800D52"/>
    <w:rsid w:val="0080244F"/>
    <w:rsid w:val="00813020"/>
    <w:rsid w:val="00820513"/>
    <w:rsid w:val="00833A1B"/>
    <w:rsid w:val="00840A92"/>
    <w:rsid w:val="00861FCC"/>
    <w:rsid w:val="00865D47"/>
    <w:rsid w:val="00875C21"/>
    <w:rsid w:val="00876051"/>
    <w:rsid w:val="00890A6E"/>
    <w:rsid w:val="008A3AD9"/>
    <w:rsid w:val="008B3991"/>
    <w:rsid w:val="008C03B9"/>
    <w:rsid w:val="008C1B7A"/>
    <w:rsid w:val="008C1BC8"/>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2A0E"/>
    <w:rsid w:val="00977724"/>
    <w:rsid w:val="00982F34"/>
    <w:rsid w:val="00985E83"/>
    <w:rsid w:val="00991F3F"/>
    <w:rsid w:val="00993BA2"/>
    <w:rsid w:val="009A1C33"/>
    <w:rsid w:val="009A3EE4"/>
    <w:rsid w:val="009A63CF"/>
    <w:rsid w:val="009B21D0"/>
    <w:rsid w:val="009B224D"/>
    <w:rsid w:val="009E1CC2"/>
    <w:rsid w:val="009E2E86"/>
    <w:rsid w:val="009E40CD"/>
    <w:rsid w:val="009F0240"/>
    <w:rsid w:val="009F369F"/>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20D4F"/>
    <w:rsid w:val="00B41F34"/>
    <w:rsid w:val="00B41FF4"/>
    <w:rsid w:val="00B442B7"/>
    <w:rsid w:val="00B46B8C"/>
    <w:rsid w:val="00B525C5"/>
    <w:rsid w:val="00B6032A"/>
    <w:rsid w:val="00B81729"/>
    <w:rsid w:val="00B9284A"/>
    <w:rsid w:val="00B95B9B"/>
    <w:rsid w:val="00BA1D0F"/>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82667"/>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2C27"/>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2C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52851D3174BE9B5989F8A614C5F4E"/>
        <w:category>
          <w:name w:val="General"/>
          <w:gallery w:val="placeholder"/>
        </w:category>
        <w:types>
          <w:type w:val="bbPlcHdr"/>
        </w:types>
        <w:behaviors>
          <w:behavior w:val="content"/>
        </w:behaviors>
        <w:guid w:val="{E856A0A4-4A4C-4250-B32E-89FDC12F3369}"/>
      </w:docPartPr>
      <w:docPartBody>
        <w:p w:rsidR="00F82AB4" w:rsidRDefault="00C172A5" w:rsidP="00C172A5">
          <w:pPr>
            <w:pStyle w:val="43C52851D3174BE9B5989F8A614C5F4E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474FF4"/>
    <w:rsid w:val="00585640"/>
    <w:rsid w:val="008D5FF6"/>
    <w:rsid w:val="00937614"/>
    <w:rsid w:val="00962EA0"/>
    <w:rsid w:val="00C15420"/>
    <w:rsid w:val="00C172A5"/>
    <w:rsid w:val="00E51CD7"/>
    <w:rsid w:val="00F12454"/>
    <w:rsid w:val="00F82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2A5"/>
    <w:rPr>
      <w:color w:val="808080"/>
    </w:rPr>
  </w:style>
  <w:style w:type="paragraph" w:customStyle="1" w:styleId="43C52851D3174BE9B5989F8A614C5F4E1">
    <w:name w:val="43C52851D3174BE9B5989F8A614C5F4E1"/>
    <w:rsid w:val="00C172A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F56E-B636-40DE-A329-7B24512171BC}">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e1e39af4-2bed-4a6a-b87a-349b7f47b89d"/>
    <ds:schemaRef ds:uri="http://schemas.openxmlformats.org/package/2006/metadata/core-properties"/>
    <ds:schemaRef ds:uri="http://schemas.microsoft.com/office/infopath/2007/PartnerControls"/>
    <ds:schemaRef ds:uri="http://www.w3.org/XML/1998/namespace"/>
    <ds:schemaRef ds:uri="d4f3889e-0af5-4a9b-a141-a8874ad631c2"/>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2749</Words>
  <Characters>1567</Characters>
  <DocSecurity>0</DocSecurity>
  <Lines>13</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2021-12-03T07:48:00Z</dcterms:created>
  <dcterms:modified xsi:type="dcterms:W3CDTF">2021-12-13T05:30:00Z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