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00880E5A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691AA7">
        <w:rPr>
          <w:rStyle w:val="Laukeliai"/>
        </w:rPr>
        <w:t>UAB „Vėjo gūsis“</w:t>
      </w:r>
      <w:r w:rsidR="00AD3A38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1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1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57E55CAE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9D6B6C">
        <w:rPr>
          <w:rFonts w:ascii="Arial" w:hAnsi="Arial" w:cs="Arial"/>
          <w:sz w:val="20"/>
          <w:szCs w:val="20"/>
        </w:rPr>
        <w:t>20 000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22"/>
        <w:gridCol w:w="6209"/>
        <w:gridCol w:w="1531"/>
      </w:tblGrid>
      <w:tr w:rsidR="002623D3" w:rsidRPr="00802A83" w14:paraId="70276C6C" w14:textId="77777777" w:rsidTr="005A24D3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06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06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6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3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FF5192" w:rsidRPr="00802A83" w14:paraId="606CFE75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AC2DD66" w14:textId="6477ABDF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2969" w:type="pct"/>
            <w:shd w:val="clear" w:color="auto" w:fill="auto"/>
          </w:tcPr>
          <w:p w14:paraId="3950F4BA" w14:textId="5E097B9A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32" w:type="pct"/>
            <w:shd w:val="clear" w:color="auto" w:fill="auto"/>
          </w:tcPr>
          <w:p w14:paraId="71C94F05" w14:textId="2CD7AADF" w:rsidR="00FF5192" w:rsidRPr="003F2C12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58DD814E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A11391" w14:textId="68C30460" w:rsidR="00FF5192" w:rsidRPr="00580EE8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2969" w:type="pct"/>
            <w:shd w:val="clear" w:color="auto" w:fill="auto"/>
          </w:tcPr>
          <w:p w14:paraId="4010F849" w14:textId="1C8BCF23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32" w:type="pct"/>
            <w:shd w:val="clear" w:color="auto" w:fill="auto"/>
          </w:tcPr>
          <w:p w14:paraId="6611EDD2" w14:textId="3A9639A6" w:rsidR="00FF5192" w:rsidRPr="003F2C12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FF5192" w:rsidRPr="00802A83" w14:paraId="4EB7B8F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602AB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55298A0" w14:textId="302E572B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2969" w:type="pct"/>
            <w:shd w:val="clear" w:color="auto" w:fill="auto"/>
          </w:tcPr>
          <w:p w14:paraId="2CB6182E" w14:textId="7CD2D97E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32" w:type="pct"/>
            <w:shd w:val="clear" w:color="auto" w:fill="auto"/>
          </w:tcPr>
          <w:p w14:paraId="60CA5F52" w14:textId="3FEEC4EA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FF5192" w:rsidRPr="00802A83" w14:paraId="6F1E3C9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247567AA" w14:textId="46050E83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2969" w:type="pct"/>
            <w:shd w:val="clear" w:color="auto" w:fill="auto"/>
          </w:tcPr>
          <w:p w14:paraId="51C0CAC2" w14:textId="4B0A98B2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32" w:type="pct"/>
            <w:shd w:val="clear" w:color="auto" w:fill="auto"/>
          </w:tcPr>
          <w:p w14:paraId="6C2F56B5" w14:textId="7090CE16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64FF32A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D479484" w14:textId="7E3F11A2" w:rsidR="00FF5192" w:rsidRPr="00580EE8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2969" w:type="pct"/>
            <w:shd w:val="clear" w:color="auto" w:fill="auto"/>
          </w:tcPr>
          <w:p w14:paraId="09D32327" w14:textId="54946691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32" w:type="pct"/>
            <w:shd w:val="clear" w:color="auto" w:fill="auto"/>
          </w:tcPr>
          <w:p w14:paraId="03F83B14" w14:textId="5C2FA61C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5F266599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7484AA" w14:textId="2B046D6B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HRB PORTALAS</w:t>
            </w:r>
          </w:p>
        </w:tc>
        <w:tc>
          <w:tcPr>
            <w:tcW w:w="2969" w:type="pct"/>
            <w:shd w:val="clear" w:color="auto" w:fill="auto"/>
          </w:tcPr>
          <w:p w14:paraId="6E289128" w14:textId="63E67544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32" w:type="pct"/>
            <w:shd w:val="clear" w:color="auto" w:fill="auto"/>
          </w:tcPr>
          <w:p w14:paraId="25559448" w14:textId="1B2D91EA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10259BE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3DEDB0" w14:textId="3E437A2D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2969" w:type="pct"/>
            <w:shd w:val="clear" w:color="auto" w:fill="auto"/>
          </w:tcPr>
          <w:p w14:paraId="77EBC464" w14:textId="3DB2E4B8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32" w:type="pct"/>
            <w:shd w:val="clear" w:color="auto" w:fill="auto"/>
          </w:tcPr>
          <w:p w14:paraId="2ADA34BA" w14:textId="12FD2E8E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4A563563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E55207" w14:textId="15EFAA8C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2969" w:type="pct"/>
            <w:shd w:val="clear" w:color="auto" w:fill="auto"/>
          </w:tcPr>
          <w:p w14:paraId="1D99F017" w14:textId="266E6FBD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FF5192">
              <w:rPr>
                <w:rFonts w:ascii="Arial" w:hAnsi="Arial" w:cs="Arial"/>
                <w:sz w:val="20"/>
                <w:lang w:eastAsia="lt-LT"/>
              </w:rPr>
              <w:t>Intranetinė</w:t>
            </w:r>
            <w:proofErr w:type="spellEnd"/>
            <w:r w:rsidRPr="00FF5192">
              <w:rPr>
                <w:rFonts w:ascii="Arial" w:hAnsi="Arial" w:cs="Arial"/>
                <w:sz w:val="20"/>
                <w:lang w:eastAsia="lt-LT"/>
              </w:rPr>
              <w:t xml:space="preserve"> svetainė</w:t>
            </w:r>
          </w:p>
        </w:tc>
        <w:tc>
          <w:tcPr>
            <w:tcW w:w="732" w:type="pct"/>
            <w:shd w:val="clear" w:color="auto" w:fill="auto"/>
          </w:tcPr>
          <w:p w14:paraId="359C5ADA" w14:textId="75C165F2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FF5192" w:rsidRPr="00802A83" w14:paraId="765C818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932CC13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CBEAEB" w14:textId="1770EF46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2969" w:type="pct"/>
            <w:shd w:val="clear" w:color="auto" w:fill="auto"/>
          </w:tcPr>
          <w:p w14:paraId="05FFF013" w14:textId="62981BBB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32" w:type="pct"/>
            <w:shd w:val="clear" w:color="auto" w:fill="auto"/>
          </w:tcPr>
          <w:p w14:paraId="46A9ACF1" w14:textId="006CC3D5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FF5192" w:rsidRPr="00802A83" w14:paraId="35BB7564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66FD4A" w14:textId="67A16F42" w:rsidR="00FF5192" w:rsidRPr="00580EE8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2969" w:type="pct"/>
            <w:shd w:val="clear" w:color="auto" w:fill="auto"/>
          </w:tcPr>
          <w:p w14:paraId="2DD7C731" w14:textId="37362F9D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32" w:type="pct"/>
            <w:shd w:val="clear" w:color="auto" w:fill="auto"/>
          </w:tcPr>
          <w:p w14:paraId="4A017A3E" w14:textId="34CD69E9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288052FD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412F07" w14:textId="4764DB3F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2969" w:type="pct"/>
            <w:shd w:val="clear" w:color="auto" w:fill="auto"/>
          </w:tcPr>
          <w:p w14:paraId="09B55329" w14:textId="033BE44B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32" w:type="pct"/>
            <w:shd w:val="clear" w:color="auto" w:fill="auto"/>
          </w:tcPr>
          <w:p w14:paraId="0C4404FF" w14:textId="2BB1D402" w:rsidR="00FF5192" w:rsidRPr="00580EE8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77343517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E79ADD9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0F155B" w14:textId="601F247F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2969" w:type="pct"/>
            <w:shd w:val="clear" w:color="auto" w:fill="auto"/>
          </w:tcPr>
          <w:p w14:paraId="06B30E64" w14:textId="25C80FD4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32" w:type="pct"/>
            <w:shd w:val="clear" w:color="auto" w:fill="auto"/>
          </w:tcPr>
          <w:p w14:paraId="1E3BCD00" w14:textId="0713FCE1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70EA9EB4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9A0481E" w14:textId="24D8F472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ROBOT</w:t>
            </w:r>
          </w:p>
        </w:tc>
        <w:tc>
          <w:tcPr>
            <w:tcW w:w="2969" w:type="pct"/>
            <w:shd w:val="clear" w:color="auto" w:fill="auto"/>
          </w:tcPr>
          <w:p w14:paraId="21B95CA2" w14:textId="32266F70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32" w:type="pct"/>
            <w:shd w:val="clear" w:color="auto" w:fill="auto"/>
          </w:tcPr>
          <w:p w14:paraId="5F238678" w14:textId="078DF41B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FF5192" w:rsidRPr="00802A83" w14:paraId="2C7B5036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4326E88" w14:textId="6BDA702B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2969" w:type="pct"/>
            <w:shd w:val="clear" w:color="auto" w:fill="auto"/>
          </w:tcPr>
          <w:p w14:paraId="2A770EA3" w14:textId="360E22F3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32" w:type="pct"/>
            <w:shd w:val="clear" w:color="auto" w:fill="auto"/>
          </w:tcPr>
          <w:p w14:paraId="34794C92" w14:textId="575F8B88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20932AAB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1ABCE5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DCD9320" w14:textId="0778D6A6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VV</w:t>
            </w:r>
          </w:p>
        </w:tc>
        <w:tc>
          <w:tcPr>
            <w:tcW w:w="2969" w:type="pct"/>
            <w:shd w:val="clear" w:color="auto" w:fill="auto"/>
          </w:tcPr>
          <w:p w14:paraId="52922F15" w14:textId="41CF438B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32" w:type="pct"/>
            <w:shd w:val="clear" w:color="auto" w:fill="auto"/>
          </w:tcPr>
          <w:p w14:paraId="4D25073A" w14:textId="475F0FE6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5196D366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BE45F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8DFAA5" w14:textId="24F1D3AE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2969" w:type="pct"/>
            <w:shd w:val="clear" w:color="auto" w:fill="auto"/>
          </w:tcPr>
          <w:p w14:paraId="3DD53DB2" w14:textId="6C528DFA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32" w:type="pct"/>
            <w:shd w:val="clear" w:color="auto" w:fill="auto"/>
          </w:tcPr>
          <w:p w14:paraId="38ACA085" w14:textId="361DB2DF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FF5192" w:rsidRPr="00802A83" w14:paraId="1404D870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749917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221D7E7" w14:textId="2C63E303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2969" w:type="pct"/>
            <w:shd w:val="clear" w:color="auto" w:fill="auto"/>
          </w:tcPr>
          <w:p w14:paraId="47649CDF" w14:textId="0F08C74E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32" w:type="pct"/>
            <w:shd w:val="clear" w:color="auto" w:fill="auto"/>
          </w:tcPr>
          <w:p w14:paraId="79E2FCB0" w14:textId="5ED2AD50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FF5192" w:rsidRPr="00802A83" w14:paraId="32C2756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8F2CC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AB4DBE1" w14:textId="534FB5D2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2969" w:type="pct"/>
            <w:shd w:val="clear" w:color="auto" w:fill="auto"/>
          </w:tcPr>
          <w:p w14:paraId="176412A5" w14:textId="33FF1860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Svetainių talpinimas (WEB </w:t>
            </w:r>
            <w:proofErr w:type="spellStart"/>
            <w:r w:rsidRPr="00FF5192">
              <w:rPr>
                <w:rFonts w:ascii="Arial" w:hAnsi="Arial" w:cs="Arial"/>
                <w:sz w:val="20"/>
                <w:lang w:eastAsia="lt-LT"/>
              </w:rPr>
              <w:t>hosting</w:t>
            </w:r>
            <w:proofErr w:type="spellEnd"/>
            <w:r w:rsidRPr="00FF5192"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732" w:type="pct"/>
            <w:shd w:val="clear" w:color="auto" w:fill="auto"/>
          </w:tcPr>
          <w:p w14:paraId="752BF77D" w14:textId="5C56E19B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5E248C" w:rsidRPr="00DD0D13" w14:paraId="7704479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8D449E2" w14:textId="368B46BA" w:rsidR="005E248C" w:rsidRPr="003F2C12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2969" w:type="pct"/>
            <w:shd w:val="clear" w:color="auto" w:fill="auto"/>
          </w:tcPr>
          <w:p w14:paraId="232310BC" w14:textId="179089F2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32" w:type="pct"/>
            <w:shd w:val="clear" w:color="auto" w:fill="auto"/>
          </w:tcPr>
          <w:p w14:paraId="1345C787" w14:textId="69F97937" w:rsidR="005E248C" w:rsidRPr="00DD0D13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5E248C" w:rsidRPr="00DD0D13" w14:paraId="0DD4304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42AD565" w14:textId="18252F21" w:rsidR="005E248C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2969" w:type="pct"/>
            <w:shd w:val="clear" w:color="auto" w:fill="auto"/>
          </w:tcPr>
          <w:p w14:paraId="0A495C69" w14:textId="4EDD7B1C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732" w:type="pct"/>
            <w:shd w:val="clear" w:color="auto" w:fill="auto"/>
          </w:tcPr>
          <w:p w14:paraId="3B6ADE05" w14:textId="3FD8EA6A" w:rsidR="005E248C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AB310D" w:rsidRPr="00802A83" w14:paraId="4510782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2969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32" w:type="pct"/>
            <w:shd w:val="clear" w:color="auto" w:fill="auto"/>
          </w:tcPr>
          <w:p w14:paraId="7EA24414" w14:textId="0D88A66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</w:t>
            </w:r>
            <w:r w:rsidR="005E248C">
              <w:rPr>
                <w:rFonts w:ascii="Arial" w:hAnsi="Arial" w:cs="Arial"/>
                <w:sz w:val="20"/>
                <w:lang w:eastAsia="lt-LT"/>
              </w:rPr>
              <w:t>.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4060D206" w14:textId="47D7E80E" w:rsidR="00415661" w:rsidRPr="00580EE8" w:rsidRDefault="006C2519" w:rsidP="00724C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sectPr w:rsidR="00415661" w:rsidRPr="00580EE8" w:rsidSect="004E161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6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9432" w14:textId="77777777" w:rsidR="002F7473" w:rsidRDefault="002F7473" w:rsidP="0043350F">
      <w:r>
        <w:separator/>
      </w:r>
    </w:p>
  </w:endnote>
  <w:endnote w:type="continuationSeparator" w:id="0">
    <w:p w14:paraId="16778136" w14:textId="77777777" w:rsidR="002F7473" w:rsidRDefault="002F7473" w:rsidP="0043350F">
      <w:r>
        <w:continuationSeparator/>
      </w:r>
    </w:p>
  </w:endnote>
  <w:endnote w:type="continuationNotice" w:id="1">
    <w:p w14:paraId="23A95FB7" w14:textId="77777777" w:rsidR="002F7473" w:rsidRDefault="002F7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55E85B7E" w:rsidR="00D23367" w:rsidRDefault="004E1611">
    <w:pPr>
      <w:pStyle w:val="Footer"/>
      <w:jc w:val="right"/>
    </w:pP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E5D7" w14:textId="6BC58FC2" w:rsidR="00994C28" w:rsidRDefault="00994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315E" w14:textId="77777777" w:rsidR="002F7473" w:rsidRDefault="002F7473" w:rsidP="0043350F">
      <w:r>
        <w:separator/>
      </w:r>
    </w:p>
  </w:footnote>
  <w:footnote w:type="continuationSeparator" w:id="0">
    <w:p w14:paraId="54B17DC1" w14:textId="77777777" w:rsidR="002F7473" w:rsidRDefault="002F7473" w:rsidP="0043350F">
      <w:r>
        <w:continuationSeparator/>
      </w:r>
    </w:p>
  </w:footnote>
  <w:footnote w:type="continuationNotice" w:id="1">
    <w:p w14:paraId="773D63F3" w14:textId="77777777" w:rsidR="002F7473" w:rsidRDefault="002F7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50D04051" w:rsidR="00D23367" w:rsidRPr="004E1611" w:rsidRDefault="004E1611" w:rsidP="00F47E4F">
    <w:pPr>
      <w:spacing w:before="60" w:after="60"/>
      <w:ind w:left="5760"/>
      <w:jc w:val="right"/>
      <w:rPr>
        <w:rFonts w:ascii="Segoe UI" w:hAnsi="Segoe UI" w:cs="Segoe UI"/>
        <w:sz w:val="20"/>
        <w:szCs w:val="20"/>
      </w:rPr>
    </w:pPr>
    <w:r w:rsidRPr="004E1611">
      <w:rPr>
        <w:rFonts w:ascii="Segoe UI" w:hAnsi="Segoe UI" w:cs="Segoe UI"/>
        <w:sz w:val="20"/>
        <w:szCs w:val="20"/>
      </w:rPr>
      <w:t>5 priedas</w:t>
    </w: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0B66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2F7473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25C9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1611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24D3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3E3"/>
    <w:rsid w:val="005D4D9B"/>
    <w:rsid w:val="005D7214"/>
    <w:rsid w:val="005E1C1C"/>
    <w:rsid w:val="005E248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1AA7"/>
    <w:rsid w:val="00692515"/>
    <w:rsid w:val="00692FEA"/>
    <w:rsid w:val="00695334"/>
    <w:rsid w:val="0069575C"/>
    <w:rsid w:val="006A2B7C"/>
    <w:rsid w:val="006A2CFE"/>
    <w:rsid w:val="006A4448"/>
    <w:rsid w:val="006A4EA1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7D5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2669E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6B6C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057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0E44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5FA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7445-18E5-4F3D-8B5D-41FA260AE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64B3A5C-2E21-4C8F-B3EE-D3CF26CC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Arūnas Daujotas</cp:lastModifiedBy>
  <cp:revision>7</cp:revision>
  <cp:lastPrinted>2017-03-22T08:20:00Z</cp:lastPrinted>
  <dcterms:created xsi:type="dcterms:W3CDTF">2021-12-09T12:33:00Z</dcterms:created>
  <dcterms:modified xsi:type="dcterms:W3CDTF">2022-01-26T13:13:00Z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190751af-2442-49a7-b7b9-9f0bcce858c9_Enabled">
    <vt:lpwstr>true</vt:lpwstr>
  </property>
  <property fmtid="{D5CDD505-2E9C-101B-9397-08002B2CF9AE}" pid="6" name="MSIP_Label_190751af-2442-49a7-b7b9-9f0bcce858c9_SetDate">
    <vt:lpwstr>2022-01-26T13:12:59Z</vt:lpwstr>
  </property>
  <property fmtid="{D5CDD505-2E9C-101B-9397-08002B2CF9AE}" pid="7" name="MSIP_Label_190751af-2442-49a7-b7b9-9f0bcce858c9_Method">
    <vt:lpwstr>Privileged</vt:lpwstr>
  </property>
  <property fmtid="{D5CDD505-2E9C-101B-9397-08002B2CF9AE}" pid="8" name="MSIP_Label_190751af-2442-49a7-b7b9-9f0bcce858c9_Name">
    <vt:lpwstr>Vidaus dokumentai</vt:lpwstr>
  </property>
  <property fmtid="{D5CDD505-2E9C-101B-9397-08002B2CF9AE}" pid="9" name="MSIP_Label_190751af-2442-49a7-b7b9-9f0bcce858c9_SiteId">
    <vt:lpwstr>ea88e983-d65a-47b3-adb4-3e1c6d2110d2</vt:lpwstr>
  </property>
  <property fmtid="{D5CDD505-2E9C-101B-9397-08002B2CF9AE}" pid="10" name="MSIP_Label_190751af-2442-49a7-b7b9-9f0bcce858c9_ActionId">
    <vt:lpwstr>4f8414f6-cde7-43d6-8cbb-a9a9e49eb853</vt:lpwstr>
  </property>
  <property fmtid="{D5CDD505-2E9C-101B-9397-08002B2CF9AE}" pid="11" name="MSIP_Label_190751af-2442-49a7-b7b9-9f0bcce858c9_ContentBits">
    <vt:lpwstr>0</vt:lpwstr>
  </property>
</Properties>
</file>