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360" w:type="dxa"/>
        <w:tblInd w:w="-998" w:type="dxa"/>
        <w:tblLayout w:type="fixed"/>
        <w:tblLook w:val="04A0" w:firstRow="1" w:lastRow="0" w:firstColumn="1" w:lastColumn="0" w:noHBand="0" w:noVBand="1"/>
      </w:tblPr>
      <w:tblGrid>
        <w:gridCol w:w="646"/>
        <w:gridCol w:w="8144"/>
        <w:gridCol w:w="7570"/>
      </w:tblGrid>
      <w:tr w:rsidR="00A909FC" w:rsidRPr="00D81433" w:rsidTr="007C4992">
        <w:trPr>
          <w:trHeight w:val="492"/>
        </w:trPr>
        <w:tc>
          <w:tcPr>
            <w:tcW w:w="646" w:type="dxa"/>
          </w:tcPr>
          <w:p w:rsidR="00A909FC" w:rsidRPr="00D81433" w:rsidRDefault="00A909FC" w:rsidP="007C4992">
            <w:pPr>
              <w:jc w:val="both"/>
              <w:rPr>
                <w:rFonts w:ascii="Arial" w:hAnsi="Arial" w:cs="Arial"/>
                <w:b/>
                <w:sz w:val="20"/>
                <w:szCs w:val="20"/>
              </w:rPr>
            </w:pPr>
            <w:r w:rsidRPr="00D81433">
              <w:rPr>
                <w:rFonts w:ascii="Arial" w:hAnsi="Arial" w:cs="Arial"/>
                <w:b/>
                <w:sz w:val="20"/>
                <w:szCs w:val="20"/>
              </w:rPr>
              <w:t>Eil Nr</w:t>
            </w:r>
          </w:p>
        </w:tc>
        <w:tc>
          <w:tcPr>
            <w:tcW w:w="8144" w:type="dxa"/>
          </w:tcPr>
          <w:p w:rsidR="00A909FC" w:rsidRPr="00D81433" w:rsidRDefault="00A909FC" w:rsidP="007C4992">
            <w:pPr>
              <w:jc w:val="center"/>
              <w:rPr>
                <w:rFonts w:ascii="Arial" w:hAnsi="Arial" w:cs="Arial"/>
                <w:b/>
                <w:sz w:val="20"/>
                <w:szCs w:val="20"/>
              </w:rPr>
            </w:pPr>
            <w:r w:rsidRPr="00D81433">
              <w:rPr>
                <w:rFonts w:ascii="Arial" w:hAnsi="Arial" w:cs="Arial"/>
                <w:b/>
                <w:sz w:val="20"/>
                <w:szCs w:val="20"/>
              </w:rPr>
              <w:t>Klausimai</w:t>
            </w:r>
          </w:p>
        </w:tc>
        <w:tc>
          <w:tcPr>
            <w:tcW w:w="7570" w:type="dxa"/>
          </w:tcPr>
          <w:p w:rsidR="00A909FC" w:rsidRPr="00D81433" w:rsidRDefault="00A909FC" w:rsidP="007C4992">
            <w:pPr>
              <w:jc w:val="center"/>
              <w:rPr>
                <w:rFonts w:ascii="Arial" w:hAnsi="Arial" w:cs="Arial"/>
                <w:b/>
                <w:sz w:val="20"/>
                <w:szCs w:val="20"/>
              </w:rPr>
            </w:pPr>
            <w:r w:rsidRPr="00D81433">
              <w:rPr>
                <w:rFonts w:ascii="Arial" w:hAnsi="Arial" w:cs="Arial"/>
                <w:b/>
                <w:sz w:val="20"/>
                <w:szCs w:val="20"/>
              </w:rPr>
              <w:t>Atsakymai</w:t>
            </w:r>
          </w:p>
        </w:tc>
      </w:tr>
      <w:tr w:rsidR="00A909FC" w:rsidRPr="00D81433" w:rsidTr="007C4992">
        <w:trPr>
          <w:trHeight w:val="454"/>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D1162ED" wp14:editId="7F0D0951">
                  <wp:extent cx="5033010" cy="2463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3010" cy="24638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0,4 kV oro linijoje montuojamus apkrovų balansavimo įrenginius tieks Užsakovas. Į įrenginio komplektą įeina ir tvirtinimo metalo konstrukcijos.</w:t>
            </w:r>
          </w:p>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Atsižvelgiant į klausimą tiksliname Užsakovo tiekiamų medžiagų priedą, esantį </w:t>
            </w:r>
            <w:hyperlink r:id="rId8"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A909FC" w:rsidRPr="00D81433" w:rsidTr="007C4992">
        <w:trPr>
          <w:trHeight w:val="265"/>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322B65DB" wp14:editId="45EF5F18">
                  <wp:extent cx="5033010" cy="214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21463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0,23 kV oro linijoje montuojamus vienfazius įtampos reguliatorius tieks Užsakovas. Į įrenginio komplektą įeina ir tvirtinimo metalo konstrukcijos.</w:t>
            </w:r>
          </w:p>
          <w:p w:rsidR="00A909FC" w:rsidRPr="00D81433" w:rsidRDefault="00A909FC" w:rsidP="007C4992">
            <w:pPr>
              <w:jc w:val="both"/>
              <w:rPr>
                <w:rFonts w:ascii="Arial" w:hAnsi="Arial" w:cs="Arial"/>
                <w:color w:val="000000"/>
                <w:sz w:val="20"/>
                <w:szCs w:val="20"/>
                <w:lang w:val="en-US"/>
              </w:rPr>
            </w:pPr>
            <w:r w:rsidRPr="00D81433">
              <w:rPr>
                <w:rFonts w:ascii="Arial" w:hAnsi="Arial" w:cs="Arial"/>
                <w:color w:val="000000"/>
                <w:sz w:val="20"/>
                <w:szCs w:val="20"/>
              </w:rPr>
              <w:t xml:space="preserve">Atsižvelgiant į klausimą tiksliname Užsakovo tiekiamų medžiagų priedą, esantį </w:t>
            </w:r>
            <w:hyperlink r:id="rId10"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A909FC" w:rsidRPr="00D81433" w:rsidTr="007C4992">
        <w:trPr>
          <w:trHeight w:val="404"/>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0B200213" wp14:editId="65FC4B06">
                  <wp:extent cx="5025390" cy="302260"/>
                  <wp:effectExtent l="0" t="0" r="381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5390" cy="30226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AD700E5" wp14:editId="454A1141">
                  <wp:extent cx="5025390" cy="77152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Užsakovas bet kuriuo atveju turi teisę atšaukti ar nutraukti Užsakymą ir atsiskaityti su Rangovu už faktiškai, tinkamai atliktus Darbus ir/ar medžiagas pagal Sutartyje numatytas sąlygas.  Pagrįstumas - vertinamoji sąvoka, todėl jos įvedimas nesprendžia jokios problemos, priešingai - sudaro sąlygas ginčams, nes Rangovas gali galvoti, kad atsisako pagrįstai, o Užsakovas manys, kad toks Rangovo pagrįstumas nepagrįstas. </w:t>
            </w:r>
            <w:r w:rsidRPr="00D81433">
              <w:rPr>
                <w:rFonts w:ascii="Arial" w:hAnsi="Arial" w:cs="Arial"/>
                <w:color w:val="000000"/>
                <w:sz w:val="20"/>
                <w:szCs w:val="20"/>
              </w:rPr>
              <w:br/>
              <w:t>Nutraukus darbus yra atsiskaitoma už faktiškai atliktus darbus. Sutarties 15.10. punktas numato, kad „Užsakovui nesilaikant Sutartyje numatytų įsipareigojimų, Rangovas turi teisę kreiptis dėl patirtų tiesioginių nuostolių kompensavimo su tokį faktą patvirtinančiais dokumentais, jeigu tokie nuostoliai yra patiriami."</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5</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584D011" wp14:editId="132EF3C5">
                  <wp:extent cx="5025390" cy="76327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5390" cy="76327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Rangovas privalo veikti taip, kad vykdydamas darbus nepadarytų žalos Užsakovo turtui. Užsakovo turto apsaugojimas nėra paslauga, kurią teikia Rangovas. Šias sąnaudas Rangovas privalo įsitraukti į savo įkainius. Sutarties 4.9 punktas numato, kad „Rangovas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6</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0B4A8D02" wp14:editId="4610414B">
                  <wp:extent cx="5025390" cy="787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5390" cy="78740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Rangovui yra patikėtas objektas daryti Darbus, Rangovas atsako pilna atsakomybe už objekto apsaugą ir už bet kokius kitus su objekto apsauga susijusius kaštus ir/ar jų padidėjimą. Esant nenumatytoms aplinkybėms vykdant Darbus, Užsakymas pagal Rangovo pagrįstą prašymą gali būti vertinamas dėl papildomų darbų skyrimo.  Rangovo vykdomų darbų kainos padidėjimas gali būti pateisinamas tik priežastimis, priklausančiomis nuo Užsakovo.</w:t>
            </w:r>
          </w:p>
          <w:p w:rsidR="00A909FC" w:rsidRPr="00D81433" w:rsidRDefault="00A909FC" w:rsidP="007C4992">
            <w:pPr>
              <w:jc w:val="both"/>
              <w:rPr>
                <w:rFonts w:ascii="Arial" w:hAnsi="Arial" w:cs="Arial"/>
                <w:bCs/>
                <w:color w:val="FF0000"/>
                <w:sz w:val="20"/>
                <w:szCs w:val="20"/>
              </w:rPr>
            </w:pP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7</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78A5C398" wp14:editId="0A4D86E6">
                  <wp:extent cx="5025390" cy="1693545"/>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5390" cy="169354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Užsakovas teikia Užsakymą Darbams, tačiau Rangovas vykdydamas Užsakymą gali susidurti su situacija, kai reikia atlikti Darbų, kurie nenumatyti Užsakyme. Užsakymo vykdymo metu paaiškėjus aplinkybėms, kurių nebuvo galima numatyti Užsakymo pateikimo metu, Rangovas gali kreiptis į Užsakovą dėl papildomų darbų įsigijimo.  Užsakyme netikslinga vardinti visų medžiagų ir darbų, būtinų Darbų rezultatui pasiekti. Rangovas, kaip savo srities profesionalas privalo įsivertinti, kokie darbai yra būtini tinkamam rezultatui pasiekti. Svarbu ir tai, kad punkte nurodyta „tiesiogiai susijusius darbus", t. y., tokius, be kurių atlikimo negalėsime rezultatu naudotis pagal paskirtį.</w:t>
            </w:r>
          </w:p>
          <w:p w:rsidR="00A909FC" w:rsidRPr="00D81433" w:rsidRDefault="00A909FC" w:rsidP="007C4992">
            <w:pPr>
              <w:jc w:val="both"/>
              <w:rPr>
                <w:rFonts w:ascii="Arial" w:hAnsi="Arial" w:cs="Arial"/>
                <w:bCs/>
                <w:color w:val="FF0000"/>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8</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B3CCF97" wp14:editId="46F4A9E0">
                  <wp:extent cx="5025390" cy="46101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5390" cy="46101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išlaidos, numatytos Sutarties 5.1 ir 5.2 punktuose Rangovui kompensuojamos pagal Sutartyje numatytą tiesioginių išlaidų kompensavimo modelį, o visas kitas išlaidas Rangovas privalo įtraukti į darbų ir/ar medžiagų įkainius.</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9</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3325BDEF" wp14:editId="49F43F35">
                  <wp:extent cx="5033010" cy="954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„Faktinio informacijos gavimo momentas" yra laikomas tada, kai Rangovas perskaito laišką ar pažiūri į Informacinėje sistemoje gautą pranešimą. Avarinių darbų atveju svarbus itin greitas reagavimas, todėl Rangovas turi užtikrinti, kad nurodytais būdais Užsakovo pateikta informacija būtų gaunama iš karto. 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 </w:t>
            </w:r>
          </w:p>
          <w:p w:rsidR="00A909FC" w:rsidRPr="00D81433" w:rsidRDefault="00A909FC" w:rsidP="007C4992">
            <w:pPr>
              <w:jc w:val="both"/>
              <w:rPr>
                <w:rFonts w:ascii="Arial" w:hAnsi="Arial" w:cs="Arial"/>
                <w:color w:val="2E74B5" w:themeColor="accent1" w:themeShade="BF"/>
                <w:sz w:val="20"/>
                <w:szCs w:val="20"/>
              </w:rPr>
            </w:pP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10</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3A29B5BC" wp14:editId="6D2DD332">
                  <wp:extent cx="5025390" cy="3657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5390" cy="36576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metinė rangos sutartis suformuota taip, jog Užsakovas tikisi iš Rangovo besąlyginio Užsakymų priėmimo ir vykdymo. Atvejus, kai Rangovas negali priimti ir įvykdyti Užsakovo Užsakymo, Šalys gali spręsti derybų būdu atskirai tokios Rangovo atsisakymo galimybės neįtvirtinant Sutartyje. „Motyvuotai" - vertinamoji sąvoka ir tokios nuostatos perkėlimas į Sutartį galėtų sąlygoti situaciją, kai Rangovui pasidaro per brangu vykdyti konkretų Užsakymą ir/arba jis tam neturi darbuotojų, nes jie atostogauja/serga ir pan. Atsisakymas tokiu pagrindu būtų lyg ir motyvuotas, </w:t>
            </w:r>
            <w:r w:rsidRPr="00D81433">
              <w:rPr>
                <w:rFonts w:ascii="Arial" w:hAnsi="Arial" w:cs="Arial"/>
                <w:color w:val="000000"/>
                <w:sz w:val="20"/>
                <w:szCs w:val="20"/>
              </w:rPr>
              <w:lastRenderedPageBreak/>
              <w:t>tačiau būtų nepasiekti ilgalaikės sutarties sudarymo tikslai.</w:t>
            </w:r>
            <w:r w:rsidRPr="00D81433">
              <w:rPr>
                <w:rFonts w:ascii="Arial" w:hAnsi="Arial" w:cs="Arial"/>
                <w:color w:val="000000"/>
                <w:sz w:val="20"/>
                <w:szCs w:val="20"/>
              </w:rPr>
              <w:br/>
              <w:t>Tokia galimybė (motyvuotai atsisakyti) keltų riziką ir tinkamam Užsakovo įsipareigojimų (pvz., prieš naujus klientus) vykdymui, nes turėdami metinį rangovą ir įsipareigodami klientą prijungti per X dienų  negalėtume užtikrinti, kad klientą visais atvejais elektros energijos skirstymo paslauga pasieks laiku.</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11</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20C2691" wp14:editId="773056D3">
                  <wp:extent cx="5025390" cy="103378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5390" cy="1033780"/>
                          </a:xfrm>
                          <a:prstGeom prst="rect">
                            <a:avLst/>
                          </a:prstGeom>
                          <a:noFill/>
                          <a:ln>
                            <a:noFill/>
                          </a:ln>
                        </pic:spPr>
                      </pic:pic>
                    </a:graphicData>
                  </a:graphic>
                </wp:inline>
              </w:drawing>
            </w:r>
          </w:p>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47FC7CE" wp14:editId="0520D3BA">
                  <wp:extent cx="5033010" cy="675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3010" cy="6756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Informuojame, kad Užsakovas bet kuriuo atveju turi teisę atšaukti ar nutraukti Užsakymą ir atsiskaityti su Rangovu už faktiškai, tinkamai atliktus Darbus ir/ar medžiagas pagal Sutartyje numatytas sąlygas.   </w:t>
            </w:r>
            <w:r w:rsidRPr="00D81433">
              <w:rPr>
                <w:rFonts w:ascii="Arial" w:hAnsi="Arial" w:cs="Arial"/>
                <w:color w:val="000000"/>
                <w:sz w:val="20"/>
                <w:szCs w:val="20"/>
              </w:rPr>
              <w:br/>
              <w:t>Nutraukus darbus yra atsiskaitoma už faktiškai atliktus darbus. Sutarties 15.10. punktas numato, kad "Užsakovui nesilaikant Sutartyje numatytų įsipareigojimų, Rangovas turi teisę kreiptis dėl patirtų tiesioginių nuostolių kompensavimo su tokį faktą patvirtinančiais dokumentais, jeigu tokie nuostoliai yra patiriami."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12</w:t>
            </w:r>
          </w:p>
        </w:tc>
        <w:tc>
          <w:tcPr>
            <w:tcW w:w="8144" w:type="dxa"/>
          </w:tcPr>
          <w:p w:rsidR="00A909FC" w:rsidRPr="00D81433" w:rsidRDefault="00A909FC" w:rsidP="007C4992">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7672849" wp14:editId="2B816EAF">
                  <wp:extent cx="5025390" cy="1860550"/>
                  <wp:effectExtent l="0" t="0" r="381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5390" cy="18605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13</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F7FF436" wp14:editId="0AC87DC8">
                  <wp:extent cx="5025390" cy="1534795"/>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5390" cy="153479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14</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88E240B" wp14:editId="1009914A">
                  <wp:extent cx="5025390" cy="124015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Sutartimi perkami darbai, už kuriuos atsiskaitoma pagal Sutartyje nustatytus Darbų Įkainius.  „Išlaidų ir sąnaudų" sutarties kainodaroje nėra numatyta, išskyrus tiesiogiai kompensuojamas išlaidas, numatytas Sutarties 5 skyriuje, todėl ir tokių išlaidų ar sąnaudų sutarties vykdymo metu atsirasti negali.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15</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A178ECF" wp14:editId="54CE8D9D">
                  <wp:extent cx="5025390" cy="124015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„siekti"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16</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31BA7E4" wp14:editId="27047FDD">
                  <wp:extent cx="5025390" cy="83502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5390" cy="835025"/>
                          </a:xfrm>
                          <a:prstGeom prst="rect">
                            <a:avLst/>
                          </a:prstGeom>
                          <a:noFill/>
                          <a:ln>
                            <a:noFill/>
                          </a:ln>
                        </pic:spPr>
                      </pic:pic>
                    </a:graphicData>
                  </a:graphic>
                </wp:inline>
              </w:drawing>
            </w:r>
          </w:p>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2AA174D" wp14:editId="024CD2E6">
                  <wp:extent cx="5033010" cy="5168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3010" cy="51689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„siekti"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17</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84360A6" wp14:editId="2BDFA8C2">
                  <wp:extent cx="5025390" cy="48514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„siekti"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18</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E59ECE6" wp14:editId="1AE205E7">
                  <wp:extent cx="5033010" cy="3340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3010" cy="33401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Rangovas privalo sekti elektroninius laiškus, pranešimus per Informacinę sistemą. Šią informaciją Rangovas „faktiškai" gauna tada, kada laiškas „įkrenta" į jo pašto dėžutę ar per Informacinę sistemą. Todėl tikslinimas į „faktinę gavimo datą" nėra reikalingas ir įneša daugiau sumaišties, nors reiškia tą patį.</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19</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C093A4B" wp14:editId="390E451C">
                  <wp:extent cx="5033010" cy="4851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Informuojame, kad </w:t>
            </w:r>
            <w:r>
              <w:rPr>
                <w:rFonts w:ascii="Arial" w:hAnsi="Arial" w:cs="Arial"/>
                <w:color w:val="000000"/>
                <w:sz w:val="20"/>
                <w:szCs w:val="20"/>
              </w:rPr>
              <w:t>Lietuvos Respublikos civilinis kodeksas</w:t>
            </w:r>
            <w:r w:rsidRPr="00D81433">
              <w:rPr>
                <w:rFonts w:ascii="Arial" w:hAnsi="Arial" w:cs="Arial"/>
                <w:color w:val="000000"/>
                <w:sz w:val="20"/>
                <w:szCs w:val="20"/>
              </w:rPr>
              <w:t xml:space="preserve"> 6.212 str. nustato, kad skolininko kontrahentų įsipareigojimų nevykdymas negali būti laikomas nenugalima jėga, atleidžiančia skolininką nuo įsipareigojimų vykdymo. Šis sutarties punktas suformuluotas laikantis Civilinio kodekso nuostatų analogijos.</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20</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37E125E" wp14:editId="4693A020">
                  <wp:extent cx="5025390" cy="61214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5390" cy="612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Užsakovas tenkina Rangovo prašymą dėl Darbų atlikimo termino pratęsimo Sutarties 8.2 punkte numatytais atvejais pagal Sutarties priede Nr. 7 „Darbų vykdymo termino pratęsimo sąlygos" numatytas aplinkybes.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21</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872CEC2" wp14:editId="5772A7DD">
                  <wp:extent cx="5025390" cy="604520"/>
                  <wp:effectExtent l="0" t="0" r="381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5390" cy="60452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Dokumentų priėmimo ir patvirtinimo terminai numatyti Sutarties priede Nr. 6 „Pagrindinės sutarties vykdymo sąlygos" (18 eilutė).</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22</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49EBCBF" wp14:editId="38BBE811">
                  <wp:extent cx="5033010" cy="946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3010" cy="94615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23</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BC2B79C" wp14:editId="180A9093">
                  <wp:extent cx="5025390" cy="1057275"/>
                  <wp:effectExtent l="0" t="0" r="381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5390" cy="105727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kai Užsakovas neteikia Teikiamų medžiagų arba Užsakovo išrinktas Pardavėjas negali pateikti reikalingų Darbams atlikti medžiagų, Rangovas tokias medžiagas turi nurodyti Pasiūlyme ir įsigyti savo lėšomis. Medžiagos privalo būti iš www.eso.lt tinklapyje paskelbto medžiagų sąrašo ir negali viršyti Sutarties priede Nr. 9 „Pasiūlymo forma" nurodytų Teikiamų medžiagų įkainių. Už į Pasiūlymą neįtrauktas medžiagas, kurias Pasiūlymo teikimo metu Rangovas galėjo numatyti, atskirai neapmokama.</w:t>
            </w:r>
          </w:p>
          <w:p w:rsidR="00A909FC" w:rsidRPr="00D81433" w:rsidRDefault="00A909FC" w:rsidP="007C4992">
            <w:pPr>
              <w:jc w:val="both"/>
              <w:rPr>
                <w:rFonts w:ascii="Arial" w:hAnsi="Arial" w:cs="Arial"/>
                <w:sz w:val="20"/>
                <w:szCs w:val="20"/>
              </w:rPr>
            </w:pP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24</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8591404" wp14:editId="3C61DBA2">
                  <wp:extent cx="5033010" cy="9544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bottom"/>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25</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133AB33" wp14:editId="063B72BC">
                  <wp:extent cx="5025390" cy="126428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5390" cy="126428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„siekti"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26</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1AD5A68" wp14:editId="627225E4">
                  <wp:extent cx="5025390" cy="12560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5390" cy="125603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atsiradus tokiam poreikiui (leidimų atlikti darbus gavimui), Rangovas apie tai gali informuoti Užsakovą ir pagrįstos patirtos išlaidos kompensuojamos remiantis Sutarties 5 skyriuje numatytomis sąlygomis. Rangovui neinformavus apie poreikį tokioms sąnaudoms iš anksto, šias sąnaudas jis privalo padengti savo lėšomis. Toks principas yra pagrįstas ir teisingas, nes Užsakovas privalo turėti galimybę iš anksto apsvarstyti ir priimti sprendimus dėl tokių sąnaudų, kurias jis privalės kompensuoti, patyrimo.</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27</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0247B10" wp14:editId="2291E97C">
                  <wp:extent cx="5025390" cy="771525"/>
                  <wp:effectExtent l="0" t="0" r="381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Paaiškiname, kad tokiais pokyčiais iškreipiama Sutarties esmė - Užsakovo lūkestis Sutarties sudarymui </w:t>
            </w:r>
            <w:r>
              <w:rPr>
                <w:rFonts w:ascii="Arial" w:hAnsi="Arial" w:cs="Arial"/>
                <w:color w:val="000000"/>
                <w:sz w:val="20"/>
                <w:szCs w:val="20"/>
              </w:rPr>
              <w:t>yra</w:t>
            </w:r>
            <w:r w:rsidRPr="00D81433">
              <w:rPr>
                <w:rFonts w:ascii="Arial" w:hAnsi="Arial" w:cs="Arial"/>
                <w:color w:val="000000"/>
                <w:sz w:val="20"/>
                <w:szCs w:val="20"/>
              </w:rPr>
              <w:t xml:space="preserve"> gauti tokią paslaugą, o ne turėti savo organizacijoje resursą tokiems Darbams vykdyti.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28</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2B6F743" wp14:editId="5038AE8A">
                  <wp:extent cx="5025390" cy="152654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5390" cy="15265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kadangi netinkama kokybė gali sąlygoti nuostolių Užsakovui atsiradimą, Užsakovas turi turėti teisę neatlikti mokėjimų, kol kokybė nebus tinkama. Tai yra viena iš nuostolių atlyginimo užtikrinimo galimybių. Ši nuostata yra proporcinga priemonė užtikrinti Užsakovo teisėtų interesų gynimą ir Rangovo sutartinių įsipareigojimų tinkamą vykdymą.</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29</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98CBEDF" wp14:editId="17834994">
                  <wp:extent cx="5025390" cy="81915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5390" cy="819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Informuojame, kad tokia nuostata negalima, nes Užsakovas turi turėti teisę į disponavimą informacija apie Rangovo sutartinių įsipareigojimų vykdymą/nevykdymą, o analogiškai Rangovui tokia teisė suteikiama būti negali, nes Rangovas vykdydamas Sutartį susipažįsta su Bendrojo duomenų apsaugos reglamento ginamų subjektų asmenine informacija (fizinių asmenų vardais, pavardėmis, adresais ir pan.). Rangovo ir Užsakovo pareigos bei teisės dėl disponavimo konfidencialia informacija kilusia iš Sutarties vykdymo atskirai įtvirtintos Sutarties 16 skyriuje. </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30</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2AA8111" wp14:editId="02263BE7">
                  <wp:extent cx="5025390" cy="107315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25390" cy="1073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Informuojame, kad Sutarties 18.13. punktas numato, jog "Nutraukus šią Sutartį bet kuriuo pagrindu, Šalys įsipareigoja: &lt;...&gt; (i) imtis visų priemonių, siekiant sumažinti dėl Sutarties nutraukimo jų patiriamus nuostolius;". Po Sutarties nutraukimo Rangovas turi teisę kreiptis į Užsakovą dėl patirtų nuostolių atlyginimo.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31</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FD4AE6A" wp14:editId="6D33D367">
                  <wp:extent cx="5025390" cy="50101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25390" cy="50101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Rangovui yra nustatytas ilgesnis įspėjimo apie vienašališką Sutarties nutraukimą terminas, todėl, kad Užsakovas vykdo su viešuoju interesu susijusią funkciją - siekia užtikrinti nepertraukiamą elektros energijos skirstymo paslaugą klientams. Toks terminas numatytas Užsakovui paliekant realias galimybes atlikti pirkimo procedūras naujai sutarčiai sudaryti.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32</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841FE6A" wp14:editId="16CA2D35">
                  <wp:extent cx="5033010" cy="4851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 xml:space="preserve">Atkreipiame dėmesį, kad Sutartyje yra numatytas Darbų termino pratęsimo instrumentas, kuris užtikrina, jog Rangovui laiku ir tinkamai pagrindžiant vėlavimo aplinkybes, būtų pratęsti Darbų atlikimo terminai. Taip pat yra įtvirtinta galimybė dėl netesybų netaikymo po Užsakymo įvykdymo dėl Užsakovo kaltės.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33</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535181A" wp14:editId="40EA9315">
                  <wp:extent cx="5033010" cy="3898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33010" cy="38989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Informuojame, kad Užsakovas negali įtakoti ar prognozuoti Avarinių darbų atvejų ar naujų klientų srauto, tačiau Užsakovo įsipareigojimai prieš Klientą nesikeičia nuo Klientų apimčių ar avarijų skaičiaus, todėl Rangovas taipogi privalo užtikrinti sutartinių įsipareigojimų vykdymą nepriklausomai nuo Užsakymų skaičiaus. </w:t>
            </w:r>
          </w:p>
          <w:p w:rsidR="00A909FC" w:rsidRPr="00D81433" w:rsidRDefault="00A909FC" w:rsidP="007C4992">
            <w:pPr>
              <w:jc w:val="both"/>
              <w:rPr>
                <w:rFonts w:ascii="Arial" w:hAnsi="Arial" w:cs="Arial"/>
                <w:sz w:val="20"/>
                <w:szCs w:val="20"/>
              </w:rPr>
            </w:pPr>
            <w:r w:rsidRPr="00D81433">
              <w:rPr>
                <w:rFonts w:ascii="Arial" w:hAnsi="Arial" w:cs="Arial"/>
                <w:sz w:val="20"/>
                <w:szCs w:val="20"/>
              </w:rPr>
              <w:t>Taipogi informuojame, kad priede „Pagrindinės sutarties vykdymo sąlygos“ numatytas Užsakymų terminas Planiniams darbams nuo 21 iki 60 d. d., siekiant užtikrinti tolygų Darbų įgyvendinimą, tačiau Užsakymai gali būti teikiami ir tą pačią dieną.</w:t>
            </w:r>
          </w:p>
        </w:tc>
      </w:tr>
      <w:tr w:rsidR="00A909FC" w:rsidRPr="00D81433" w:rsidTr="007C4992">
        <w:trPr>
          <w:trHeight w:val="265"/>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34</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2196D37" wp14:editId="247F8FA1">
                  <wp:extent cx="5025390" cy="334010"/>
                  <wp:effectExtent l="0" t="0" r="381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25390" cy="334010"/>
                          </a:xfrm>
                          <a:prstGeom prst="rect">
                            <a:avLst/>
                          </a:prstGeom>
                          <a:noFill/>
                          <a:ln>
                            <a:noFill/>
                          </a:ln>
                        </pic:spPr>
                      </pic:pic>
                    </a:graphicData>
                  </a:graphic>
                </wp:inline>
              </w:drawing>
            </w:r>
          </w:p>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CB5D341" wp14:editId="76764531">
                  <wp:extent cx="5033010" cy="3498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33010" cy="34988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Sutartyje Užsakovui nėra galimybės pratęsti numatyto termino darbų priėmimui (priešingai nei Rangovui suteiktos galimybės pratęsti Darbų atlikimo terminus), todėl netesybų taikymas nėra proporcinga priemonė. Už laikotarpį, kai Užsakovas laiku nepriima atliktų Darbų nustatytais terminais, bus netaikomos netesybos arba pratęsiamas Darbų atlikimo terminas.</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35</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2496E2D" wp14:editId="4614741D">
                  <wp:extent cx="5025390" cy="48514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Užsakovas atšaukia planinį atjungimą likus mažiau nei 24 (dvidešimt keturioms) valandoms tik išskirtiniais atvejais dėl nenumatytų aplinkybių, todėl sankcija už informavimą vėliau nei per 24 (dvidešimt keturias) valandas būtų neproporcinga.</w:t>
            </w:r>
          </w:p>
          <w:p w:rsidR="00A909FC" w:rsidRPr="00D81433" w:rsidRDefault="00A909FC" w:rsidP="007C4992">
            <w:pPr>
              <w:jc w:val="both"/>
              <w:rPr>
                <w:rFonts w:ascii="Arial" w:hAnsi="Arial" w:cs="Arial"/>
                <w:sz w:val="20"/>
                <w:szCs w:val="20"/>
              </w:rPr>
            </w:pP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36</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9B7461E" wp14:editId="2709AE9D">
                  <wp:extent cx="5025390" cy="779145"/>
                  <wp:effectExtent l="0" t="0" r="381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25390" cy="77914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Atkreipiame dėmesį, kad Sutarties 11.3 punkte numatyta, kad „Užsakovas, nesavalaikiai vykdantis Sutarties 11.1. punkte numatytus įsipareigojimus, Rangovui pareikalavus, Rangovui moka 0,05 proc. dydžio delspinigius nuo Užsakymo kainos, bet ne mažiau 20,00 (EUR be PVM) už kiekvieną pavėluotą dieną, skaičiuojant iki Sutarties 11.1. punkte nurodytų įsipareigojimų įvykdymo dienos. Bet kuriuo atveju, šio punkto pagrindu priskaičiuotų delspinigių suma negali būti didesnė kaip 30 proc. nuo Užsakymo kainos (EUR be PVM)."</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37</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97C7BFA" wp14:editId="77ACEF79">
                  <wp:extent cx="5025390" cy="652145"/>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5390" cy="652145"/>
                          </a:xfrm>
                          <a:prstGeom prst="rect">
                            <a:avLst/>
                          </a:prstGeom>
                          <a:noFill/>
                          <a:ln>
                            <a:noFill/>
                          </a:ln>
                        </pic:spPr>
                      </pic:pic>
                    </a:graphicData>
                  </a:graphic>
                </wp:inline>
              </w:drawing>
            </w:r>
          </w:p>
        </w:tc>
        <w:tc>
          <w:tcPr>
            <w:tcW w:w="7570" w:type="dxa"/>
          </w:tcPr>
          <w:p w:rsidR="00A909FC" w:rsidRPr="00211F33" w:rsidRDefault="00A909FC" w:rsidP="007C4992">
            <w:pPr>
              <w:rPr>
                <w:rFonts w:ascii="Arial" w:hAnsi="Arial" w:cs="Arial"/>
                <w:color w:val="000000"/>
                <w:sz w:val="20"/>
                <w:szCs w:val="20"/>
              </w:rPr>
            </w:pPr>
            <w:r>
              <w:rPr>
                <w:rFonts w:ascii="Arial" w:hAnsi="Arial" w:cs="Arial"/>
                <w:color w:val="000000"/>
                <w:sz w:val="20"/>
                <w:szCs w:val="20"/>
              </w:rPr>
              <w:t xml:space="preserve">Atsižvelgdami į tiekėjo pateiktus argumentus, tiksliname Sutarties 6 priedo 1 lentelės 30 eilutę „Klientų aptarnavimo standarto nesilaikymas“ ir išdėstome ją taip, „100,00 EUR už kiekvieną dokumentais pagrįstą ir įrodytą atvejį esant Kliento pateiktam skundui“. </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lastRenderedPageBreak/>
              <w:t>38</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06BE400" wp14:editId="0616B556">
                  <wp:extent cx="5025390" cy="842645"/>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25390" cy="84264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vienas iš pagrindinių Sutarties tikslų yra užtikrinti visokeriopą, nepertraukiamą Darbų vykdymą visoje Lietuvos teritorijoje. Užsakovas įsipareigoja apmokėti už darbus kitose nei numatyta Sutartyje teritorijose padidintu tarifu, siekdamas užtikrinti nepertraukiamą elektros energijos skirstymo paslaugos teikimą klientams. Teikdamas Užsakymus kitose teritorijose negu numatyta Sutartyje, Užsakovas vadovaujasi proporcingumo bei protingumo kriterijais ir realiai vertina Rangovo galimybes bei pajėgumus, nepiktnaudžiaudamas Sutartimi suteikta teise.</w:t>
            </w:r>
          </w:p>
          <w:p w:rsidR="00A909FC" w:rsidRPr="00D81433" w:rsidRDefault="00A909FC" w:rsidP="007C4992">
            <w:pPr>
              <w:jc w:val="both"/>
              <w:rPr>
                <w:rFonts w:ascii="Arial" w:hAnsi="Arial" w:cs="Arial"/>
                <w:sz w:val="20"/>
                <w:szCs w:val="20"/>
              </w:rPr>
            </w:pP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39</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03755D9" wp14:editId="55E522BF">
                  <wp:extent cx="5025390" cy="318135"/>
                  <wp:effectExtent l="0" t="0" r="381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25390" cy="31813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Užsakovas neįsipareigoja papildomai pateikti defektų nuotraukas, kadangi visi defektai aprašomi Techninio įvertinimo akte.</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40</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272ED13" wp14:editId="1DFDDD21">
                  <wp:extent cx="5025390" cy="341630"/>
                  <wp:effectExtent l="0" t="0" r="381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Sutarties 4.11 punkte numatytų darbų/medžiagų kainų patvirtinimui Užsakovo terminai yra nurodyti Sutarties priede „Pagrindinės sutarties vykdymo sąlygos“, Eil. Nr. 12 (teikiant Pasiūlymą Darbams), bei Eil. Nr. 19 (atsiradus nenumatytoms aplinkybėms).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41</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F18EBB1" wp14:editId="6A16C1AF">
                  <wp:extent cx="5025390" cy="341630"/>
                  <wp:effectExtent l="0" t="0" r="381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siekiant taikyti Sutarties 9.5 p. sąlygą, Rangovas turi informuoti ir pagrįsti atsiradusias nenumatytas aplinkybes, atitinkamai kartu pateikti prašymą dėl dalinio aktavimo. Nenumatytų aplinkybių vertinimo terminai yra nurodyti Sutarties priede „Pagrindinės sutarties vykdymo sąlygos“, Eil. Nr. 19, atsiradus nenumatytoms aplinkybėms, dėl kurių reikalingas termino pratęsimas ir dalinis aktavimas.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42</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611555B" wp14:editId="6204446C">
                  <wp:extent cx="5033010" cy="3657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33010" cy="365760"/>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Informuojame, kad vadovaujantis Sutarties 12.1.1. punktu, Duomenys pateikiami naudojantis Užsakovo informacinėmis sistemomis, kurias galima rasti www.eso.lt tinklapyje skiltyje „Partneriams“. Įsitikinus, kad Informacinėse sistemose trūksta elektros tinklo techninių duomenų, Užsakovas įsipareigoja pateikti trūkstamus duomenis per 2 d. d. nuo Rangovo kreipimosi per Informacinę sistemą.</w:t>
            </w:r>
          </w:p>
        </w:tc>
      </w:tr>
      <w:tr w:rsidR="00A909FC" w:rsidRPr="00D81433" w:rsidTr="007C4992">
        <w:trPr>
          <w:trHeight w:val="252"/>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43</w:t>
            </w:r>
          </w:p>
        </w:tc>
        <w:tc>
          <w:tcPr>
            <w:tcW w:w="8144" w:type="dxa"/>
          </w:tcPr>
          <w:p w:rsidR="00A909FC" w:rsidRPr="00D81433" w:rsidRDefault="00A909FC" w:rsidP="007C4992">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8C1BE32" wp14:editId="1BAA71A3">
                  <wp:extent cx="5025390" cy="381635"/>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25390" cy="381635"/>
                          </a:xfrm>
                          <a:prstGeom prst="rect">
                            <a:avLst/>
                          </a:prstGeom>
                          <a:noFill/>
                          <a:ln>
                            <a:noFill/>
                          </a:ln>
                        </pic:spPr>
                      </pic:pic>
                    </a:graphicData>
                  </a:graphic>
                </wp:inline>
              </w:drawing>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t>Paaiškiname, kad Rangovas privalo įsivertinti topografinės nuotraukos įkainį pagal statistinį vidurkį ir pateikti pagal tokius mato vienetus, kurie yra Užsakovo nurodyti.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44</w:t>
            </w:r>
          </w:p>
        </w:tc>
        <w:tc>
          <w:tcPr>
            <w:tcW w:w="8144" w:type="dxa"/>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atsakyti į klausimus</w:t>
            </w: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Tiekėjas nori Sutarties vykdymui papildomai pasitelkti subtiekėją (darbams, kuriems nekeliami kvalifikacijos reikalavimai), tokiu atveju Tiekėjas privalo užpildyti Deklaraciją dėl Subtiekėjų pasitelkimo pirkime. Ar deklaracijoje reikia pildyti ir tuos Subtiekėjus, kurie buvo nurodyti Tiekėjui teikiant prašyme dalyvauti Tiekėjų kvalifikacijos vertinimo sistemoje? Ar užtenka tik paminėti Sutarties vykdymui papildomai pasitelkta subtiekėją?</w:t>
            </w: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papildomai pasitelktas subtiekėjas užsiimantis analogiška ūkine veikla, kaip ir subtiekėjas kuris yra nurodytas kvalifikacijos vertinimo sistemoje. Kaip tuo atveju atsakyti į Deklaracijoje esanti klausimą:</w:t>
            </w:r>
          </w:p>
          <w:p w:rsidR="00A909FC" w:rsidRPr="00D81433" w:rsidRDefault="00A909FC" w:rsidP="007C4992">
            <w:pPr>
              <w:numPr>
                <w:ilvl w:val="0"/>
                <w:numId w:val="1"/>
              </w:numPr>
              <w:spacing w:before="100" w:beforeAutospacing="1" w:after="100" w:afterAutospacing="1" w:line="300" w:lineRule="atLeast"/>
              <w:ind w:left="375"/>
              <w:jc w:val="both"/>
              <w:rPr>
                <w:rFonts w:ascii="Arial" w:hAnsi="Arial" w:cs="Arial"/>
                <w:color w:val="333333"/>
                <w:sz w:val="20"/>
                <w:szCs w:val="20"/>
              </w:rPr>
            </w:pPr>
            <w:r w:rsidRPr="00D81433">
              <w:rPr>
                <w:rStyle w:val="Emphasis"/>
                <w:rFonts w:ascii="Arial" w:hAnsi="Arial" w:cs="Arial"/>
                <w:color w:val="333333"/>
                <w:sz w:val="20"/>
                <w:szCs w:val="20"/>
              </w:rPr>
              <w:lastRenderedPageBreak/>
              <w:t>Ar tarp Pirkime dalyvaujančio Tiekėjo ir (ar) jo pasitelkiamų Subtiekėjų yra bent du asmenys, užsiimantys analogiška ūkine veikla, pavyzdžiui, teikiančių analogiškas ar panašias paslaugas, parduodančių ar tiekiančių analogiškas ar panašias prekes?</w:t>
            </w:r>
          </w:p>
          <w:p w:rsidR="00A909FC" w:rsidRPr="00D81433" w:rsidRDefault="00A909FC" w:rsidP="007C4992">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Taip</w:t>
            </w:r>
          </w:p>
          <w:p w:rsidR="00A909FC" w:rsidRPr="00D81433" w:rsidRDefault="00A909FC" w:rsidP="007C4992">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Ne</w:t>
            </w:r>
          </w:p>
          <w:p w:rsidR="00A909FC" w:rsidRPr="00D81433" w:rsidRDefault="00A909FC" w:rsidP="007C4992">
            <w:pPr>
              <w:jc w:val="both"/>
              <w:rPr>
                <w:rFonts w:ascii="Arial" w:hAnsi="Arial" w:cs="Arial"/>
                <w:sz w:val="20"/>
                <w:szCs w:val="20"/>
              </w:rPr>
            </w:pPr>
            <w:r w:rsidRPr="00D81433">
              <w:rPr>
                <w:rStyle w:val="Emphasis"/>
                <w:rFonts w:ascii="Arial" w:hAnsi="Arial" w:cs="Arial"/>
                <w:color w:val="333333"/>
                <w:sz w:val="20"/>
                <w:szCs w:val="20"/>
              </w:rPr>
              <w:t>Jeigu atsakymas „Taip“, nurodomi analogiška ar panašia veikla užsiimantys asmenys ir jų veikla:</w:t>
            </w:r>
          </w:p>
        </w:tc>
        <w:tc>
          <w:tcPr>
            <w:tcW w:w="7570" w:type="dxa"/>
          </w:tcPr>
          <w:p w:rsidR="00A909FC" w:rsidRPr="00D81433" w:rsidRDefault="00A909FC" w:rsidP="007C4992">
            <w:pPr>
              <w:jc w:val="both"/>
              <w:rPr>
                <w:rFonts w:ascii="Arial" w:hAnsi="Arial" w:cs="Arial"/>
                <w:color w:val="000000"/>
                <w:sz w:val="20"/>
                <w:szCs w:val="20"/>
              </w:rPr>
            </w:pPr>
            <w:r w:rsidRPr="00D81433">
              <w:rPr>
                <w:rFonts w:ascii="Arial" w:hAnsi="Arial" w:cs="Arial"/>
                <w:color w:val="000000"/>
                <w:sz w:val="20"/>
                <w:szCs w:val="20"/>
              </w:rPr>
              <w:lastRenderedPageBreak/>
              <w:t>Paaiškiname, kad Pasiūlymo formos Priedą Nr. 5. „Deklaracija dėl Subtiekėjų pasitelkimo pirkime“ reikia užpildyti, tik tuo atveju jei ketinama pasitelkti tuos subtiekėjus, kurie nebuvo nurodyti kvalifikacijos vertinimo sistemoj</w:t>
            </w:r>
            <w:r>
              <w:rPr>
                <w:rFonts w:ascii="Arial" w:hAnsi="Arial" w:cs="Arial"/>
                <w:color w:val="000000"/>
                <w:sz w:val="20"/>
                <w:szCs w:val="20"/>
              </w:rPr>
              <w:t>e</w:t>
            </w:r>
            <w:r w:rsidRPr="00D81433">
              <w:rPr>
                <w:rFonts w:ascii="Arial" w:hAnsi="Arial" w:cs="Arial"/>
                <w:color w:val="000000"/>
                <w:sz w:val="20"/>
                <w:szCs w:val="20"/>
              </w:rPr>
              <w:t xml:space="preserve"> ir nurodyti tik naujai pasitelkiamus subtiekėjus.</w:t>
            </w:r>
          </w:p>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 </w:t>
            </w:r>
          </w:p>
          <w:p w:rsidR="00A909FC" w:rsidRPr="00D81433" w:rsidRDefault="00A909FC" w:rsidP="007C4992">
            <w:pPr>
              <w:jc w:val="both"/>
              <w:rPr>
                <w:rFonts w:ascii="Arial" w:hAnsi="Arial" w:cs="Arial"/>
                <w:sz w:val="20"/>
                <w:szCs w:val="20"/>
              </w:rPr>
            </w:pPr>
            <w:r w:rsidRPr="00D81433">
              <w:rPr>
                <w:rFonts w:ascii="Arial" w:hAnsi="Arial" w:cs="Arial"/>
                <w:sz w:val="20"/>
                <w:szCs w:val="20"/>
              </w:rPr>
              <w:t>Paaiškiname, jog atsakydami į Deklaracijoje esantį klausimą turite pasirinkti „Taip“ ir aprašyti analogiška ar panašia veikla užsiimančių asmenų veiklą.</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45.</w:t>
            </w:r>
          </w:p>
        </w:tc>
        <w:tc>
          <w:tcPr>
            <w:tcW w:w="8144" w:type="dxa"/>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Konkurse pareiktos sutarties projekte 4.10 punkte yra numatyta, kad įkainiai perskaičiuojami Sutarties priede Nr. 2 „Įkainių perskaičiavimo sąlygos“ numatytais atvejais ir tvarka. Taip pat numatyta, kad įkainiai Sutarties galiojimo laikotarpiu gali būti mažinami atskiru rašytiniu Šalių susitarimu.</w:t>
            </w: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Klausimas: prašome patikslinti kokiais atvejais įkainiai bus mažinami atskiru rašytiniu Šalių susitarimu.</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Paaiškiname, jog Sutartis sudaroma 3 (trejų) metų laikotarpiui, todėl pasikeitus situacijai rinkoje ir/ar ekonominei situacijai šalyje tolimesnis Sutarties vykdymas Užsakovui gali būti </w:t>
            </w:r>
            <w:r>
              <w:rPr>
                <w:rFonts w:ascii="Arial" w:hAnsi="Arial" w:cs="Arial"/>
                <w:sz w:val="20"/>
                <w:szCs w:val="20"/>
              </w:rPr>
              <w:t>pernelyg brangus</w:t>
            </w:r>
            <w:r w:rsidRPr="00D81433">
              <w:rPr>
                <w:rFonts w:ascii="Arial" w:hAnsi="Arial" w:cs="Arial"/>
                <w:sz w:val="20"/>
                <w:szCs w:val="20"/>
              </w:rPr>
              <w:t>. Ši nuostata įtraukta į Sutartį atvejams, kai tolimesnis Sutarties vykdymas potencialiai taptų ekonomiškai nenaudingas, paliekant opciją Šalims susitarti dėl galimybių sėkmingai tęsti bendradarbiavimą nenutraukiant Sutarties.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46</w:t>
            </w:r>
            <w:r w:rsidRPr="00D81433">
              <w:rPr>
                <w:rFonts w:ascii="Arial" w:hAnsi="Arial" w:cs="Arial"/>
                <w:sz w:val="20"/>
                <w:szCs w:val="20"/>
              </w:rPr>
              <w:t>.</w:t>
            </w:r>
          </w:p>
        </w:tc>
        <w:tc>
          <w:tcPr>
            <w:tcW w:w="8144" w:type="dxa"/>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pasiūlymų ekonominio naudingumo vertinimo metodikos p. 2.4. Kokiu būdu Užsakovas patikrins ar rangovas moka pasiūlyme nurodytą mažiausio darbo užmokesčio dydį už sutarties vykdymą atsakingiems darbuotojams. Priklausomai nuo darbų užsakymų skaičiaus darbuotojai gali dirbti pagal šio pirkimo sutartį ne pilną mėnesį, ne pilną darbo dieną. Kaip rangovas gali užtikrinti, kad apsitelkiamų subtiekėjų darbuotojams būtų mokomas pateiktas pasiūlyme darbo užmokesčio dydis, jei kai kurių darbų subtiekėjai gali būti pasitelkiami tik keletą  kartų per visą sutarties vykdymo laiką.</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Paaiškiname, jog pirkimo metu pasiūlyme nurodyto mažiausio darbo užmokesčio dydžio perkančioji organizacija netikrins. Tiekėjo pateikti duomenys bus traktuojami kaip teisingi.</w:t>
            </w:r>
          </w:p>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Sutarties vykdymo metu iš Rangovo bus prašoma pateikti bet kokius dokumentus patvirtinančius faktą, jog Rangovo įsipareigotas minimalus darbo užmokestis buvo išmokėtas Rangovo darbuotojui. </w:t>
            </w:r>
          </w:p>
          <w:p w:rsidR="00A909FC" w:rsidRPr="00D81433" w:rsidRDefault="00A909FC" w:rsidP="007C4992">
            <w:pPr>
              <w:jc w:val="both"/>
              <w:rPr>
                <w:rFonts w:ascii="Arial" w:hAnsi="Arial" w:cs="Arial"/>
                <w:sz w:val="20"/>
                <w:szCs w:val="20"/>
              </w:rPr>
            </w:pPr>
            <w:r w:rsidRPr="00D81433">
              <w:rPr>
                <w:rFonts w:ascii="Arial" w:hAnsi="Arial" w:cs="Arial"/>
                <w:sz w:val="20"/>
                <w:szCs w:val="20"/>
              </w:rPr>
              <w:t>Jei Rangovas sutarčiai vykdyti pasitelkia subrangovus, tai yra jo atsakomybė užtikrinti, jog subrangovai laikosi mažiausio darbo užmokesčio dydžio mokėjimo savo darbuotojams.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47</w:t>
            </w:r>
            <w:r w:rsidRPr="00D81433">
              <w:rPr>
                <w:rFonts w:ascii="Arial" w:hAnsi="Arial" w:cs="Arial"/>
                <w:sz w:val="20"/>
                <w:szCs w:val="20"/>
              </w:rPr>
              <w:t>.</w:t>
            </w:r>
          </w:p>
        </w:tc>
        <w:tc>
          <w:tcPr>
            <w:tcW w:w="8144" w:type="dxa"/>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darbų įkainį Nr. 387 (0,4 kV  oro linijoje apkrovų balansavimo įrenginio montavimas), kadangi neaišku ar patį balansavimo įrenginį, su tvirtinimo metalo konstrukcijomis pateiks AB "ESO" ar turi įsivertinti Rangovas?</w:t>
            </w: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darbų įkainį Nr. 388 (0,23 kV  oro linijoje vienfazio įtampos reguliatoriaus montavimas), kadangi neaišku ar pats  įtampos reguliatorius, su tvirtinimo metalo konstrukcijomis pateiks AB "ESO" ar turi įsivertinti Rangovas?</w:t>
            </w:r>
          </w:p>
        </w:tc>
        <w:tc>
          <w:tcPr>
            <w:tcW w:w="7570" w:type="dxa"/>
          </w:tcPr>
          <w:p w:rsidR="00A909FC" w:rsidRPr="00D81433" w:rsidRDefault="00A909FC" w:rsidP="007C4992">
            <w:pPr>
              <w:tabs>
                <w:tab w:val="left" w:pos="1106"/>
              </w:tabs>
              <w:jc w:val="both"/>
              <w:rPr>
                <w:rFonts w:ascii="Arial" w:hAnsi="Arial" w:cs="Arial"/>
                <w:sz w:val="20"/>
                <w:szCs w:val="20"/>
              </w:rPr>
            </w:pPr>
            <w:r w:rsidRPr="00D81433">
              <w:rPr>
                <w:rFonts w:ascii="Arial" w:hAnsi="Arial" w:cs="Arial"/>
                <w:sz w:val="20"/>
                <w:szCs w:val="20"/>
              </w:rPr>
              <w:t>Paaiškiname, kad 0,4 kV oro linijoje montuojamus apkrovų balansavimo įrenginius tieks Užsakovas. Į įrenginio komplektą įeina ir tvirtinimo metalo konstrukcijos.</w:t>
            </w:r>
          </w:p>
          <w:p w:rsidR="00A909FC" w:rsidRPr="00D81433" w:rsidRDefault="00A909FC" w:rsidP="007C4992">
            <w:pPr>
              <w:tabs>
                <w:tab w:val="left" w:pos="1106"/>
              </w:tabs>
              <w:jc w:val="both"/>
              <w:rPr>
                <w:rFonts w:ascii="Arial" w:hAnsi="Arial" w:cs="Arial"/>
                <w:sz w:val="20"/>
                <w:szCs w:val="20"/>
              </w:rPr>
            </w:pPr>
            <w:r w:rsidRPr="00D81433">
              <w:rPr>
                <w:rFonts w:ascii="Arial" w:hAnsi="Arial" w:cs="Arial"/>
                <w:sz w:val="20"/>
                <w:szCs w:val="20"/>
              </w:rPr>
              <w:t>Paaiškiname, kad 0,23 kV oro linijoje montuojamus vienfazius įtampos reguliatorius tieks Užsakovas. Į įrenginio komplektą įeina ir tvirtinimo metalo konstrukcijos.</w:t>
            </w:r>
          </w:p>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Atsižvelgiant į klausimą tiksliname Užsakovo tiekiamų medžiagų priedą, esantį </w:t>
            </w:r>
            <w:hyperlink r:id="rId55" w:history="1">
              <w:r w:rsidRPr="00D81433">
                <w:rPr>
                  <w:rFonts w:ascii="Arial" w:hAnsi="Arial" w:cs="Arial"/>
                  <w:sz w:val="20"/>
                  <w:szCs w:val="20"/>
                </w:rPr>
                <w:t>www.eso.lt</w:t>
              </w:r>
            </w:hyperlink>
            <w:r w:rsidRPr="00D81433">
              <w:rPr>
                <w:rFonts w:ascii="Arial" w:hAnsi="Arial" w:cs="Arial"/>
                <w:sz w:val="20"/>
                <w:szCs w:val="20"/>
              </w:rPr>
              <w:t xml:space="preserve"> skiltyje Partneriams.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lastRenderedPageBreak/>
              <w:t>48</w:t>
            </w:r>
            <w:r w:rsidRPr="00D81433">
              <w:rPr>
                <w:rFonts w:ascii="Arial" w:hAnsi="Arial" w:cs="Arial"/>
                <w:sz w:val="20"/>
                <w:szCs w:val="20"/>
              </w:rPr>
              <w:t>.</w:t>
            </w:r>
          </w:p>
        </w:tc>
        <w:tc>
          <w:tcPr>
            <w:tcW w:w="8144" w:type="dxa"/>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ESO pateiktoje medžiagų įkainių lentelėje  nr. 600 maksimalus priimtinas ESO įkainis yra 85000Eur. Kaip suprasti šio įkainio taikymą, kada bendra sutarties vertė yra iki 50000Eur. Gaunasi, kad  vien tik MT kaina viršija bendrą sutarties vertę. Prašome paaiškinti.</w:t>
            </w: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Darbų įkainių lentelėje pozicija nr.347 Mikro TSPĮ įrengimas, sumontavimas ir prijungimas yra numatyta 1700Eur suma šių darbų atlikimui, tačiau atlikus tiekėjų apklausą šios sumos nepakanka, nes tokių darbų atlikimą jie įsivertina 2300Eur. Prašome padidinti šį įkainį.</w:t>
            </w: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p>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paaiškinti darbų įkainių lentelės pozicijos Nr.358 įkainį. Kokiu atveju jį taikyti?</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Informuojame, kad medžiagų įkainių lentelėje, pozicijoje nr. 600 numatytas maksimalus įkainis maksimalios komplektacijos modulinei transformatorinei, taipogi informuojame, kad Užsakovas šias modulines transformatorines planuoja teikti rangovui, atitinkamai jos yra įtrauktos į Užsakovo teikiamų medžiagų sąrašą. Pirkime dalyvaujantis Rangovas turi galimybę nusimatyti mažesnę nei 50.000,00 Eur be PVM kainą. Užsakovui neturint tokio tipo modulinių transformatorinių tiekimo sutarties, būtų Užsakomos Rangovo siūlomos modulinės transformatorinės, kitu atveju Užsakymas, viršijantis 50.000 Eur be PVM nebūtų teikiamas.</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rPr>
            </w:pPr>
            <w:r w:rsidRPr="00D81433">
              <w:rPr>
                <w:rFonts w:ascii="Arial" w:hAnsi="Arial" w:cs="Arial"/>
                <w:sz w:val="20"/>
                <w:szCs w:val="20"/>
              </w:rPr>
              <w:t xml:space="preserve">Informuojame, kad įkainių maksimalios vertės buvo skaičiuojamos remiantis keliais praktikoje plačiai naudojamais aspektais: rinkos apklausomis, anksčiau turėtų sutarčių su rangovais pasiūlytų įkainių dydžiais, vertinant medžiagų savikainą bei atskirų įrangos tiekėjų konsultacijas. Vertinant tai, kas išvardinta, darytina išvada, jog įkainių „lubos“ yra nustatytos pagrįstai bei atitinka šiuometinės rinkos sąlygas. </w:t>
            </w:r>
          </w:p>
          <w:p w:rsidR="00A909FC" w:rsidRPr="00D81433" w:rsidRDefault="00A909FC" w:rsidP="007C4992">
            <w:pPr>
              <w:jc w:val="both"/>
              <w:rPr>
                <w:rFonts w:ascii="Arial" w:hAnsi="Arial" w:cs="Arial"/>
                <w:sz w:val="20"/>
                <w:szCs w:val="20"/>
              </w:rPr>
            </w:pPr>
            <w:r w:rsidRPr="00D81433">
              <w:rPr>
                <w:rFonts w:ascii="Arial" w:hAnsi="Arial" w:cs="Arial"/>
                <w:sz w:val="20"/>
                <w:szCs w:val="20"/>
              </w:rPr>
              <w:t>Sutarties išankstinio derinimo metu rangovinėms organizacijoms teikiant pastabas dėl įkainių dydžių, buvo peržiūrimi visi įkainių lentelėse esantys įkainiai. Įkainiai buvo iš naujo vertinami ir dar kartą perskaičiuojami. Ne maža dalis įkainių maksimalių verčių buvo padidinta atsižvelgus į rangovų pastabas.</w:t>
            </w:r>
          </w:p>
          <w:p w:rsidR="00A909FC" w:rsidRPr="00D81433" w:rsidRDefault="00A909FC" w:rsidP="007C4992">
            <w:pPr>
              <w:jc w:val="both"/>
              <w:rPr>
                <w:rFonts w:ascii="Arial" w:hAnsi="Arial" w:cs="Arial"/>
                <w:sz w:val="20"/>
                <w:szCs w:val="20"/>
              </w:rPr>
            </w:pPr>
            <w:r w:rsidRPr="00D81433">
              <w:rPr>
                <w:rFonts w:ascii="Arial" w:hAnsi="Arial" w:cs="Arial"/>
                <w:sz w:val="20"/>
                <w:szCs w:val="20"/>
              </w:rPr>
              <w:t>Papildomai pažymime, jog paskutinėje įkainių derinimo iki pirkimo stadijoje buvo suteikta galimybė rangovams teikti pagrįstas, argumentuotas ir pamatuotas pastabas įkainių dydžiams, tačiau buvo gautas neapibrėžtas, logiškais argumentais ar skaičiavimais neparemtas, deklaratyvaus pobūdžio raštas, kurio objektyviai pasverti ir įvertinti neįmanoma.</w:t>
            </w:r>
          </w:p>
          <w:p w:rsidR="00A909FC" w:rsidRPr="00D81433" w:rsidRDefault="00A909FC" w:rsidP="007C4992">
            <w:pPr>
              <w:jc w:val="both"/>
              <w:rPr>
                <w:rFonts w:ascii="Arial" w:hAnsi="Arial" w:cs="Arial"/>
                <w:sz w:val="20"/>
                <w:szCs w:val="20"/>
              </w:rPr>
            </w:pPr>
            <w:r w:rsidRPr="00D81433">
              <w:rPr>
                <w:rFonts w:ascii="Arial" w:hAnsi="Arial" w:cs="Arial"/>
                <w:sz w:val="20"/>
                <w:szCs w:val="20"/>
              </w:rPr>
              <w:t>Papildomai pažymime, kad dalis analogiškų pirkimų jau įgyvendinti ir pirkimų dalyviai pateikė priimtinas kainas, neviršijančias maksimalių nustatytų ribų.</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rPr>
            </w:pPr>
            <w:r w:rsidRPr="00D81433">
              <w:rPr>
                <w:rFonts w:ascii="Arial" w:hAnsi="Arial" w:cs="Arial"/>
                <w:sz w:val="20"/>
                <w:szCs w:val="20"/>
              </w:rPr>
              <w:t>Informuojame, kad darbų įkainis Nr. 358 naudojama tik tais atvejais kai reikalinga tik topografinė nuotrauka nerengiant projekto arba stabdomas objektas ir reikalinga kompensacija rangovui už patirtas išlaidas.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49</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bottom"/>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 xml:space="preserve">Sutarties projekto (SPS priedas Nr.1) 13.5 punktas prieštarauja Lietuvos Respublikos darbo kodeksui, įstatymams ir Konstitucijai. Užsakovas negali reikalauti nedirbti rangovo darbuotojams (sudarytos darbo sutartys su darbuotojais) rangovo numatytus darbus, nepriklausomai nuo užsakovo. Užsakovo darbuotojas gali dirbti nepagrindiniame darbe savo nuožiūra pas bet kurį darbdavį. </w:t>
            </w:r>
            <w:r w:rsidRPr="00D81433">
              <w:rPr>
                <w:rFonts w:ascii="Arial" w:hAnsi="Arial" w:cs="Arial"/>
                <w:color w:val="000000"/>
                <w:sz w:val="20"/>
                <w:szCs w:val="20"/>
              </w:rPr>
              <w:br/>
            </w:r>
            <w:r w:rsidRPr="00D81433">
              <w:rPr>
                <w:rFonts w:ascii="Arial" w:hAnsi="Arial" w:cs="Arial"/>
                <w:color w:val="000000"/>
                <w:sz w:val="20"/>
                <w:szCs w:val="20"/>
              </w:rPr>
              <w:br/>
              <w:t>Sutarties 13.5 punktui kategoriškai prieštaraujame.</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Pr>
                <w:rFonts w:ascii="Arial" w:hAnsi="Arial" w:cs="Arial"/>
                <w:sz w:val="20"/>
                <w:szCs w:val="20"/>
              </w:rPr>
              <w:t xml:space="preserve"> punktą</w:t>
            </w:r>
            <w:r w:rsidRPr="00D81433">
              <w:rPr>
                <w:rFonts w:ascii="Arial" w:hAnsi="Arial" w:cs="Arial"/>
                <w:sz w:val="20"/>
                <w:szCs w:val="20"/>
              </w:rPr>
              <w:t xml:space="preserve"> ir išdėstome jį taip:</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Pr>
                <w:rFonts w:ascii="Arial" w:hAnsi="Arial" w:cs="Arial"/>
                <w:sz w:val="20"/>
                <w:szCs w:val="20"/>
              </w:rPr>
              <w:t xml:space="preserve"> be atskiro rašytinio Užsakovo sutikimo jokiais įmanomais būdais ir/ar pagrindais nepasitelks Užsakovo darbuotojų šios 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highlight w:val="yellow"/>
              </w:rPr>
            </w:pPr>
            <w:r w:rsidRPr="00D81433">
              <w:rPr>
                <w:rFonts w:ascii="Arial" w:hAnsi="Arial" w:cs="Arial"/>
                <w:sz w:val="20"/>
                <w:szCs w:val="20"/>
              </w:rPr>
              <w:lastRenderedPageBreak/>
              <w:t xml:space="preserve">Papildomai paaiškiname, kad neteisingai suprantate nuostatos esmę. Užsakovas neriboja darbuotojo galimybių įsidarbinti, Užsakovas nustato Rangovui pareigą nepasitelkti Užsakovo darbuotojų šios Sutarties vykdymui.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lastRenderedPageBreak/>
              <w:t>50</w:t>
            </w:r>
            <w:r w:rsidRPr="00D81433">
              <w:rPr>
                <w:rFonts w:ascii="Arial" w:hAnsi="Arial" w:cs="Arial"/>
                <w:sz w:val="20"/>
                <w:szCs w:val="20"/>
              </w:rPr>
              <w:t>.</w:t>
            </w:r>
          </w:p>
        </w:tc>
        <w:tc>
          <w:tcPr>
            <w:tcW w:w="8144" w:type="dxa"/>
            <w:tcBorders>
              <w:top w:val="nil"/>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Dėl Sutarties projekto 13.5 punkto „Pasirašydamas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w:t>
            </w:r>
            <w:r w:rsidRPr="00D81433">
              <w:rPr>
                <w:rFonts w:ascii="Arial" w:hAnsi="Arial" w:cs="Arial"/>
                <w:color w:val="000000"/>
                <w:sz w:val="20"/>
                <w:szCs w:val="20"/>
              </w:rPr>
              <w:br/>
              <w:t>Šiuo punktu tam tikru mastu suvaržoma Konstitucijos 48 straipsnio 1 dalyje įtvirtinta teisė laisvai pasirinkti darbą ar verslą ir kartu ribojama asmens galimybė gauti didesnes pajamas. Dažnu atveju ESO darbuotojai (operatyvinio remonto, elektromonteriai) parą dirba ESO, kitas tris dienas puse etato dirba pas rangovus. Dažniausiai rangovai būna apmokinę (atestavę) tuos darbuotojus įvairiose elektros darbų srityse. Nevadovaujančių ESO darbuotojų darbinimosi rangovų įmonėse draudimas manome yra nepagrįstas.</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Pr>
                <w:rFonts w:ascii="Arial" w:hAnsi="Arial" w:cs="Arial"/>
                <w:sz w:val="20"/>
                <w:szCs w:val="20"/>
              </w:rPr>
              <w:t xml:space="preserve"> punktą</w:t>
            </w:r>
            <w:r w:rsidRPr="00D81433">
              <w:rPr>
                <w:rFonts w:ascii="Arial" w:hAnsi="Arial" w:cs="Arial"/>
                <w:sz w:val="20"/>
                <w:szCs w:val="20"/>
              </w:rPr>
              <w:t xml:space="preserve"> ir išdėstome jį taip:</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Pr>
                <w:rFonts w:ascii="Arial" w:hAnsi="Arial" w:cs="Arial"/>
                <w:sz w:val="20"/>
                <w:szCs w:val="20"/>
              </w:rPr>
              <w:t xml:space="preserve"> be atskiro rašytinio Užsakovo sutikimo jokiais įmanomais būdais ir/ar pagrindais nepasitelks Užsakovo darbuotojų šios 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A909FC" w:rsidRPr="00D81433" w:rsidRDefault="00A909FC" w:rsidP="007C4992">
            <w:pPr>
              <w:jc w:val="both"/>
              <w:rPr>
                <w:rFonts w:ascii="Arial" w:hAnsi="Arial" w:cs="Arial"/>
                <w:sz w:val="20"/>
                <w:szCs w:val="20"/>
              </w:rPr>
            </w:pPr>
          </w:p>
          <w:p w:rsidR="00A909FC" w:rsidRPr="00D81433" w:rsidRDefault="00A909FC" w:rsidP="007C4992">
            <w:pPr>
              <w:jc w:val="both"/>
              <w:rPr>
                <w:rFonts w:ascii="Arial" w:hAnsi="Arial" w:cs="Arial"/>
                <w:sz w:val="20"/>
                <w:szCs w:val="20"/>
                <w:highlight w:val="yellow"/>
              </w:rPr>
            </w:pPr>
            <w:r w:rsidRPr="00D81433">
              <w:rPr>
                <w:rFonts w:ascii="Arial" w:hAnsi="Arial" w:cs="Arial"/>
                <w:sz w:val="20"/>
                <w:szCs w:val="20"/>
              </w:rPr>
              <w:t xml:space="preserve">Papildomai paaiškiname, kad neteisingai suprantate nuostatos esmę. Užsakovas neriboja darbuotojo galimybių įsidarbinti, Užsakovas nustato Rangovui pareigą nepasitelkti Užsakovo darbuotojų šios Sutarties vykdymui.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51</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į medžiagų lentelę įtraukti SZ traversas ir SZ traversas su atitraukėjais.</w:t>
            </w:r>
          </w:p>
        </w:tc>
        <w:tc>
          <w:tcPr>
            <w:tcW w:w="7570" w:type="dxa"/>
          </w:tcPr>
          <w:p w:rsidR="00A909FC" w:rsidRPr="00D81433" w:rsidRDefault="00A909FC" w:rsidP="007C4992">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medžiagas</w:t>
            </w:r>
            <w:r>
              <w:rPr>
                <w:rFonts w:ascii="Arial" w:hAnsi="Arial" w:cs="Arial"/>
                <w:color w:val="000000" w:themeColor="text1"/>
                <w:sz w:val="20"/>
                <w:szCs w:val="20"/>
              </w:rPr>
              <w:t>,</w:t>
            </w:r>
            <w:r w:rsidRPr="00D81433">
              <w:rPr>
                <w:rFonts w:ascii="Arial" w:hAnsi="Arial" w:cs="Arial"/>
                <w:color w:val="000000" w:themeColor="text1"/>
                <w:sz w:val="20"/>
                <w:szCs w:val="20"/>
              </w:rPr>
              <w:t xml:space="preserve"> kurios nėra įtrauktos į medžiagų lentelę Rangovas privalo įsivertinti į sustambintą darbų įkainį.</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52</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211, 240, 241, 244, 245, 246, 247, 248, 250, 251 pozicijose trūksta medžiagos tipą/parametrą nurodančių parametrų. Prašome nurodyti.</w:t>
            </w:r>
          </w:p>
        </w:tc>
        <w:tc>
          <w:tcPr>
            <w:tcW w:w="7570" w:type="dxa"/>
          </w:tcPr>
          <w:p w:rsidR="00A909FC" w:rsidRPr="00D81433" w:rsidRDefault="00A909FC" w:rsidP="007C4992">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53</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Peržiūrėjus medžiagų įkainių lentelę 274 ir 282 įkainių pozicijoje nurodytas 224 amperažas. Vadovaudamiesi ESO tvarkomis "0,4 kV saugiklių lydieji įdėklai techniniuose reikalavimuose Nr. 13.2.1" nėra nurodyta naudoti 224A saugiklius. Prašome patikslinti.</w:t>
            </w:r>
          </w:p>
        </w:tc>
        <w:tc>
          <w:tcPr>
            <w:tcW w:w="7570" w:type="dxa"/>
          </w:tcPr>
          <w:p w:rsidR="00A909FC" w:rsidRPr="00D81433" w:rsidRDefault="00A909FC" w:rsidP="007C4992">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 medžiagas tokiomis pačiomis.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54</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lentelėje pasigedome 303-305, 341, 425 pozicijose medžiagos tipą/parametrą nurodančių parametrų. Prašome patikslinti.</w:t>
            </w:r>
          </w:p>
        </w:tc>
        <w:tc>
          <w:tcPr>
            <w:tcW w:w="7570" w:type="dxa"/>
          </w:tcPr>
          <w:p w:rsidR="00A909FC" w:rsidRPr="00D81433" w:rsidRDefault="00A909FC" w:rsidP="007C4992">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55</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lentelėje pasigedome 453-501 pozicijose medžiagos tipą/parametrą nurodančių parametrų. Atkreipiame dėmesį, kad medžiagas apibūdinantys parametrai padėtų išvengti papildomų klausimų ir neapibrėžtumų įgyvendinat sutartį.</w:t>
            </w:r>
          </w:p>
        </w:tc>
        <w:tc>
          <w:tcPr>
            <w:tcW w:w="7570" w:type="dxa"/>
          </w:tcPr>
          <w:p w:rsidR="00A909FC" w:rsidRPr="00D81433" w:rsidRDefault="00A909FC" w:rsidP="007C4992">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lastRenderedPageBreak/>
              <w:t>56</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kaip bus aktuojamas medžiagų transportavimas, jeigu Užsakovas pateiks medžiagas (g/b atramos ir t.t.), kurias Rangovas turi pasiimti iš Užsakovo nurodytos vietos. Atkreipiame dėmesį, kad Rangovas pateikdamas medžiagas, transportavimą įvertina į medžiagos kainą.</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sz w:val="20"/>
                <w:szCs w:val="20"/>
              </w:rPr>
              <w:t>Informuojame, kad darbų įkainių bendruose išaiškinimuose nurodyta, kad visos transportavimo išlaidos, tai yra medžiagų atvežimas ir išvežimas bei kitos su transporto naudojimu susijusios išlaidos, su kuriomis rangovas susiduria atlikdamas darbus, taip pat darbuotojų vežimo iki darbo vietos i</w:t>
            </w:r>
            <w:r>
              <w:rPr>
                <w:rFonts w:ascii="Arial" w:hAnsi="Arial" w:cs="Arial"/>
                <w:sz w:val="20"/>
                <w:szCs w:val="20"/>
              </w:rPr>
              <w:t>šlaidos turi būti įsivertintos Rangovų Darbų įkainiuose.</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57</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Ar medžiagos, kurias tieks Užsakovas, bus pasiimamos iš vienos vietos? Ar Užsakovui tiekiant medžiagas buvusias eksploatacijoje, šios medžiagos bus sukomplektuotos ir nereikės atvykus į ESO sandėlį, jų susirinkti ir susirasti pačiam?</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Informuojame, kad Rangovui, atvykus į ESO sandėlį pasiimti medžiagų kurias teikia Užsakovas, nereikia vaikščioti po sandėlį ir susirinkti jų pačiam. Medžiagas paruošia Užsakovas.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58</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551 ir 553 pozicijose nurodytos medžiagos vadovaujantis ESO tvarkomis yra nenaudojamos. Prašome patikslinti.</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 medžiagas tokiomis pačiomis.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59</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kaip Rangovas turės elgtis konkrečioje situacijoje: atvykus atlikti darbų pagal suderintus įkainius 79-84 ir radus, kad kabelio mova sumontuota nesivadovaujant Užsakovo patvirtintais albumais. Rangovas turi informuoti atsakingus asmenis ir susiderinti papildomus darbus?</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Informuojame,</w:t>
            </w:r>
            <w:r>
              <w:rPr>
                <w:rFonts w:ascii="Arial" w:hAnsi="Arial" w:cs="Arial"/>
                <w:color w:val="000000" w:themeColor="text1"/>
                <w:sz w:val="20"/>
                <w:szCs w:val="20"/>
              </w:rPr>
              <w:t xml:space="preserve"> kad</w:t>
            </w:r>
            <w:r w:rsidRPr="00D81433">
              <w:rPr>
                <w:rFonts w:ascii="Arial" w:hAnsi="Arial" w:cs="Arial"/>
                <w:color w:val="000000" w:themeColor="text1"/>
                <w:sz w:val="20"/>
                <w:szCs w:val="20"/>
              </w:rPr>
              <w:t xml:space="preserve"> visais atvejais</w:t>
            </w:r>
            <w:r>
              <w:rPr>
                <w:rFonts w:ascii="Arial" w:hAnsi="Arial" w:cs="Arial"/>
                <w:color w:val="000000" w:themeColor="text1"/>
                <w:sz w:val="20"/>
                <w:szCs w:val="20"/>
              </w:rPr>
              <w:t>,</w:t>
            </w:r>
            <w:r w:rsidRPr="00D81433">
              <w:rPr>
                <w:rFonts w:ascii="Arial" w:hAnsi="Arial" w:cs="Arial"/>
                <w:color w:val="000000" w:themeColor="text1"/>
                <w:sz w:val="20"/>
                <w:szCs w:val="20"/>
              </w:rPr>
              <w:t xml:space="preserve"> kai darbų eigoje atsira</w:t>
            </w:r>
            <w:r>
              <w:rPr>
                <w:rFonts w:ascii="Arial" w:hAnsi="Arial" w:cs="Arial"/>
                <w:color w:val="000000" w:themeColor="text1"/>
                <w:sz w:val="20"/>
                <w:szCs w:val="20"/>
              </w:rPr>
              <w:t>nda</w:t>
            </w:r>
            <w:r w:rsidRPr="00D81433">
              <w:rPr>
                <w:rFonts w:ascii="Arial" w:hAnsi="Arial" w:cs="Arial"/>
                <w:color w:val="000000" w:themeColor="text1"/>
                <w:sz w:val="20"/>
                <w:szCs w:val="20"/>
              </w:rPr>
              <w:t xml:space="preserve"> papildom</w:t>
            </w:r>
            <w:r>
              <w:rPr>
                <w:rFonts w:ascii="Arial" w:hAnsi="Arial" w:cs="Arial"/>
                <w:color w:val="000000" w:themeColor="text1"/>
                <w:sz w:val="20"/>
                <w:szCs w:val="20"/>
              </w:rPr>
              <w:t>ų darbų, nenumatytų pirminio užsakymo metu, poreikis</w:t>
            </w:r>
            <w:r w:rsidRPr="00D81433">
              <w:rPr>
                <w:rFonts w:ascii="Arial" w:hAnsi="Arial" w:cs="Arial"/>
                <w:color w:val="000000" w:themeColor="text1"/>
                <w:sz w:val="20"/>
                <w:szCs w:val="20"/>
              </w:rPr>
              <w:t>, Rangovas privalo apie tai pranešti Užsakovui ir tolimesnius veiksmus suderinti su atsakingu Užsakovo asmeniu.</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60</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Atvykus atlikti darbų pagal suderintus įkainį lentelėje Nr. 136. pradėjus pereinamojo izoliatoriaus keitimo darbus ir radus pažeistas tarpines, aktavimas vyks pagal atskirus susitarimus?</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 xml:space="preserve">Informuojame, kad Rangovas, gavęs užsakymą darbams, privalo juos atlikti pilnai ir iki galo naudodamas visas reikalingas medžiagas ir darbus pilnam užsakymo atlikimui. Gavęs užsakymą pereinamojo izoliatoriaus keitimo darbams, Rangovas privalo atlikti visus darbus pilnam užsakymo įvykdymui, į ką įeina ir tarpinių keitimas. </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61</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Vykdant pereinamojo izoliatoriaus keitimo darbus pažeistos tarpinės bus aktuojamos atskiru įkainiu ar turi būti įtrauktos į įkainį?</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sz w:val="20"/>
                <w:szCs w:val="20"/>
              </w:rPr>
              <w:t>Informuojame, kad pažeistos tarpinės turi būti įvertintos pereinamojo izoliatoriaus keitimo įkainyje.</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62</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142 įkainis. Prašome paaiškinti, ar Rangovas alyvą pasiima iš artimiausio sandėlio. Prašome patvirtinti, kad nebus tokių situacijų, jog alyvą reikia paimti iš Klaipėdos, nors sutartis pasirašyta dėl darbų Kauno rajone.</w:t>
            </w:r>
          </w:p>
        </w:tc>
        <w:tc>
          <w:tcPr>
            <w:tcW w:w="7570" w:type="dxa"/>
          </w:tcPr>
          <w:p w:rsidR="00A909FC" w:rsidRPr="00D81433" w:rsidRDefault="00A909FC" w:rsidP="007C4992">
            <w:pPr>
              <w:pStyle w:val="NoSpacing"/>
              <w:jc w:val="both"/>
              <w:rPr>
                <w:rFonts w:ascii="Arial" w:hAnsi="Arial" w:cs="Arial"/>
                <w:sz w:val="20"/>
                <w:szCs w:val="20"/>
                <w:highlight w:val="yellow"/>
              </w:rPr>
            </w:pPr>
            <w:r w:rsidRPr="00D81433">
              <w:rPr>
                <w:rFonts w:ascii="Arial" w:hAnsi="Arial" w:cs="Arial"/>
                <w:sz w:val="20"/>
                <w:szCs w:val="20"/>
              </w:rPr>
              <w:t>Informuojame, kad Rangovas turi pasiimti alyvą iš artimiausio Užsakovo sandėlio, kuriame yra pakankamai Rangovui reikalingos alyvos.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63</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143 -144 įkainiai. Prašome paaiškinti, jeigu pakeitus galios transformatorių reikia papildomai montuoti šynų prailginimą, kaip bus aktuojama. Jeigu pakeitus transformatorių KT dėl aukščių skirtumų atsiranda ertmės, kaip dėl jų užsandarinimo?</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Paaiškiname, kad jeigu pakeitus galios transformatorių reikia papildomai montuoti šynų prailginimą, papildomai turi būti naudojamas darbų įkainis Nr. 244 ,,Aliuminio šynlaidžio montavimas/keitimas (m)“. Taip pat, jei pakeitus transformatorių KT dėl aukščių skirtumų atsiranda ertmės, jos turi būti užsandarinamos naudoj</w:t>
            </w:r>
            <w:r>
              <w:rPr>
                <w:rFonts w:ascii="Arial" w:hAnsi="Arial" w:cs="Arial"/>
                <w:color w:val="000000" w:themeColor="text1"/>
                <w:sz w:val="20"/>
                <w:szCs w:val="20"/>
              </w:rPr>
              <w:t>ant papildomą įkainį Nr. :253 „</w:t>
            </w:r>
            <w:r w:rsidRPr="00D81433">
              <w:rPr>
                <w:rFonts w:ascii="Arial" w:hAnsi="Arial" w:cs="Arial"/>
                <w:color w:val="000000" w:themeColor="text1"/>
                <w:sz w:val="20"/>
                <w:szCs w:val="20"/>
              </w:rPr>
              <w:t>Korozijos pažeistų vietų/skylių/plyšių užsandarinimas skardomis TR/MT/KT“.</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64</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161 įkainis. Prašome patikslinti įkainio išaiškinimą, nes nėra išskirtas šynų sekcijų skaičius.</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sz w:val="20"/>
                <w:szCs w:val="20"/>
              </w:rPr>
              <w:t>Informuojame, kad vykdant „Stacionari</w:t>
            </w:r>
            <w:r>
              <w:rPr>
                <w:rFonts w:ascii="Arial" w:hAnsi="Arial" w:cs="Arial"/>
                <w:sz w:val="20"/>
                <w:szCs w:val="20"/>
              </w:rPr>
              <w:t>osios transformatorinės techninė</w:t>
            </w:r>
            <w:r w:rsidRPr="00D81433">
              <w:rPr>
                <w:rFonts w:ascii="Arial" w:hAnsi="Arial" w:cs="Arial"/>
                <w:sz w:val="20"/>
                <w:szCs w:val="20"/>
              </w:rPr>
              <w:t xml:space="preserve"> priežiūra (Be statybinės dalies. Pilna tech. priežiūra pagal tech. kortą)“ </w:t>
            </w:r>
            <w:r>
              <w:rPr>
                <w:rFonts w:ascii="Arial" w:hAnsi="Arial" w:cs="Arial"/>
                <w:sz w:val="20"/>
                <w:szCs w:val="20"/>
              </w:rPr>
              <w:t xml:space="preserve">įkainis </w:t>
            </w:r>
            <w:r w:rsidRPr="00D81433">
              <w:rPr>
                <w:rFonts w:ascii="Arial" w:hAnsi="Arial" w:cs="Arial"/>
                <w:sz w:val="20"/>
                <w:szCs w:val="20"/>
              </w:rPr>
              <w:t xml:space="preserve">yra taikomas esant vienai šynų sekcijai (10kV, 0.4kV, galios transformatoriui). Tačiau esant </w:t>
            </w:r>
            <w:r w:rsidRPr="00D81433">
              <w:rPr>
                <w:rFonts w:ascii="Arial" w:hAnsi="Arial" w:cs="Arial"/>
                <w:sz w:val="20"/>
                <w:szCs w:val="20"/>
              </w:rPr>
              <w:lastRenderedPageBreak/>
              <w:t>daugiau nei vienai sekcijai (</w:t>
            </w:r>
            <w:r>
              <w:rPr>
                <w:rFonts w:ascii="Arial" w:hAnsi="Arial" w:cs="Arial"/>
                <w:sz w:val="20"/>
                <w:szCs w:val="20"/>
              </w:rPr>
              <w:t>dvi, keturios ir daugiau), šis įkainis</w:t>
            </w:r>
            <w:r w:rsidRPr="00D81433">
              <w:rPr>
                <w:rFonts w:ascii="Arial" w:hAnsi="Arial" w:cs="Arial"/>
                <w:sz w:val="20"/>
                <w:szCs w:val="20"/>
              </w:rPr>
              <w:t xml:space="preserve"> dauginamas iš atitinkamų šynų sekcijų skaičiaus. Pvz. Mūrinė transformatorinė turi dvi 10kV šynų sekcijas, dvi 0,4kV šynų sekcijas, du galios transformatorius, tuomet įkainyje įrašyta sumas dauginama iš dviejų.</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lastRenderedPageBreak/>
              <w:t>65</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207 įkainio išaiškinime prašoma patikrinti įžeminimo sujungimą prieš dažant. Prašome paaiškinti, kam reikalingas toks darbas atliekant tik dažymo darbus.</w:t>
            </w:r>
          </w:p>
        </w:tc>
        <w:tc>
          <w:tcPr>
            <w:tcW w:w="7570" w:type="dxa"/>
          </w:tcPr>
          <w:p w:rsidR="00A909FC" w:rsidRPr="00D81433" w:rsidRDefault="00A909FC" w:rsidP="007C4992">
            <w:pPr>
              <w:jc w:val="both"/>
              <w:rPr>
                <w:rFonts w:ascii="Arial" w:hAnsi="Arial" w:cs="Arial"/>
                <w:sz w:val="20"/>
                <w:szCs w:val="20"/>
                <w:highlight w:val="yellow"/>
              </w:rPr>
            </w:pPr>
            <w:r w:rsidRPr="00D81433">
              <w:rPr>
                <w:rFonts w:ascii="Arial" w:hAnsi="Arial" w:cs="Arial"/>
                <w:color w:val="000000" w:themeColor="text1"/>
                <w:sz w:val="20"/>
                <w:szCs w:val="20"/>
              </w:rPr>
              <w:t>Paaiškiname, kad šie darbai privalo būti atlikti tam, kad patikrinti įžeminimo sujungimo būklę prieš atliekant dažymo darbus.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66</w:t>
            </w:r>
            <w:r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ar elektros įrenginių, linijų atjungimo gavimo terminas(10k.d) yra įskaičiuojamas į darbų įvykdymo terminą.</w:t>
            </w:r>
          </w:p>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Pvz.: Rangovui gavus užsakymą  „Naujų klientų objekto prijungimo darbams“, kuriems pagal darbų specifiką reikalingas elektros įrenginių, linijos atjungimas, kuris yra iš karto užsakomas, o gaunamas tik po 10k.d. Ar šis laukimo terminas 10 k. d. bus įskaičiuotas į darbų įvykdymo terminą, nors rangovas galėtų darbus pradėti iš karto.</w:t>
            </w:r>
          </w:p>
        </w:tc>
        <w:tc>
          <w:tcPr>
            <w:tcW w:w="7570" w:type="dxa"/>
          </w:tcPr>
          <w:p w:rsidR="00A909FC" w:rsidRPr="00D81433" w:rsidRDefault="00A909FC" w:rsidP="007C4992">
            <w:pPr>
              <w:jc w:val="both"/>
              <w:rPr>
                <w:rFonts w:ascii="Arial" w:hAnsi="Arial" w:cs="Arial"/>
                <w:sz w:val="20"/>
                <w:szCs w:val="20"/>
                <w:highlight w:val="yellow"/>
                <w:lang w:val="en-US"/>
              </w:rPr>
            </w:pPr>
            <w:r w:rsidRPr="00D81433">
              <w:rPr>
                <w:rFonts w:ascii="Arial" w:hAnsi="Arial" w:cs="Arial"/>
                <w:sz w:val="20"/>
                <w:szCs w:val="20"/>
              </w:rPr>
              <w:t>Informuojame, kad elektros įrenginių, linijų atjungimo gavimo terminas įskaičiuotas į rangos</w:t>
            </w:r>
            <w:r>
              <w:rPr>
                <w:rFonts w:ascii="Arial" w:hAnsi="Arial" w:cs="Arial"/>
                <w:sz w:val="20"/>
                <w:szCs w:val="20"/>
              </w:rPr>
              <w:t xml:space="preserve"> darbų atlikimo</w:t>
            </w:r>
            <w:r w:rsidRPr="00D81433">
              <w:rPr>
                <w:rFonts w:ascii="Arial" w:hAnsi="Arial" w:cs="Arial"/>
                <w:sz w:val="20"/>
                <w:szCs w:val="20"/>
              </w:rPr>
              <w:t xml:space="preserve"> terminą. Rangovas lygiagrečiai atlieka darbus</w:t>
            </w:r>
            <w:r>
              <w:rPr>
                <w:rFonts w:ascii="Arial" w:hAnsi="Arial" w:cs="Arial"/>
                <w:sz w:val="20"/>
                <w:szCs w:val="20"/>
              </w:rPr>
              <w:t>,</w:t>
            </w:r>
            <w:r w:rsidRPr="00D81433">
              <w:rPr>
                <w:rFonts w:ascii="Arial" w:hAnsi="Arial" w:cs="Arial"/>
                <w:sz w:val="20"/>
                <w:szCs w:val="20"/>
              </w:rPr>
              <w:t xml:space="preserve"> kuriems nėra reikalingas atjungimas.</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67.</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A909FC" w:rsidRPr="00D81433" w:rsidRDefault="00A909FC" w:rsidP="007C4992">
            <w:pPr>
              <w:pStyle w:val="NormalWeb"/>
              <w:spacing w:line="300" w:lineRule="atLeast"/>
              <w:jc w:val="both"/>
              <w:rPr>
                <w:rFonts w:ascii="Arial" w:hAnsi="Arial" w:cs="Arial"/>
                <w:color w:val="000000"/>
                <w:sz w:val="20"/>
                <w:szCs w:val="20"/>
              </w:rPr>
            </w:pPr>
            <w:r w:rsidRPr="00033E73">
              <w:rPr>
                <w:rFonts w:ascii="Arial" w:hAnsi="Arial" w:cs="Arial"/>
                <w:color w:val="000000"/>
                <w:sz w:val="20"/>
                <w:szCs w:val="20"/>
              </w:rPr>
              <w:t>Užpildžius įkainių ir medžiagų lenteles, taikant leistinus maksimalius įkainius, galutinė suma viršija numatytą sutarties vertę, ar nebus tokiu atveju atmestas pasiūlymas?</w:t>
            </w:r>
          </w:p>
        </w:tc>
        <w:tc>
          <w:tcPr>
            <w:tcW w:w="7570" w:type="dxa"/>
          </w:tcPr>
          <w:p w:rsidR="00A909FC" w:rsidRPr="00D81433" w:rsidRDefault="00A909FC" w:rsidP="007C4992">
            <w:pPr>
              <w:jc w:val="both"/>
              <w:rPr>
                <w:rFonts w:ascii="Arial" w:hAnsi="Arial" w:cs="Arial"/>
                <w:sz w:val="20"/>
                <w:szCs w:val="20"/>
              </w:rPr>
            </w:pPr>
            <w:r w:rsidRPr="00033E73">
              <w:rPr>
                <w:rFonts w:ascii="Arial" w:hAnsi="Arial" w:cs="Arial"/>
                <w:sz w:val="20"/>
                <w:szCs w:val="20"/>
              </w:rPr>
              <w:t>Informuojame, kad minima suma bus naudojama tik Tiekėjų pasiūlymų palyginimui, todėl, šiuo atveju, Pirkimo sutarties vertės viršijimas nebus laikomas pasiūlymo atmetimo priežastimi.</w:t>
            </w:r>
          </w:p>
        </w:tc>
      </w:tr>
      <w:tr w:rsidR="00A909FC" w:rsidRPr="00D81433" w:rsidTr="007C4992">
        <w:trPr>
          <w:trHeight w:val="240"/>
        </w:trPr>
        <w:tc>
          <w:tcPr>
            <w:tcW w:w="646" w:type="dxa"/>
          </w:tcPr>
          <w:p w:rsidR="00A909FC" w:rsidRPr="00D81433" w:rsidRDefault="00A909FC" w:rsidP="007C4992">
            <w:pPr>
              <w:jc w:val="both"/>
              <w:rPr>
                <w:rFonts w:ascii="Arial" w:hAnsi="Arial" w:cs="Arial"/>
                <w:sz w:val="20"/>
                <w:szCs w:val="20"/>
              </w:rPr>
            </w:pPr>
            <w:r>
              <w:rPr>
                <w:rFonts w:ascii="Arial" w:hAnsi="Arial" w:cs="Arial"/>
                <w:sz w:val="20"/>
                <w:szCs w:val="20"/>
              </w:rPr>
              <w:t>68.</w:t>
            </w:r>
          </w:p>
        </w:tc>
        <w:tc>
          <w:tcPr>
            <w:tcW w:w="8144" w:type="dxa"/>
          </w:tcPr>
          <w:p w:rsidR="00A909FC" w:rsidRPr="00D81433" w:rsidRDefault="00A909FC" w:rsidP="007C4992">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lentelėje yra nurodytos dvi paskutinės pozicijos: Eil. Nr. 387 "0,4 kV oro linijoje apkrovų balansavimo įrenginio montavimas" bei Eil. Nr. 388 "0,23 kv oro linijoje vienfazio įtampos reguliatoriaus montavimas". Prašome papildyti Medžiagų įkainių lentelę šiomis dvejomis trūkstamomis medžiagų pozicijomis.</w:t>
            </w:r>
          </w:p>
        </w:tc>
        <w:tc>
          <w:tcPr>
            <w:tcW w:w="7570" w:type="dxa"/>
          </w:tcPr>
          <w:p w:rsidR="00A909FC" w:rsidRPr="00D81433" w:rsidRDefault="00A909FC" w:rsidP="007C4992">
            <w:pPr>
              <w:jc w:val="both"/>
              <w:rPr>
                <w:rFonts w:ascii="Arial" w:hAnsi="Arial" w:cs="Arial"/>
                <w:sz w:val="20"/>
                <w:szCs w:val="20"/>
              </w:rPr>
            </w:pPr>
            <w:r w:rsidRPr="00D81433">
              <w:rPr>
                <w:rFonts w:ascii="Arial" w:hAnsi="Arial" w:cs="Arial"/>
                <w:sz w:val="20"/>
                <w:szCs w:val="20"/>
              </w:rPr>
              <w:t>Paaiškiname, kad 0,4 kV oro linijoje montuojamus apkrovų balansavimo įrenginius bei 0,23 kV oro linijoje montuojamus vienfazius įtampos reguliatorius tieks Užsakovas. Į įrenginio komplektą įeina ir tvirtinimo metalo konstrukcijos.</w:t>
            </w:r>
          </w:p>
          <w:p w:rsidR="00A909FC" w:rsidRPr="00D81433" w:rsidRDefault="00A909FC" w:rsidP="007C4992">
            <w:pPr>
              <w:jc w:val="both"/>
              <w:rPr>
                <w:rFonts w:ascii="Arial" w:hAnsi="Arial" w:cs="Arial"/>
                <w:sz w:val="20"/>
                <w:szCs w:val="20"/>
              </w:rPr>
            </w:pPr>
            <w:r w:rsidRPr="00D81433">
              <w:rPr>
                <w:rFonts w:ascii="Arial" w:hAnsi="Arial" w:cs="Arial"/>
                <w:sz w:val="20"/>
                <w:szCs w:val="20"/>
              </w:rPr>
              <w:t>Atsižvelgiant į klausimą tiksliname Užsakovo tiekiamų medžiagų priedą, esantį www.eso.lt skiltyje Partneriams.</w:t>
            </w:r>
          </w:p>
          <w:p w:rsidR="00A909FC" w:rsidRPr="00D81433" w:rsidRDefault="00A909FC" w:rsidP="007C4992">
            <w:pPr>
              <w:jc w:val="both"/>
              <w:rPr>
                <w:rFonts w:ascii="Arial" w:hAnsi="Arial" w:cs="Arial"/>
                <w:sz w:val="20"/>
                <w:szCs w:val="20"/>
                <w:highlight w:val="yellow"/>
              </w:rPr>
            </w:pPr>
          </w:p>
        </w:tc>
      </w:tr>
    </w:tbl>
    <w:p w:rsidR="00A909FC" w:rsidRPr="00D81433" w:rsidRDefault="00A909FC" w:rsidP="00A909FC">
      <w:pPr>
        <w:jc w:val="both"/>
        <w:rPr>
          <w:rFonts w:ascii="Arial" w:hAnsi="Arial" w:cs="Arial"/>
          <w:sz w:val="20"/>
          <w:szCs w:val="20"/>
        </w:rPr>
      </w:pPr>
    </w:p>
    <w:p w:rsidR="005A09B2" w:rsidRPr="00A909FC" w:rsidRDefault="005A09B2" w:rsidP="00A909FC">
      <w:bookmarkStart w:id="0" w:name="_GoBack"/>
      <w:bookmarkEnd w:id="0"/>
    </w:p>
    <w:sectPr w:rsidR="005A09B2" w:rsidRPr="00A909FC" w:rsidSect="0088096C">
      <w:headerReference w:type="default" r:id="rId5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12" w:rsidRDefault="00473D12" w:rsidP="005E3454">
      <w:pPr>
        <w:spacing w:after="0" w:line="240" w:lineRule="auto"/>
      </w:pPr>
      <w:r>
        <w:separator/>
      </w:r>
    </w:p>
  </w:endnote>
  <w:endnote w:type="continuationSeparator" w:id="0">
    <w:p w:rsidR="00473D12" w:rsidRDefault="00473D12" w:rsidP="005E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12" w:rsidRDefault="00473D12" w:rsidP="005E3454">
      <w:pPr>
        <w:spacing w:after="0" w:line="240" w:lineRule="auto"/>
      </w:pPr>
      <w:r>
        <w:separator/>
      </w:r>
    </w:p>
  </w:footnote>
  <w:footnote w:type="continuationSeparator" w:id="0">
    <w:p w:rsidR="00473D12" w:rsidRDefault="00473D12" w:rsidP="005E3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54" w:rsidRDefault="007E73FC">
    <w:pPr>
      <w:pStyle w:val="Header"/>
    </w:pPr>
    <w:r>
      <w:rPr>
        <w:noProof/>
        <w:lang w:eastAsia="lt-LT"/>
      </w:rPr>
      <mc:AlternateContent>
        <mc:Choice Requires="wps">
          <w:drawing>
            <wp:anchor distT="0" distB="0" distL="114300" distR="114300" simplePos="0" relativeHeight="251659264" behindDoc="0" locked="0" layoutInCell="0" allowOverlap="1" wp14:anchorId="6C95298E" wp14:editId="3168290B">
              <wp:simplePos x="0" y="0"/>
              <wp:positionH relativeFrom="page">
                <wp:posOffset>0</wp:posOffset>
              </wp:positionH>
              <wp:positionV relativeFrom="page">
                <wp:posOffset>190500</wp:posOffset>
              </wp:positionV>
              <wp:extent cx="10692130" cy="266700"/>
              <wp:effectExtent l="0" t="0" r="0" b="0"/>
              <wp:wrapNone/>
              <wp:docPr id="1" name="MSIPCM0352479b8429422a6776d78e" descr="{&quot;HashCode&quot;:-59709573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73FC" w:rsidRPr="008E2C81" w:rsidRDefault="008E2C81" w:rsidP="008E2C81">
                          <w:pPr>
                            <w:spacing w:after="0"/>
                            <w:jc w:val="right"/>
                            <w:rPr>
                              <w:rFonts w:ascii="Arial" w:hAnsi="Arial" w:cs="Arial"/>
                              <w:color w:val="000000"/>
                            </w:rPr>
                          </w:pPr>
                          <w:r w:rsidRPr="008E2C81">
                            <w:rPr>
                              <w:rFonts w:ascii="Arial" w:hAnsi="Arial" w:cs="Arial"/>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95298E" id="_x0000_t202" coordsize="21600,21600" o:spt="202" path="m,l,21600r21600,l21600,xe">
              <v:stroke joinstyle="miter"/>
              <v:path gradientshapeok="t" o:connecttype="rect"/>
            </v:shapetype>
            <v:shape id="MSIPCM0352479b8429422a6776d78e" o:spid="_x0000_s1026" type="#_x0000_t202" alt="{&quot;HashCode&quot;:-597095734,&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" o:allowincell="f" filled="f" stroked="f" strokeweight=".5pt">
              <v:textbox inset=",0,20pt,0">
                <w:txbxContent>
                  <w:p w:rsidR="007E73FC" w:rsidRPr="008E2C81" w:rsidRDefault="008E2C81" w:rsidP="008E2C81">
                    <w:pPr>
                      <w:spacing w:after="0"/>
                      <w:jc w:val="right"/>
                      <w:rPr>
                        <w:rFonts w:ascii="Arial" w:hAnsi="Arial" w:cs="Arial"/>
                        <w:color w:val="000000"/>
                      </w:rPr>
                    </w:pPr>
                    <w:r w:rsidRPr="008E2C81">
                      <w:rPr>
                        <w:rFonts w:ascii="Arial" w:hAnsi="Arial" w:cs="Arial"/>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D81"/>
    <w:multiLevelType w:val="multilevel"/>
    <w:tmpl w:val="950C9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54"/>
    <w:rsid w:val="00012C7E"/>
    <w:rsid w:val="000223A4"/>
    <w:rsid w:val="00033E73"/>
    <w:rsid w:val="00046DA3"/>
    <w:rsid w:val="00052380"/>
    <w:rsid w:val="000736A4"/>
    <w:rsid w:val="00077ABA"/>
    <w:rsid w:val="00092DD9"/>
    <w:rsid w:val="000B561F"/>
    <w:rsid w:val="000D0088"/>
    <w:rsid w:val="001016AE"/>
    <w:rsid w:val="00137CE6"/>
    <w:rsid w:val="0014404A"/>
    <w:rsid w:val="00156383"/>
    <w:rsid w:val="00192A34"/>
    <w:rsid w:val="00211381"/>
    <w:rsid w:val="00211F33"/>
    <w:rsid w:val="002147D1"/>
    <w:rsid w:val="00264827"/>
    <w:rsid w:val="002654C5"/>
    <w:rsid w:val="00276429"/>
    <w:rsid w:val="002A7E3F"/>
    <w:rsid w:val="002F5741"/>
    <w:rsid w:val="003148F0"/>
    <w:rsid w:val="00327E48"/>
    <w:rsid w:val="00370C99"/>
    <w:rsid w:val="003B7937"/>
    <w:rsid w:val="003D6E40"/>
    <w:rsid w:val="004061D7"/>
    <w:rsid w:val="00473D12"/>
    <w:rsid w:val="004D4591"/>
    <w:rsid w:val="004F658F"/>
    <w:rsid w:val="004F6A4F"/>
    <w:rsid w:val="00506341"/>
    <w:rsid w:val="005A09B2"/>
    <w:rsid w:val="005D3B09"/>
    <w:rsid w:val="005D7A30"/>
    <w:rsid w:val="005E3454"/>
    <w:rsid w:val="00615A16"/>
    <w:rsid w:val="00643E0C"/>
    <w:rsid w:val="006A0755"/>
    <w:rsid w:val="00730EB2"/>
    <w:rsid w:val="007E36C2"/>
    <w:rsid w:val="007E73FC"/>
    <w:rsid w:val="008034AF"/>
    <w:rsid w:val="00847D4E"/>
    <w:rsid w:val="0088096C"/>
    <w:rsid w:val="008C33C6"/>
    <w:rsid w:val="008D565F"/>
    <w:rsid w:val="008E2C81"/>
    <w:rsid w:val="00910E40"/>
    <w:rsid w:val="00931064"/>
    <w:rsid w:val="00980FD7"/>
    <w:rsid w:val="009901E8"/>
    <w:rsid w:val="009B39F0"/>
    <w:rsid w:val="009C14CE"/>
    <w:rsid w:val="009E091F"/>
    <w:rsid w:val="009F5001"/>
    <w:rsid w:val="00A5455B"/>
    <w:rsid w:val="00A55690"/>
    <w:rsid w:val="00A909FC"/>
    <w:rsid w:val="00AD08A8"/>
    <w:rsid w:val="00AE6532"/>
    <w:rsid w:val="00B13639"/>
    <w:rsid w:val="00B6526D"/>
    <w:rsid w:val="00B7286E"/>
    <w:rsid w:val="00BB32A8"/>
    <w:rsid w:val="00BB6E1A"/>
    <w:rsid w:val="00BF3D7E"/>
    <w:rsid w:val="00C01EE0"/>
    <w:rsid w:val="00CC5F2E"/>
    <w:rsid w:val="00CE4AED"/>
    <w:rsid w:val="00D03E5B"/>
    <w:rsid w:val="00D14CCF"/>
    <w:rsid w:val="00D17625"/>
    <w:rsid w:val="00D46B79"/>
    <w:rsid w:val="00D81433"/>
    <w:rsid w:val="00DA0B63"/>
    <w:rsid w:val="00DF1BF7"/>
    <w:rsid w:val="00E361E3"/>
    <w:rsid w:val="00E87357"/>
    <w:rsid w:val="00E970FA"/>
    <w:rsid w:val="00EB1502"/>
    <w:rsid w:val="00EC36B6"/>
    <w:rsid w:val="00EC5714"/>
    <w:rsid w:val="00EF32D9"/>
    <w:rsid w:val="00F03B48"/>
    <w:rsid w:val="00F06EC6"/>
    <w:rsid w:val="00F22EA0"/>
    <w:rsid w:val="00FD7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B58FFF-6159-47BF-A6C8-C8450FC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4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3454"/>
  </w:style>
  <w:style w:type="paragraph" w:styleId="Footer">
    <w:name w:val="footer"/>
    <w:basedOn w:val="Normal"/>
    <w:link w:val="FooterChar"/>
    <w:uiPriority w:val="99"/>
    <w:unhideWhenUsed/>
    <w:rsid w:val="005E34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3454"/>
  </w:style>
  <w:style w:type="character" w:styleId="Emphasis">
    <w:name w:val="Emphasis"/>
    <w:basedOn w:val="DefaultParagraphFont"/>
    <w:uiPriority w:val="20"/>
    <w:qFormat/>
    <w:rsid w:val="005D7A30"/>
    <w:rPr>
      <w:i/>
      <w:iCs/>
    </w:rPr>
  </w:style>
  <w:style w:type="paragraph" w:styleId="NormalWeb">
    <w:name w:val="Normal (Web)"/>
    <w:basedOn w:val="Normal"/>
    <w:uiPriority w:val="99"/>
    <w:unhideWhenUsed/>
    <w:rsid w:val="005D7A30"/>
    <w:pPr>
      <w:spacing w:after="15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046DA3"/>
    <w:rPr>
      <w:sz w:val="16"/>
      <w:szCs w:val="16"/>
    </w:rPr>
  </w:style>
  <w:style w:type="paragraph" w:styleId="CommentText">
    <w:name w:val="annotation text"/>
    <w:basedOn w:val="Normal"/>
    <w:link w:val="CommentTextChar"/>
    <w:uiPriority w:val="99"/>
    <w:semiHidden/>
    <w:unhideWhenUsed/>
    <w:rsid w:val="00046DA3"/>
    <w:pPr>
      <w:spacing w:line="240" w:lineRule="auto"/>
    </w:pPr>
    <w:rPr>
      <w:sz w:val="20"/>
      <w:szCs w:val="20"/>
    </w:rPr>
  </w:style>
  <w:style w:type="character" w:customStyle="1" w:styleId="CommentTextChar">
    <w:name w:val="Comment Text Char"/>
    <w:basedOn w:val="DefaultParagraphFont"/>
    <w:link w:val="CommentText"/>
    <w:uiPriority w:val="99"/>
    <w:semiHidden/>
    <w:rsid w:val="00046DA3"/>
    <w:rPr>
      <w:sz w:val="20"/>
      <w:szCs w:val="20"/>
    </w:rPr>
  </w:style>
  <w:style w:type="paragraph" w:styleId="CommentSubject">
    <w:name w:val="annotation subject"/>
    <w:basedOn w:val="CommentText"/>
    <w:next w:val="CommentText"/>
    <w:link w:val="CommentSubjectChar"/>
    <w:uiPriority w:val="99"/>
    <w:semiHidden/>
    <w:unhideWhenUsed/>
    <w:rsid w:val="00046DA3"/>
    <w:rPr>
      <w:b/>
      <w:bCs/>
    </w:rPr>
  </w:style>
  <w:style w:type="character" w:customStyle="1" w:styleId="CommentSubjectChar">
    <w:name w:val="Comment Subject Char"/>
    <w:basedOn w:val="CommentTextChar"/>
    <w:link w:val="CommentSubject"/>
    <w:uiPriority w:val="99"/>
    <w:semiHidden/>
    <w:rsid w:val="00046DA3"/>
    <w:rPr>
      <w:b/>
      <w:bCs/>
      <w:sz w:val="20"/>
      <w:szCs w:val="20"/>
    </w:rPr>
  </w:style>
  <w:style w:type="paragraph" w:styleId="BalloonText">
    <w:name w:val="Balloon Text"/>
    <w:basedOn w:val="Normal"/>
    <w:link w:val="BalloonTextChar"/>
    <w:uiPriority w:val="99"/>
    <w:semiHidden/>
    <w:unhideWhenUsed/>
    <w:rsid w:val="0004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A3"/>
    <w:rPr>
      <w:rFonts w:ascii="Segoe UI" w:hAnsi="Segoe UI" w:cs="Segoe UI"/>
      <w:sz w:val="18"/>
      <w:szCs w:val="18"/>
    </w:rPr>
  </w:style>
  <w:style w:type="character" w:styleId="Hyperlink">
    <w:name w:val="Hyperlink"/>
    <w:basedOn w:val="DefaultParagraphFont"/>
    <w:uiPriority w:val="99"/>
    <w:unhideWhenUsed/>
    <w:rsid w:val="00F03B48"/>
    <w:rPr>
      <w:color w:val="0563C1" w:themeColor="hyperlink"/>
      <w:u w:val="single"/>
    </w:rPr>
  </w:style>
  <w:style w:type="paragraph" w:styleId="NoSpacing">
    <w:name w:val="No Spacing"/>
    <w:uiPriority w:val="1"/>
    <w:qFormat/>
    <w:rsid w:val="00406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2376">
      <w:bodyDiv w:val="1"/>
      <w:marLeft w:val="0"/>
      <w:marRight w:val="0"/>
      <w:marTop w:val="0"/>
      <w:marBottom w:val="0"/>
      <w:divBdr>
        <w:top w:val="none" w:sz="0" w:space="0" w:color="auto"/>
        <w:left w:val="none" w:sz="0" w:space="0" w:color="auto"/>
        <w:bottom w:val="none" w:sz="0" w:space="0" w:color="auto"/>
        <w:right w:val="none" w:sz="0" w:space="0" w:color="auto"/>
      </w:divBdr>
    </w:div>
    <w:div w:id="154955024">
      <w:bodyDiv w:val="1"/>
      <w:marLeft w:val="0"/>
      <w:marRight w:val="0"/>
      <w:marTop w:val="0"/>
      <w:marBottom w:val="0"/>
      <w:divBdr>
        <w:top w:val="none" w:sz="0" w:space="0" w:color="auto"/>
        <w:left w:val="none" w:sz="0" w:space="0" w:color="auto"/>
        <w:bottom w:val="none" w:sz="0" w:space="0" w:color="auto"/>
        <w:right w:val="none" w:sz="0" w:space="0" w:color="auto"/>
      </w:divBdr>
    </w:div>
    <w:div w:id="397285348">
      <w:bodyDiv w:val="1"/>
      <w:marLeft w:val="0"/>
      <w:marRight w:val="0"/>
      <w:marTop w:val="0"/>
      <w:marBottom w:val="0"/>
      <w:divBdr>
        <w:top w:val="none" w:sz="0" w:space="0" w:color="auto"/>
        <w:left w:val="none" w:sz="0" w:space="0" w:color="auto"/>
        <w:bottom w:val="none" w:sz="0" w:space="0" w:color="auto"/>
        <w:right w:val="none" w:sz="0" w:space="0" w:color="auto"/>
      </w:divBdr>
    </w:div>
    <w:div w:id="416829824">
      <w:bodyDiv w:val="1"/>
      <w:marLeft w:val="0"/>
      <w:marRight w:val="0"/>
      <w:marTop w:val="0"/>
      <w:marBottom w:val="0"/>
      <w:divBdr>
        <w:top w:val="none" w:sz="0" w:space="0" w:color="auto"/>
        <w:left w:val="none" w:sz="0" w:space="0" w:color="auto"/>
        <w:bottom w:val="none" w:sz="0" w:space="0" w:color="auto"/>
        <w:right w:val="none" w:sz="0" w:space="0" w:color="auto"/>
      </w:divBdr>
    </w:div>
    <w:div w:id="428891185">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500389673">
      <w:bodyDiv w:val="1"/>
      <w:marLeft w:val="0"/>
      <w:marRight w:val="0"/>
      <w:marTop w:val="0"/>
      <w:marBottom w:val="0"/>
      <w:divBdr>
        <w:top w:val="none" w:sz="0" w:space="0" w:color="auto"/>
        <w:left w:val="none" w:sz="0" w:space="0" w:color="auto"/>
        <w:bottom w:val="none" w:sz="0" w:space="0" w:color="auto"/>
        <w:right w:val="none" w:sz="0" w:space="0" w:color="auto"/>
      </w:divBdr>
    </w:div>
    <w:div w:id="560872945">
      <w:bodyDiv w:val="1"/>
      <w:marLeft w:val="0"/>
      <w:marRight w:val="0"/>
      <w:marTop w:val="0"/>
      <w:marBottom w:val="0"/>
      <w:divBdr>
        <w:top w:val="none" w:sz="0" w:space="0" w:color="auto"/>
        <w:left w:val="none" w:sz="0" w:space="0" w:color="auto"/>
        <w:bottom w:val="none" w:sz="0" w:space="0" w:color="auto"/>
        <w:right w:val="none" w:sz="0" w:space="0" w:color="auto"/>
      </w:divBdr>
    </w:div>
    <w:div w:id="581335045">
      <w:bodyDiv w:val="1"/>
      <w:marLeft w:val="0"/>
      <w:marRight w:val="0"/>
      <w:marTop w:val="0"/>
      <w:marBottom w:val="0"/>
      <w:divBdr>
        <w:top w:val="none" w:sz="0" w:space="0" w:color="auto"/>
        <w:left w:val="none" w:sz="0" w:space="0" w:color="auto"/>
        <w:bottom w:val="none" w:sz="0" w:space="0" w:color="auto"/>
        <w:right w:val="none" w:sz="0" w:space="0" w:color="auto"/>
      </w:divBdr>
    </w:div>
    <w:div w:id="637687431">
      <w:bodyDiv w:val="1"/>
      <w:marLeft w:val="0"/>
      <w:marRight w:val="0"/>
      <w:marTop w:val="0"/>
      <w:marBottom w:val="0"/>
      <w:divBdr>
        <w:top w:val="none" w:sz="0" w:space="0" w:color="auto"/>
        <w:left w:val="none" w:sz="0" w:space="0" w:color="auto"/>
        <w:bottom w:val="none" w:sz="0" w:space="0" w:color="auto"/>
        <w:right w:val="none" w:sz="0" w:space="0" w:color="auto"/>
      </w:divBdr>
    </w:div>
    <w:div w:id="723405750">
      <w:bodyDiv w:val="1"/>
      <w:marLeft w:val="0"/>
      <w:marRight w:val="0"/>
      <w:marTop w:val="0"/>
      <w:marBottom w:val="0"/>
      <w:divBdr>
        <w:top w:val="none" w:sz="0" w:space="0" w:color="auto"/>
        <w:left w:val="none" w:sz="0" w:space="0" w:color="auto"/>
        <w:bottom w:val="none" w:sz="0" w:space="0" w:color="auto"/>
        <w:right w:val="none" w:sz="0" w:space="0" w:color="auto"/>
      </w:divBdr>
    </w:div>
    <w:div w:id="743531762">
      <w:bodyDiv w:val="1"/>
      <w:marLeft w:val="0"/>
      <w:marRight w:val="0"/>
      <w:marTop w:val="0"/>
      <w:marBottom w:val="0"/>
      <w:divBdr>
        <w:top w:val="none" w:sz="0" w:space="0" w:color="auto"/>
        <w:left w:val="none" w:sz="0" w:space="0" w:color="auto"/>
        <w:bottom w:val="none" w:sz="0" w:space="0" w:color="auto"/>
        <w:right w:val="none" w:sz="0" w:space="0" w:color="auto"/>
      </w:divBdr>
    </w:div>
    <w:div w:id="770666443">
      <w:bodyDiv w:val="1"/>
      <w:marLeft w:val="0"/>
      <w:marRight w:val="0"/>
      <w:marTop w:val="0"/>
      <w:marBottom w:val="0"/>
      <w:divBdr>
        <w:top w:val="none" w:sz="0" w:space="0" w:color="auto"/>
        <w:left w:val="none" w:sz="0" w:space="0" w:color="auto"/>
        <w:bottom w:val="none" w:sz="0" w:space="0" w:color="auto"/>
        <w:right w:val="none" w:sz="0" w:space="0" w:color="auto"/>
      </w:divBdr>
    </w:div>
    <w:div w:id="847524379">
      <w:bodyDiv w:val="1"/>
      <w:marLeft w:val="0"/>
      <w:marRight w:val="0"/>
      <w:marTop w:val="0"/>
      <w:marBottom w:val="0"/>
      <w:divBdr>
        <w:top w:val="none" w:sz="0" w:space="0" w:color="auto"/>
        <w:left w:val="none" w:sz="0" w:space="0" w:color="auto"/>
        <w:bottom w:val="none" w:sz="0" w:space="0" w:color="auto"/>
        <w:right w:val="none" w:sz="0" w:space="0" w:color="auto"/>
      </w:divBdr>
    </w:div>
    <w:div w:id="876552329">
      <w:bodyDiv w:val="1"/>
      <w:marLeft w:val="0"/>
      <w:marRight w:val="0"/>
      <w:marTop w:val="0"/>
      <w:marBottom w:val="0"/>
      <w:divBdr>
        <w:top w:val="none" w:sz="0" w:space="0" w:color="auto"/>
        <w:left w:val="none" w:sz="0" w:space="0" w:color="auto"/>
        <w:bottom w:val="none" w:sz="0" w:space="0" w:color="auto"/>
        <w:right w:val="none" w:sz="0" w:space="0" w:color="auto"/>
      </w:divBdr>
    </w:div>
    <w:div w:id="900989785">
      <w:bodyDiv w:val="1"/>
      <w:marLeft w:val="0"/>
      <w:marRight w:val="0"/>
      <w:marTop w:val="0"/>
      <w:marBottom w:val="0"/>
      <w:divBdr>
        <w:top w:val="none" w:sz="0" w:space="0" w:color="auto"/>
        <w:left w:val="none" w:sz="0" w:space="0" w:color="auto"/>
        <w:bottom w:val="none" w:sz="0" w:space="0" w:color="auto"/>
        <w:right w:val="none" w:sz="0" w:space="0" w:color="auto"/>
      </w:divBdr>
    </w:div>
    <w:div w:id="903099522">
      <w:bodyDiv w:val="1"/>
      <w:marLeft w:val="0"/>
      <w:marRight w:val="0"/>
      <w:marTop w:val="0"/>
      <w:marBottom w:val="0"/>
      <w:divBdr>
        <w:top w:val="none" w:sz="0" w:space="0" w:color="auto"/>
        <w:left w:val="none" w:sz="0" w:space="0" w:color="auto"/>
        <w:bottom w:val="none" w:sz="0" w:space="0" w:color="auto"/>
        <w:right w:val="none" w:sz="0" w:space="0" w:color="auto"/>
      </w:divBdr>
    </w:div>
    <w:div w:id="971178329">
      <w:bodyDiv w:val="1"/>
      <w:marLeft w:val="0"/>
      <w:marRight w:val="0"/>
      <w:marTop w:val="0"/>
      <w:marBottom w:val="0"/>
      <w:divBdr>
        <w:top w:val="none" w:sz="0" w:space="0" w:color="auto"/>
        <w:left w:val="none" w:sz="0" w:space="0" w:color="auto"/>
        <w:bottom w:val="none" w:sz="0" w:space="0" w:color="auto"/>
        <w:right w:val="none" w:sz="0" w:space="0" w:color="auto"/>
      </w:divBdr>
    </w:div>
    <w:div w:id="993802329">
      <w:bodyDiv w:val="1"/>
      <w:marLeft w:val="0"/>
      <w:marRight w:val="0"/>
      <w:marTop w:val="0"/>
      <w:marBottom w:val="0"/>
      <w:divBdr>
        <w:top w:val="none" w:sz="0" w:space="0" w:color="auto"/>
        <w:left w:val="none" w:sz="0" w:space="0" w:color="auto"/>
        <w:bottom w:val="none" w:sz="0" w:space="0" w:color="auto"/>
        <w:right w:val="none" w:sz="0" w:space="0" w:color="auto"/>
      </w:divBdr>
    </w:div>
    <w:div w:id="1012952665">
      <w:bodyDiv w:val="1"/>
      <w:marLeft w:val="0"/>
      <w:marRight w:val="0"/>
      <w:marTop w:val="0"/>
      <w:marBottom w:val="0"/>
      <w:divBdr>
        <w:top w:val="none" w:sz="0" w:space="0" w:color="auto"/>
        <w:left w:val="none" w:sz="0" w:space="0" w:color="auto"/>
        <w:bottom w:val="none" w:sz="0" w:space="0" w:color="auto"/>
        <w:right w:val="none" w:sz="0" w:space="0" w:color="auto"/>
      </w:divBdr>
    </w:div>
    <w:div w:id="1117527338">
      <w:bodyDiv w:val="1"/>
      <w:marLeft w:val="0"/>
      <w:marRight w:val="0"/>
      <w:marTop w:val="0"/>
      <w:marBottom w:val="0"/>
      <w:divBdr>
        <w:top w:val="none" w:sz="0" w:space="0" w:color="auto"/>
        <w:left w:val="none" w:sz="0" w:space="0" w:color="auto"/>
        <w:bottom w:val="none" w:sz="0" w:space="0" w:color="auto"/>
        <w:right w:val="none" w:sz="0" w:space="0" w:color="auto"/>
      </w:divBdr>
    </w:div>
    <w:div w:id="1190215156">
      <w:bodyDiv w:val="1"/>
      <w:marLeft w:val="0"/>
      <w:marRight w:val="0"/>
      <w:marTop w:val="0"/>
      <w:marBottom w:val="0"/>
      <w:divBdr>
        <w:top w:val="none" w:sz="0" w:space="0" w:color="auto"/>
        <w:left w:val="none" w:sz="0" w:space="0" w:color="auto"/>
        <w:bottom w:val="none" w:sz="0" w:space="0" w:color="auto"/>
        <w:right w:val="none" w:sz="0" w:space="0" w:color="auto"/>
      </w:divBdr>
    </w:div>
    <w:div w:id="1374888915">
      <w:bodyDiv w:val="1"/>
      <w:marLeft w:val="0"/>
      <w:marRight w:val="0"/>
      <w:marTop w:val="0"/>
      <w:marBottom w:val="0"/>
      <w:divBdr>
        <w:top w:val="none" w:sz="0" w:space="0" w:color="auto"/>
        <w:left w:val="none" w:sz="0" w:space="0" w:color="auto"/>
        <w:bottom w:val="none" w:sz="0" w:space="0" w:color="auto"/>
        <w:right w:val="none" w:sz="0" w:space="0" w:color="auto"/>
      </w:divBdr>
    </w:div>
    <w:div w:id="1397123301">
      <w:bodyDiv w:val="1"/>
      <w:marLeft w:val="0"/>
      <w:marRight w:val="0"/>
      <w:marTop w:val="0"/>
      <w:marBottom w:val="0"/>
      <w:divBdr>
        <w:top w:val="none" w:sz="0" w:space="0" w:color="auto"/>
        <w:left w:val="none" w:sz="0" w:space="0" w:color="auto"/>
        <w:bottom w:val="none" w:sz="0" w:space="0" w:color="auto"/>
        <w:right w:val="none" w:sz="0" w:space="0" w:color="auto"/>
      </w:divBdr>
    </w:div>
    <w:div w:id="1399867811">
      <w:bodyDiv w:val="1"/>
      <w:marLeft w:val="0"/>
      <w:marRight w:val="0"/>
      <w:marTop w:val="0"/>
      <w:marBottom w:val="0"/>
      <w:divBdr>
        <w:top w:val="none" w:sz="0" w:space="0" w:color="auto"/>
        <w:left w:val="none" w:sz="0" w:space="0" w:color="auto"/>
        <w:bottom w:val="none" w:sz="0" w:space="0" w:color="auto"/>
        <w:right w:val="none" w:sz="0" w:space="0" w:color="auto"/>
      </w:divBdr>
    </w:div>
    <w:div w:id="1403521331">
      <w:bodyDiv w:val="1"/>
      <w:marLeft w:val="0"/>
      <w:marRight w:val="0"/>
      <w:marTop w:val="0"/>
      <w:marBottom w:val="0"/>
      <w:divBdr>
        <w:top w:val="none" w:sz="0" w:space="0" w:color="auto"/>
        <w:left w:val="none" w:sz="0" w:space="0" w:color="auto"/>
        <w:bottom w:val="none" w:sz="0" w:space="0" w:color="auto"/>
        <w:right w:val="none" w:sz="0" w:space="0" w:color="auto"/>
      </w:divBdr>
    </w:div>
    <w:div w:id="1674260402">
      <w:bodyDiv w:val="1"/>
      <w:marLeft w:val="0"/>
      <w:marRight w:val="0"/>
      <w:marTop w:val="0"/>
      <w:marBottom w:val="0"/>
      <w:divBdr>
        <w:top w:val="none" w:sz="0" w:space="0" w:color="auto"/>
        <w:left w:val="none" w:sz="0" w:space="0" w:color="auto"/>
        <w:bottom w:val="none" w:sz="0" w:space="0" w:color="auto"/>
        <w:right w:val="none" w:sz="0" w:space="0" w:color="auto"/>
      </w:divBdr>
    </w:div>
    <w:div w:id="1823231602">
      <w:bodyDiv w:val="1"/>
      <w:marLeft w:val="0"/>
      <w:marRight w:val="0"/>
      <w:marTop w:val="0"/>
      <w:marBottom w:val="0"/>
      <w:divBdr>
        <w:top w:val="none" w:sz="0" w:space="0" w:color="auto"/>
        <w:left w:val="none" w:sz="0" w:space="0" w:color="auto"/>
        <w:bottom w:val="none" w:sz="0" w:space="0" w:color="auto"/>
        <w:right w:val="none" w:sz="0" w:space="0" w:color="auto"/>
      </w:divBdr>
    </w:div>
    <w:div w:id="1859352301">
      <w:bodyDiv w:val="1"/>
      <w:marLeft w:val="0"/>
      <w:marRight w:val="0"/>
      <w:marTop w:val="0"/>
      <w:marBottom w:val="0"/>
      <w:divBdr>
        <w:top w:val="none" w:sz="0" w:space="0" w:color="auto"/>
        <w:left w:val="none" w:sz="0" w:space="0" w:color="auto"/>
        <w:bottom w:val="none" w:sz="0" w:space="0" w:color="auto"/>
        <w:right w:val="none" w:sz="0" w:space="0" w:color="auto"/>
      </w:divBdr>
    </w:div>
    <w:div w:id="1949239489">
      <w:bodyDiv w:val="1"/>
      <w:marLeft w:val="0"/>
      <w:marRight w:val="0"/>
      <w:marTop w:val="0"/>
      <w:marBottom w:val="0"/>
      <w:divBdr>
        <w:top w:val="none" w:sz="0" w:space="0" w:color="auto"/>
        <w:left w:val="none" w:sz="0" w:space="0" w:color="auto"/>
        <w:bottom w:val="none" w:sz="0" w:space="0" w:color="auto"/>
        <w:right w:val="none" w:sz="0" w:space="0" w:color="auto"/>
      </w:divBdr>
    </w:div>
    <w:div w:id="19948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hyperlink" Target="http://www.eso.lt"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header" Target="header1.xml"/><Relationship Id="rId8" Type="http://schemas.openxmlformats.org/officeDocument/2006/relationships/hyperlink" Target="http://www.eso.lt" TargetMode="External"/><Relationship Id="rId51" Type="http://schemas.openxmlformats.org/officeDocument/2006/relationships/image" Target="media/image43.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fontTable" Target="fontTable.xml"/><Relationship Id="rId10" Type="http://schemas.openxmlformats.org/officeDocument/2006/relationships/hyperlink" Target="http://www.eso.lt" TargetMode="External"/><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13</Pages>
  <Words>23958</Words>
  <Characters>13657</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Sigita Danienė</cp:lastModifiedBy>
  <cp:revision>12</cp:revision>
  <dcterms:created xsi:type="dcterms:W3CDTF">2019-07-02T05:30:00Z</dcterms:created>
  <dcterms:modified xsi:type="dcterms:W3CDTF">2019-07-03T12:05:00Z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sigita.daniene@le.lt</vt:lpwstr>
  </property>
  <property fmtid="{D5CDD505-2E9C-101B-9397-08002B2CF9AE}" pid="5" name="MSIP_Label_320c693d-44b7-4e16-b3dd-4fcd87401cf5_SetDate">
    <vt:lpwstr>2019-07-03T11:39:10.1237329Z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ade7f957-1504-4081-98ad-dce545f3b498</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sigita.daniene@le.lt</vt:lpwstr>
  </property>
  <property fmtid="{D5CDD505-2E9C-101B-9397-08002B2CF9AE}" pid="13" name="MSIP_Label_f302255e-cf28-4843-9031-c06177cecbc2_SetDate">
    <vt:lpwstr>2019-07-03T11:39:10.1237329Z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ade7f957-1504-4081-98ad-dce545f3b498</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ies>
</file>