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A8B4F" w14:textId="090A311C" w:rsidR="00A66718" w:rsidRPr="00B0583E" w:rsidRDefault="00A66718" w:rsidP="007F7703">
      <w:pPr>
        <w:pStyle w:val="Pavadinimas"/>
        <w:tabs>
          <w:tab w:val="left" w:pos="6237"/>
        </w:tabs>
        <w:spacing w:before="0"/>
        <w:ind w:left="0" w:right="2370"/>
        <w:jc w:val="left"/>
        <w:rPr>
          <w:rFonts w:ascii="Times New Roman" w:hAnsi="Times New Roman" w:cs="Times New Roman"/>
          <w:b w:val="0"/>
          <w:bCs w:val="0"/>
        </w:rPr>
      </w:pPr>
      <w:r w:rsidRPr="00B0583E">
        <w:rPr>
          <w:rFonts w:asciiTheme="minorHAnsi" w:hAnsiTheme="minorHAnsi"/>
        </w:rPr>
        <w:t xml:space="preserve">                              </w:t>
      </w:r>
      <w:r w:rsidRPr="00B0583E">
        <w:rPr>
          <w:rFonts w:ascii="Times New Roman" w:hAnsi="Times New Roman" w:cs="Times New Roman"/>
          <w:b w:val="0"/>
          <w:bCs w:val="0"/>
        </w:rPr>
        <w:t>KP</w:t>
      </w:r>
      <w:r w:rsidR="00B0583E" w:rsidRPr="00B0583E">
        <w:rPr>
          <w:rFonts w:ascii="Times New Roman" w:hAnsi="Times New Roman" w:cs="Times New Roman"/>
          <w:b w:val="0"/>
          <w:bCs w:val="0"/>
        </w:rPr>
        <w:t xml:space="preserve">MG Baltic OU                                                       </w:t>
      </w:r>
      <w:r w:rsidR="00B0583E">
        <w:rPr>
          <w:rFonts w:ascii="Times New Roman" w:hAnsi="Times New Roman" w:cs="Times New Roman"/>
          <w:b w:val="0"/>
          <w:bCs w:val="0"/>
        </w:rPr>
        <w:t xml:space="preserve">                                   </w:t>
      </w:r>
      <w:r w:rsidR="00B0583E" w:rsidRPr="00B0583E">
        <w:rPr>
          <w:rFonts w:ascii="Times New Roman" w:hAnsi="Times New Roman" w:cs="Times New Roman"/>
          <w:b w:val="0"/>
          <w:bCs w:val="0"/>
        </w:rPr>
        <w:t xml:space="preserve">         Tel. Nr.        +372 6268 700</w:t>
      </w:r>
    </w:p>
    <w:p w14:paraId="49BBE346" w14:textId="21E16B8E" w:rsidR="00B0583E" w:rsidRPr="00B0583E" w:rsidRDefault="00B0583E" w:rsidP="007F7703">
      <w:pPr>
        <w:pStyle w:val="Pavadinimas"/>
        <w:tabs>
          <w:tab w:val="left" w:pos="6237"/>
        </w:tabs>
        <w:spacing w:before="0"/>
        <w:ind w:left="0" w:right="2370"/>
        <w:jc w:val="left"/>
        <w:rPr>
          <w:rFonts w:ascii="Times New Roman" w:hAnsi="Times New Roman" w:cs="Times New Roman"/>
          <w:b w:val="0"/>
          <w:bCs w:val="0"/>
        </w:rPr>
      </w:pPr>
      <w:r w:rsidRPr="00B0583E">
        <w:rPr>
          <w:rFonts w:ascii="Times New Roman" w:hAnsi="Times New Roman" w:cs="Times New Roman"/>
          <w:b w:val="0"/>
          <w:bCs w:val="0"/>
        </w:rPr>
        <w:t xml:space="preserve">                         </w:t>
      </w:r>
      <w:r>
        <w:rPr>
          <w:rFonts w:ascii="Times New Roman" w:hAnsi="Times New Roman" w:cs="Times New Roman"/>
          <w:b w:val="0"/>
          <w:bCs w:val="0"/>
        </w:rPr>
        <w:t xml:space="preserve"> </w:t>
      </w:r>
      <w:r w:rsidRPr="00B0583E">
        <w:rPr>
          <w:rFonts w:ascii="Times New Roman" w:hAnsi="Times New Roman" w:cs="Times New Roman"/>
          <w:b w:val="0"/>
          <w:bCs w:val="0"/>
        </w:rPr>
        <w:t xml:space="preserve">  Narva </w:t>
      </w:r>
      <w:proofErr w:type="spellStart"/>
      <w:r w:rsidRPr="00B0583E">
        <w:rPr>
          <w:rFonts w:ascii="Times New Roman" w:hAnsi="Times New Roman" w:cs="Times New Roman"/>
          <w:b w:val="0"/>
          <w:bCs w:val="0"/>
        </w:rPr>
        <w:t>mnt</w:t>
      </w:r>
      <w:proofErr w:type="spellEnd"/>
      <w:r w:rsidRPr="00B0583E">
        <w:rPr>
          <w:rFonts w:ascii="Times New Roman" w:hAnsi="Times New Roman" w:cs="Times New Roman"/>
          <w:b w:val="0"/>
          <w:bCs w:val="0"/>
        </w:rPr>
        <w:t xml:space="preserve"> 5                                                                           </w:t>
      </w:r>
      <w:r>
        <w:rPr>
          <w:rFonts w:ascii="Times New Roman" w:hAnsi="Times New Roman" w:cs="Times New Roman"/>
          <w:b w:val="0"/>
          <w:bCs w:val="0"/>
        </w:rPr>
        <w:t xml:space="preserve">                                </w:t>
      </w:r>
      <w:r w:rsidRPr="00B0583E">
        <w:rPr>
          <w:rFonts w:ascii="Times New Roman" w:hAnsi="Times New Roman" w:cs="Times New Roman"/>
          <w:b w:val="0"/>
          <w:bCs w:val="0"/>
        </w:rPr>
        <w:t>Fak</w:t>
      </w:r>
      <w:r>
        <w:rPr>
          <w:rFonts w:ascii="Times New Roman" w:hAnsi="Times New Roman" w:cs="Times New Roman"/>
          <w:b w:val="0"/>
          <w:bCs w:val="0"/>
        </w:rPr>
        <w:t>s</w:t>
      </w:r>
      <w:r w:rsidRPr="00B0583E">
        <w:rPr>
          <w:rFonts w:ascii="Times New Roman" w:hAnsi="Times New Roman" w:cs="Times New Roman"/>
          <w:b w:val="0"/>
          <w:bCs w:val="0"/>
        </w:rPr>
        <w:t xml:space="preserve">as          +372 6 268 777    </w:t>
      </w:r>
    </w:p>
    <w:p w14:paraId="139368C5" w14:textId="3D07EFA5" w:rsidR="00B0583E" w:rsidRDefault="00B0583E" w:rsidP="007F7703">
      <w:pPr>
        <w:pStyle w:val="Pavadinimas"/>
        <w:tabs>
          <w:tab w:val="left" w:pos="6237"/>
        </w:tabs>
        <w:spacing w:before="0"/>
        <w:ind w:left="0" w:right="2370"/>
        <w:jc w:val="left"/>
        <w:rPr>
          <w:rFonts w:ascii="Times New Roman" w:hAnsi="Times New Roman" w:cs="Times New Roman"/>
          <w:b w:val="0"/>
          <w:bCs w:val="0"/>
        </w:rPr>
      </w:pPr>
      <w:r w:rsidRPr="00B0583E">
        <w:rPr>
          <w:rFonts w:ascii="Times New Roman" w:hAnsi="Times New Roman" w:cs="Times New Roman"/>
          <w:b w:val="0"/>
          <w:bCs w:val="0"/>
        </w:rPr>
        <w:t xml:space="preserve">                            Talinas 10117                                                                      </w:t>
      </w:r>
      <w:r>
        <w:rPr>
          <w:rFonts w:ascii="Times New Roman" w:hAnsi="Times New Roman" w:cs="Times New Roman"/>
          <w:b w:val="0"/>
          <w:bCs w:val="0"/>
        </w:rPr>
        <w:t xml:space="preserve">                               </w:t>
      </w:r>
      <w:r w:rsidRPr="00B0583E">
        <w:rPr>
          <w:rFonts w:ascii="Times New Roman" w:hAnsi="Times New Roman" w:cs="Times New Roman"/>
          <w:b w:val="0"/>
          <w:bCs w:val="0"/>
        </w:rPr>
        <w:t xml:space="preserve">   Svetainė      </w:t>
      </w:r>
      <w:hyperlink r:id="rId9" w:history="1">
        <w:r w:rsidRPr="00260C31">
          <w:rPr>
            <w:rStyle w:val="Hipersaitas"/>
            <w:rFonts w:ascii="Times New Roman" w:hAnsi="Times New Roman" w:cs="Times New Roman"/>
            <w:b w:val="0"/>
            <w:bCs w:val="0"/>
          </w:rPr>
          <w:t>www.kpmg.ee</w:t>
        </w:r>
      </w:hyperlink>
    </w:p>
    <w:p w14:paraId="15786E15" w14:textId="59C8C902" w:rsidR="00B0583E" w:rsidRPr="00B0583E" w:rsidRDefault="00B0583E" w:rsidP="007F7703">
      <w:pPr>
        <w:pStyle w:val="Pavadinimas"/>
        <w:tabs>
          <w:tab w:val="left" w:pos="6237"/>
        </w:tabs>
        <w:spacing w:before="0"/>
        <w:ind w:left="0" w:right="2370"/>
        <w:jc w:val="left"/>
        <w:rPr>
          <w:rFonts w:ascii="Times New Roman" w:hAnsi="Times New Roman" w:cs="Times New Roman"/>
          <w:b w:val="0"/>
          <w:bCs w:val="0"/>
        </w:rPr>
      </w:pPr>
      <w:r>
        <w:rPr>
          <w:rFonts w:ascii="Times New Roman" w:hAnsi="Times New Roman" w:cs="Times New Roman"/>
          <w:b w:val="0"/>
          <w:bCs w:val="0"/>
        </w:rPr>
        <w:t xml:space="preserve">                            Estija</w:t>
      </w:r>
      <w:r w:rsidRPr="00B0583E">
        <w:rPr>
          <w:rFonts w:ascii="Times New Roman" w:hAnsi="Times New Roman" w:cs="Times New Roman"/>
          <w:b w:val="0"/>
          <w:bCs w:val="0"/>
        </w:rPr>
        <w:tab/>
      </w:r>
    </w:p>
    <w:p w14:paraId="55427D14" w14:textId="77777777" w:rsidR="00A66718" w:rsidRPr="00B0583E" w:rsidRDefault="00A66718" w:rsidP="0028114A">
      <w:pPr>
        <w:pStyle w:val="Pavadinimas"/>
        <w:tabs>
          <w:tab w:val="left" w:pos="6237"/>
        </w:tabs>
        <w:ind w:left="2410" w:right="2369"/>
        <w:rPr>
          <w:rFonts w:ascii="Times New Roman" w:hAnsi="Times New Roman" w:cs="Times New Roman"/>
          <w:b w:val="0"/>
          <w:bCs w:val="0"/>
        </w:rPr>
      </w:pPr>
    </w:p>
    <w:p w14:paraId="142F9B5D" w14:textId="77777777" w:rsidR="00A66718" w:rsidRPr="00B0583E" w:rsidRDefault="00A66718" w:rsidP="0028114A">
      <w:pPr>
        <w:pStyle w:val="Pavadinimas"/>
        <w:tabs>
          <w:tab w:val="left" w:pos="6237"/>
        </w:tabs>
        <w:ind w:left="2410" w:right="2369"/>
        <w:rPr>
          <w:rFonts w:ascii="Times New Roman" w:hAnsi="Times New Roman" w:cs="Times New Roman"/>
          <w:b w:val="0"/>
          <w:bCs w:val="0"/>
        </w:rPr>
      </w:pPr>
    </w:p>
    <w:p w14:paraId="2FE2132D" w14:textId="0167FA5B" w:rsidR="003A7889" w:rsidRPr="0068532D" w:rsidRDefault="00B4437E" w:rsidP="00B0583E">
      <w:pPr>
        <w:pStyle w:val="Pavadinimas"/>
        <w:tabs>
          <w:tab w:val="left" w:pos="6237"/>
        </w:tabs>
        <w:ind w:left="142" w:right="2369"/>
        <w:jc w:val="left"/>
        <w:rPr>
          <w:rFonts w:asciiTheme="minorHAnsi" w:hAnsiTheme="minorHAnsi" w:cstheme="minorHAnsi"/>
          <w:sz w:val="18"/>
          <w:szCs w:val="18"/>
        </w:rPr>
      </w:pPr>
      <w:r>
        <w:rPr>
          <w:rFonts w:asciiTheme="minorHAnsi" w:hAnsiTheme="minorHAnsi"/>
          <w:sz w:val="18"/>
        </w:rPr>
        <w:t>NEPRIKLAUSOMŲ AUDITORIŲ ATASKAITA</w:t>
      </w:r>
    </w:p>
    <w:p w14:paraId="0F0668DD" w14:textId="77777777" w:rsidR="003A7889" w:rsidRPr="0068532D" w:rsidRDefault="00B4437E" w:rsidP="00B0583E">
      <w:pPr>
        <w:tabs>
          <w:tab w:val="left" w:pos="6096"/>
        </w:tabs>
        <w:spacing w:before="49"/>
        <w:ind w:left="142" w:right="3361"/>
        <w:rPr>
          <w:rFonts w:asciiTheme="minorHAnsi" w:hAnsiTheme="minorHAnsi" w:cstheme="minorHAnsi"/>
          <w:b/>
          <w:i/>
          <w:sz w:val="14"/>
          <w:szCs w:val="28"/>
        </w:rPr>
      </w:pPr>
      <w:r>
        <w:rPr>
          <w:rFonts w:asciiTheme="minorHAnsi" w:hAnsiTheme="minorHAnsi"/>
          <w:b/>
          <w:i/>
          <w:sz w:val="14"/>
        </w:rPr>
        <w:t>(originalo estų k. vertimas)</w:t>
      </w:r>
    </w:p>
    <w:p w14:paraId="03F18CA7" w14:textId="77777777" w:rsidR="003A7889" w:rsidRPr="0068532D" w:rsidRDefault="003A7889" w:rsidP="0068532D">
      <w:pPr>
        <w:pStyle w:val="Pagrindinistekstas"/>
        <w:tabs>
          <w:tab w:val="left" w:pos="6096"/>
        </w:tabs>
        <w:spacing w:before="1"/>
        <w:ind w:left="3119" w:right="3361"/>
        <w:jc w:val="both"/>
        <w:rPr>
          <w:rFonts w:asciiTheme="minorHAnsi" w:hAnsiTheme="minorHAnsi" w:cstheme="minorHAnsi"/>
          <w:b/>
          <w:i/>
          <w:sz w:val="18"/>
          <w:szCs w:val="14"/>
        </w:rPr>
      </w:pPr>
    </w:p>
    <w:p w14:paraId="64AD9624" w14:textId="77777777" w:rsidR="003A7889" w:rsidRPr="0068532D" w:rsidRDefault="003A7889" w:rsidP="0068532D">
      <w:pPr>
        <w:pStyle w:val="Pagrindinistekstas"/>
        <w:tabs>
          <w:tab w:val="left" w:pos="6096"/>
        </w:tabs>
        <w:spacing w:before="6"/>
        <w:jc w:val="both"/>
        <w:rPr>
          <w:rFonts w:asciiTheme="minorHAnsi" w:hAnsiTheme="minorHAnsi" w:cstheme="minorHAnsi"/>
          <w:b/>
          <w:i/>
          <w:sz w:val="12"/>
          <w:szCs w:val="14"/>
        </w:rPr>
      </w:pPr>
    </w:p>
    <w:p w14:paraId="7265DB1C" w14:textId="77777777" w:rsidR="003A7889" w:rsidRPr="0068532D" w:rsidRDefault="00B4437E" w:rsidP="0068532D">
      <w:pPr>
        <w:pStyle w:val="Pagrindinistekstas"/>
        <w:tabs>
          <w:tab w:val="left" w:pos="6096"/>
        </w:tabs>
        <w:ind w:left="101"/>
        <w:jc w:val="both"/>
        <w:rPr>
          <w:rFonts w:asciiTheme="minorHAnsi" w:hAnsiTheme="minorHAnsi" w:cstheme="minorHAnsi"/>
          <w:sz w:val="14"/>
          <w:szCs w:val="14"/>
        </w:rPr>
      </w:pPr>
      <w:r>
        <w:rPr>
          <w:rFonts w:asciiTheme="minorHAnsi" w:hAnsiTheme="minorHAnsi"/>
          <w:sz w:val="14"/>
        </w:rPr>
        <w:t xml:space="preserve">AS „Baltic </w:t>
      </w:r>
      <w:proofErr w:type="spellStart"/>
      <w:r>
        <w:rPr>
          <w:rFonts w:asciiTheme="minorHAnsi" w:hAnsiTheme="minorHAnsi"/>
          <w:sz w:val="14"/>
        </w:rPr>
        <w:t>Workboats</w:t>
      </w:r>
      <w:proofErr w:type="spellEnd"/>
      <w:r>
        <w:rPr>
          <w:rFonts w:asciiTheme="minorHAnsi" w:hAnsiTheme="minorHAnsi"/>
          <w:sz w:val="14"/>
        </w:rPr>
        <w:t>“ akcininkams</w:t>
      </w:r>
    </w:p>
    <w:p w14:paraId="4893C0ED" w14:textId="77777777" w:rsidR="003A7889" w:rsidRPr="0068532D" w:rsidRDefault="003A7889" w:rsidP="0068532D">
      <w:pPr>
        <w:pStyle w:val="Pagrindinistekstas"/>
        <w:tabs>
          <w:tab w:val="left" w:pos="6096"/>
        </w:tabs>
        <w:spacing w:before="3"/>
        <w:jc w:val="both"/>
        <w:rPr>
          <w:rFonts w:asciiTheme="minorHAnsi" w:hAnsiTheme="minorHAnsi" w:cstheme="minorHAnsi"/>
          <w:sz w:val="16"/>
          <w:szCs w:val="14"/>
        </w:rPr>
      </w:pPr>
    </w:p>
    <w:p w14:paraId="675D1265" w14:textId="77777777" w:rsidR="003A7889" w:rsidRPr="0068532D" w:rsidRDefault="00B4437E" w:rsidP="0068532D">
      <w:pPr>
        <w:pStyle w:val="Antrat1"/>
        <w:tabs>
          <w:tab w:val="left" w:pos="6096"/>
        </w:tabs>
        <w:jc w:val="both"/>
        <w:rPr>
          <w:rFonts w:asciiTheme="minorHAnsi" w:hAnsiTheme="minorHAnsi" w:cstheme="minorHAnsi"/>
          <w:sz w:val="14"/>
          <w:szCs w:val="14"/>
        </w:rPr>
      </w:pPr>
      <w:bookmarkStart w:id="0" w:name="Qualified_Opinion"/>
      <w:bookmarkEnd w:id="0"/>
      <w:r>
        <w:rPr>
          <w:rFonts w:asciiTheme="minorHAnsi" w:hAnsiTheme="minorHAnsi"/>
          <w:sz w:val="14"/>
        </w:rPr>
        <w:t>Sąlyginė išvada</w:t>
      </w:r>
    </w:p>
    <w:p w14:paraId="6CBF8B26" w14:textId="4EF5A5C8" w:rsidR="003A7889" w:rsidRPr="0068532D" w:rsidRDefault="00B4437E" w:rsidP="0068532D">
      <w:pPr>
        <w:pStyle w:val="Pagrindinistekstas"/>
        <w:tabs>
          <w:tab w:val="left" w:pos="6096"/>
        </w:tabs>
        <w:ind w:left="101" w:right="-41"/>
        <w:jc w:val="both"/>
        <w:rPr>
          <w:rFonts w:asciiTheme="minorHAnsi" w:hAnsiTheme="minorHAnsi" w:cstheme="minorHAnsi"/>
          <w:sz w:val="14"/>
          <w:szCs w:val="14"/>
        </w:rPr>
      </w:pPr>
      <w:r>
        <w:rPr>
          <w:rFonts w:asciiTheme="minorHAnsi" w:hAnsiTheme="minorHAnsi"/>
          <w:sz w:val="14"/>
        </w:rPr>
        <w:t xml:space="preserve">Mes atlikome AS „Baltic </w:t>
      </w:r>
      <w:proofErr w:type="spellStart"/>
      <w:r>
        <w:rPr>
          <w:rFonts w:asciiTheme="minorHAnsi" w:hAnsiTheme="minorHAnsi"/>
          <w:sz w:val="14"/>
        </w:rPr>
        <w:t>Workboats</w:t>
      </w:r>
      <w:proofErr w:type="spellEnd"/>
      <w:r>
        <w:rPr>
          <w:rFonts w:asciiTheme="minorHAnsi" w:hAnsiTheme="minorHAnsi"/>
          <w:sz w:val="14"/>
        </w:rPr>
        <w:t>“ (toliau – Bendrovė) finansinių ataskaitų auditą, kurį sudaro 20</w:t>
      </w:r>
      <w:r w:rsidR="00113E8F">
        <w:rPr>
          <w:rFonts w:asciiTheme="minorHAnsi" w:hAnsiTheme="minorHAnsi"/>
          <w:sz w:val="14"/>
        </w:rPr>
        <w:t>2</w:t>
      </w:r>
      <w:r w:rsidR="00955CB2">
        <w:rPr>
          <w:rFonts w:asciiTheme="minorHAnsi" w:hAnsiTheme="minorHAnsi"/>
          <w:sz w:val="14"/>
        </w:rPr>
        <w:t>2</w:t>
      </w:r>
      <w:r>
        <w:rPr>
          <w:rFonts w:asciiTheme="minorHAnsi" w:hAnsiTheme="minorHAnsi"/>
          <w:sz w:val="14"/>
        </w:rPr>
        <w:t xml:space="preserve"> m. gruodžio 31 d. balansas, pelno (nuostolių) ataskaita, pinigų srautų ir nuosavo kapitalo pokyčių ataskaitos už nurodytą dieną pasibaigusius metus ir finansinių ataskaitų aiškinamasis raštas, apimantis reikšmingų apskaitos principų santrauką.</w:t>
      </w:r>
    </w:p>
    <w:p w14:paraId="33A6A0C2" w14:textId="4AFF5FFF" w:rsidR="003A7889" w:rsidRPr="0068532D" w:rsidRDefault="00113E8F" w:rsidP="0068532D">
      <w:pPr>
        <w:pStyle w:val="Pagrindinistekstas"/>
        <w:tabs>
          <w:tab w:val="left" w:pos="6096"/>
        </w:tabs>
        <w:spacing w:before="1"/>
        <w:ind w:left="101" w:hanging="1"/>
        <w:jc w:val="both"/>
        <w:rPr>
          <w:rFonts w:asciiTheme="minorHAnsi" w:hAnsiTheme="minorHAnsi" w:cstheme="minorHAnsi"/>
          <w:sz w:val="14"/>
          <w:szCs w:val="14"/>
        </w:rPr>
      </w:pPr>
      <w:r w:rsidRPr="00113E8F">
        <w:rPr>
          <w:rFonts w:asciiTheme="minorHAnsi" w:hAnsiTheme="minorHAnsi"/>
          <w:sz w:val="14"/>
        </w:rPr>
        <w:t>Mūsų nuomone, pridedamos finansinės ataskaitos visais reikšmingais atžvilgiais teisingai atspindi Bendrovės finansinę būklę 202</w:t>
      </w:r>
      <w:r w:rsidR="00955CB2">
        <w:rPr>
          <w:rFonts w:asciiTheme="minorHAnsi" w:hAnsiTheme="minorHAnsi"/>
          <w:sz w:val="14"/>
        </w:rPr>
        <w:t>2</w:t>
      </w:r>
      <w:r w:rsidRPr="00113E8F">
        <w:rPr>
          <w:rFonts w:asciiTheme="minorHAnsi" w:hAnsiTheme="minorHAnsi"/>
          <w:sz w:val="14"/>
        </w:rPr>
        <w:t xml:space="preserve"> m. gruodžio 31 d., jos finansinės veiklos rezultatus ir pinigų srautus už tą dieną pasibaigusius metus pagal Estijos finansinės atskaitomybės standartą</w:t>
      </w:r>
      <w:r w:rsidR="00B4437E">
        <w:rPr>
          <w:rFonts w:asciiTheme="minorHAnsi" w:hAnsiTheme="minorHAnsi"/>
          <w:sz w:val="14"/>
        </w:rPr>
        <w:t>.</w:t>
      </w:r>
    </w:p>
    <w:p w14:paraId="1A71F65D" w14:textId="77777777" w:rsidR="003A7889" w:rsidRPr="0068532D" w:rsidRDefault="003A7889" w:rsidP="0068532D">
      <w:pPr>
        <w:pStyle w:val="Pagrindinistekstas"/>
        <w:tabs>
          <w:tab w:val="left" w:pos="6096"/>
        </w:tabs>
        <w:spacing w:before="7"/>
        <w:jc w:val="both"/>
        <w:rPr>
          <w:rFonts w:asciiTheme="minorHAnsi" w:hAnsiTheme="minorHAnsi" w:cstheme="minorHAnsi"/>
          <w:sz w:val="12"/>
          <w:szCs w:val="14"/>
        </w:rPr>
      </w:pPr>
    </w:p>
    <w:p w14:paraId="210516FE" w14:textId="77777777" w:rsidR="003A7889" w:rsidRPr="0068532D" w:rsidRDefault="00B4437E" w:rsidP="0068532D">
      <w:pPr>
        <w:pStyle w:val="Antrat1"/>
        <w:tabs>
          <w:tab w:val="left" w:pos="6096"/>
        </w:tabs>
        <w:jc w:val="both"/>
        <w:rPr>
          <w:rFonts w:asciiTheme="minorHAnsi" w:hAnsiTheme="minorHAnsi" w:cstheme="minorHAnsi"/>
          <w:sz w:val="14"/>
          <w:szCs w:val="14"/>
        </w:rPr>
      </w:pPr>
      <w:bookmarkStart w:id="1" w:name="Basis_for_Qualified_Opinion"/>
      <w:bookmarkEnd w:id="1"/>
      <w:r>
        <w:rPr>
          <w:rFonts w:asciiTheme="minorHAnsi" w:hAnsiTheme="minorHAnsi"/>
          <w:sz w:val="14"/>
        </w:rPr>
        <w:t>Sąlyginės išvados pagrindas</w:t>
      </w:r>
    </w:p>
    <w:p w14:paraId="6FA74494" w14:textId="77777777" w:rsidR="003A7889" w:rsidRPr="0068532D" w:rsidRDefault="00B4437E" w:rsidP="0068532D">
      <w:pPr>
        <w:pStyle w:val="Pagrindinistekstas"/>
        <w:tabs>
          <w:tab w:val="left" w:pos="6096"/>
        </w:tabs>
        <w:ind w:left="101" w:right="-41"/>
        <w:jc w:val="both"/>
        <w:rPr>
          <w:rFonts w:asciiTheme="minorHAnsi" w:hAnsiTheme="minorHAnsi" w:cstheme="minorHAnsi"/>
          <w:sz w:val="14"/>
          <w:szCs w:val="14"/>
        </w:rPr>
      </w:pPr>
      <w:r>
        <w:rPr>
          <w:rFonts w:asciiTheme="minorHAnsi" w:hAnsiTheme="minorHAnsi"/>
          <w:sz w:val="14"/>
        </w:rPr>
        <w:t xml:space="preserve">Mes atlikome auditą vadovaudamiesi Tarptautiniais audito standartais (Estija). Mūsų atsakomybė pagal šiuos standartus išsamiau aprašyta tolesniame šios ataskaitos skirsnyje </w:t>
      </w:r>
      <w:r>
        <w:rPr>
          <w:rFonts w:asciiTheme="minorHAnsi" w:hAnsiTheme="minorHAnsi"/>
          <w:i/>
          <w:iCs/>
          <w:sz w:val="14"/>
        </w:rPr>
        <w:t>Auditorių atsakomybė už finansinės atskaitomybės auditą</w:t>
      </w:r>
      <w:r>
        <w:rPr>
          <w:rFonts w:asciiTheme="minorHAnsi" w:hAnsiTheme="minorHAnsi"/>
          <w:sz w:val="14"/>
        </w:rPr>
        <w:t>. Esame nepriklausomi nuo Bendrovės pagal Estijos buhalterių profesionalų etikos kodeksą (toliau – Etikos kodeksas (EE)), ir kitus savo etinius įsipareigojimus vykdome pagal Etikos kodekso (EE) reikalavimus. Manome, kad gauti audito įrodymai pakankami ir tinkami sąlyginei audito išvadai pagrįsti.</w:t>
      </w:r>
    </w:p>
    <w:p w14:paraId="7EFED8AC" w14:textId="77777777" w:rsidR="003A7889" w:rsidRPr="0068532D" w:rsidRDefault="003A7889" w:rsidP="0068532D">
      <w:pPr>
        <w:pStyle w:val="Pagrindinistekstas"/>
        <w:tabs>
          <w:tab w:val="left" w:pos="6096"/>
        </w:tabs>
        <w:spacing w:before="10"/>
        <w:jc w:val="both"/>
        <w:rPr>
          <w:rFonts w:asciiTheme="minorHAnsi" w:hAnsiTheme="minorHAnsi" w:cstheme="minorHAnsi"/>
          <w:sz w:val="12"/>
          <w:szCs w:val="14"/>
        </w:rPr>
      </w:pPr>
    </w:p>
    <w:p w14:paraId="11CB48E1" w14:textId="77777777" w:rsidR="003A7889" w:rsidRPr="0068532D" w:rsidRDefault="00B4437E" w:rsidP="0068532D">
      <w:pPr>
        <w:pStyle w:val="Antrat1"/>
        <w:tabs>
          <w:tab w:val="left" w:pos="6096"/>
        </w:tabs>
        <w:spacing w:before="0"/>
        <w:jc w:val="both"/>
        <w:rPr>
          <w:rFonts w:asciiTheme="minorHAnsi" w:hAnsiTheme="minorHAnsi" w:cstheme="minorHAnsi"/>
          <w:sz w:val="14"/>
          <w:szCs w:val="14"/>
        </w:rPr>
      </w:pPr>
      <w:bookmarkStart w:id="2" w:name="Other_Information"/>
      <w:bookmarkEnd w:id="2"/>
      <w:r>
        <w:rPr>
          <w:rFonts w:asciiTheme="minorHAnsi" w:hAnsiTheme="minorHAnsi"/>
          <w:sz w:val="14"/>
        </w:rPr>
        <w:t>Kita informacija</w:t>
      </w:r>
    </w:p>
    <w:p w14:paraId="11B16641" w14:textId="77777777" w:rsidR="00851A29" w:rsidRDefault="00B4437E" w:rsidP="0068532D">
      <w:pPr>
        <w:pStyle w:val="Pagrindinistekstas"/>
        <w:tabs>
          <w:tab w:val="left" w:pos="6096"/>
        </w:tabs>
        <w:spacing w:before="1"/>
        <w:ind w:left="101" w:right="-41"/>
        <w:jc w:val="both"/>
        <w:rPr>
          <w:rFonts w:asciiTheme="minorHAnsi" w:hAnsiTheme="minorHAnsi"/>
          <w:sz w:val="14"/>
        </w:rPr>
      </w:pPr>
      <w:r>
        <w:rPr>
          <w:rFonts w:asciiTheme="minorHAnsi" w:hAnsiTheme="minorHAnsi"/>
          <w:sz w:val="14"/>
        </w:rPr>
        <w:t xml:space="preserve">Už kitos informacijos pateikimą atsako vadovybė. Kitą informaciją sudaro vadovybės ataskaita, tačiau ji neapima finansinių ataskaitų ir mūsų auditoriaus išvados. </w:t>
      </w:r>
    </w:p>
    <w:p w14:paraId="41239E08" w14:textId="77777777" w:rsidR="00851A29" w:rsidRDefault="00851A29" w:rsidP="0068532D">
      <w:pPr>
        <w:pStyle w:val="Pagrindinistekstas"/>
        <w:tabs>
          <w:tab w:val="left" w:pos="6096"/>
        </w:tabs>
        <w:spacing w:before="1"/>
        <w:ind w:left="101" w:right="-41"/>
        <w:jc w:val="both"/>
        <w:rPr>
          <w:rFonts w:asciiTheme="minorHAnsi" w:hAnsiTheme="minorHAnsi"/>
          <w:sz w:val="14"/>
        </w:rPr>
      </w:pPr>
    </w:p>
    <w:p w14:paraId="266BD610" w14:textId="5DAC96D7" w:rsidR="003A7889" w:rsidRDefault="00B4437E" w:rsidP="0068532D">
      <w:pPr>
        <w:pStyle w:val="Pagrindinistekstas"/>
        <w:tabs>
          <w:tab w:val="left" w:pos="6096"/>
        </w:tabs>
        <w:spacing w:before="1"/>
        <w:ind w:left="101" w:right="-41"/>
        <w:jc w:val="both"/>
        <w:rPr>
          <w:rFonts w:asciiTheme="minorHAnsi" w:hAnsiTheme="minorHAnsi"/>
          <w:sz w:val="14"/>
        </w:rPr>
      </w:pPr>
      <w:r>
        <w:rPr>
          <w:rFonts w:asciiTheme="minorHAnsi" w:hAnsiTheme="minorHAnsi"/>
          <w:sz w:val="14"/>
        </w:rPr>
        <w:t>Mūsų išvada dėl finansinės atskaitomybės neapima kitos informacijos, ir mes neteikiame jokios formos išvados apie jos patikimumą.</w:t>
      </w:r>
    </w:p>
    <w:p w14:paraId="40FC3EB6" w14:textId="77777777" w:rsidR="00851A29" w:rsidRPr="0068532D" w:rsidRDefault="00851A29" w:rsidP="0068532D">
      <w:pPr>
        <w:pStyle w:val="Pagrindinistekstas"/>
        <w:tabs>
          <w:tab w:val="left" w:pos="6096"/>
        </w:tabs>
        <w:spacing w:before="1"/>
        <w:ind w:left="101" w:right="-41"/>
        <w:jc w:val="both"/>
        <w:rPr>
          <w:rFonts w:asciiTheme="minorHAnsi" w:hAnsiTheme="minorHAnsi" w:cstheme="minorHAnsi"/>
          <w:sz w:val="14"/>
          <w:szCs w:val="14"/>
        </w:rPr>
      </w:pPr>
    </w:p>
    <w:p w14:paraId="11FFFA82" w14:textId="22A55AA4" w:rsidR="003A7889" w:rsidRDefault="00B4437E" w:rsidP="0068532D">
      <w:pPr>
        <w:pStyle w:val="Pagrindinistekstas"/>
        <w:tabs>
          <w:tab w:val="left" w:pos="6096"/>
        </w:tabs>
        <w:ind w:left="101" w:right="-41"/>
        <w:jc w:val="both"/>
        <w:rPr>
          <w:rFonts w:asciiTheme="minorHAnsi" w:hAnsiTheme="minorHAnsi"/>
          <w:sz w:val="14"/>
        </w:rPr>
      </w:pPr>
      <w:r>
        <w:rPr>
          <w:rFonts w:asciiTheme="minorHAnsi" w:hAnsiTheme="minorHAnsi"/>
          <w:sz w:val="14"/>
        </w:rPr>
        <w:t>Atlikdami šios finansinės atskaitomybės auditą mes privalome perskaityti ir minėtą kitą informaciją bei nustatyti, ar ši informacija nėra iš esmės nesuderinama su finansine atskaitomybe arba audito metu gautomis mūsų žiniomis, ir ar ji kitaip nėra iš esmės netiksli.</w:t>
      </w:r>
      <w:r w:rsidR="00851A29">
        <w:rPr>
          <w:rFonts w:asciiTheme="minorHAnsi" w:hAnsiTheme="minorHAnsi"/>
          <w:sz w:val="14"/>
        </w:rPr>
        <w:t xml:space="preserve"> </w:t>
      </w:r>
      <w:r w:rsidR="00851A29" w:rsidRPr="00851A29">
        <w:rPr>
          <w:rFonts w:asciiTheme="minorHAnsi" w:hAnsiTheme="minorHAnsi"/>
          <w:sz w:val="14"/>
        </w:rPr>
        <w:t>Be to, mūsų pareiga yra nustatyti, ar informacija, pateikta vadovybės ataskaitoje, buvo parengta pagal taikomus teisinius ir norminius reikalavimus.</w:t>
      </w:r>
    </w:p>
    <w:p w14:paraId="6BEA1F70" w14:textId="77777777" w:rsidR="00851A29" w:rsidRPr="0068532D" w:rsidRDefault="00851A29" w:rsidP="0068532D">
      <w:pPr>
        <w:pStyle w:val="Pagrindinistekstas"/>
        <w:tabs>
          <w:tab w:val="left" w:pos="6096"/>
        </w:tabs>
        <w:ind w:left="101" w:right="-41"/>
        <w:jc w:val="both"/>
        <w:rPr>
          <w:rFonts w:asciiTheme="minorHAnsi" w:hAnsiTheme="minorHAnsi" w:cstheme="minorHAnsi"/>
          <w:sz w:val="14"/>
          <w:szCs w:val="14"/>
        </w:rPr>
      </w:pPr>
    </w:p>
    <w:p w14:paraId="08777F59" w14:textId="24373D9D" w:rsidR="003A7889" w:rsidRPr="0068532D" w:rsidRDefault="00B4437E" w:rsidP="0068532D">
      <w:pPr>
        <w:pStyle w:val="Pagrindinistekstas"/>
        <w:tabs>
          <w:tab w:val="left" w:pos="6096"/>
        </w:tabs>
        <w:ind w:left="101" w:right="-41"/>
        <w:jc w:val="both"/>
        <w:rPr>
          <w:rFonts w:asciiTheme="minorHAnsi" w:hAnsiTheme="minorHAnsi" w:cstheme="minorHAnsi"/>
          <w:sz w:val="14"/>
          <w:szCs w:val="28"/>
        </w:rPr>
      </w:pPr>
      <w:r>
        <w:rPr>
          <w:rFonts w:asciiTheme="minorHAnsi" w:hAnsiTheme="minorHAnsi"/>
          <w:sz w:val="14"/>
        </w:rPr>
        <w:t xml:space="preserve">Jeigu remiantis mūsų atliktu darbu mes padarysime išvadą, kad minėtoje kitoje informacijoje yra reikšmingų netikslumų, privalėsime apie tai pranešti. </w:t>
      </w:r>
      <w:r w:rsidR="00851A29" w:rsidRPr="00851A29">
        <w:rPr>
          <w:rFonts w:asciiTheme="minorHAnsi" w:hAnsiTheme="minorHAnsi"/>
          <w:sz w:val="14"/>
        </w:rPr>
        <w:t>Šiuo atžvilgiu neturime nieko, ką galėtume pateikti, ir teigiame, kad vadovybės ataskaitoje pateikta informacija iš esmės atitinka finansinę atskaitomybę ir taikytinus teisinius ir norminius reikalavimus.</w:t>
      </w:r>
    </w:p>
    <w:p w14:paraId="6B5D3F8A" w14:textId="77777777" w:rsidR="003A7889" w:rsidRPr="0068532D" w:rsidRDefault="003A7889" w:rsidP="0068532D">
      <w:pPr>
        <w:pStyle w:val="Pagrindinistekstas"/>
        <w:tabs>
          <w:tab w:val="left" w:pos="6096"/>
        </w:tabs>
        <w:spacing w:before="3"/>
        <w:jc w:val="both"/>
        <w:rPr>
          <w:rFonts w:asciiTheme="minorHAnsi" w:hAnsiTheme="minorHAnsi" w:cstheme="minorHAnsi"/>
          <w:sz w:val="16"/>
          <w:szCs w:val="14"/>
        </w:rPr>
      </w:pPr>
    </w:p>
    <w:p w14:paraId="735B7289" w14:textId="77777777" w:rsidR="003A7889" w:rsidRPr="0068532D" w:rsidRDefault="00B4437E" w:rsidP="0068532D">
      <w:pPr>
        <w:pStyle w:val="Antrat1"/>
        <w:tabs>
          <w:tab w:val="left" w:pos="6096"/>
        </w:tabs>
        <w:jc w:val="both"/>
        <w:rPr>
          <w:rFonts w:asciiTheme="minorHAnsi" w:hAnsiTheme="minorHAnsi" w:cstheme="minorHAnsi"/>
          <w:sz w:val="14"/>
          <w:szCs w:val="14"/>
        </w:rPr>
      </w:pPr>
      <w:bookmarkStart w:id="3" w:name="Responsibilities_of_Management_and_Those"/>
      <w:bookmarkEnd w:id="3"/>
      <w:r>
        <w:rPr>
          <w:rFonts w:asciiTheme="minorHAnsi" w:hAnsiTheme="minorHAnsi"/>
          <w:sz w:val="14"/>
        </w:rPr>
        <w:t>Vadovybės ir už šios finansinės atskaitomybės parengimą atsakingų asmenų atsakomybė</w:t>
      </w:r>
    </w:p>
    <w:p w14:paraId="1524266A" w14:textId="78A4285A" w:rsidR="003A7889" w:rsidRDefault="00B4437E" w:rsidP="0068532D">
      <w:pPr>
        <w:pStyle w:val="Pagrindinistekstas"/>
        <w:tabs>
          <w:tab w:val="left" w:pos="6096"/>
        </w:tabs>
        <w:ind w:left="101" w:right="-41"/>
        <w:jc w:val="both"/>
        <w:rPr>
          <w:rFonts w:asciiTheme="minorHAnsi" w:hAnsiTheme="minorHAnsi"/>
          <w:sz w:val="14"/>
        </w:rPr>
      </w:pPr>
      <w:r>
        <w:rPr>
          <w:rFonts w:asciiTheme="minorHAnsi" w:hAnsiTheme="minorHAnsi"/>
          <w:sz w:val="14"/>
        </w:rPr>
        <w:t>Vadovybė yra atsakinga už šios finansinės atskaitomybės parengimą ir teisingą pateikimą pagal Estijos finansinės atskaitomybės standartą ir tokią vidaus kontrolę, kokia, vadovybės nuomone, yra būtina šiai finansinei atskaitomybei parengti be reikšmingų iškraipymų dėl apgaulės ar klaidų.</w:t>
      </w:r>
    </w:p>
    <w:p w14:paraId="4CACFCF4" w14:textId="77777777" w:rsidR="007F7703" w:rsidRPr="0068532D" w:rsidRDefault="007F7703" w:rsidP="0068532D">
      <w:pPr>
        <w:pStyle w:val="Pagrindinistekstas"/>
        <w:tabs>
          <w:tab w:val="left" w:pos="6096"/>
        </w:tabs>
        <w:ind w:left="101" w:right="-41"/>
        <w:jc w:val="both"/>
        <w:rPr>
          <w:rFonts w:asciiTheme="minorHAnsi" w:hAnsiTheme="minorHAnsi" w:cstheme="minorHAnsi"/>
          <w:sz w:val="14"/>
          <w:szCs w:val="14"/>
        </w:rPr>
      </w:pPr>
    </w:p>
    <w:p w14:paraId="555C3524" w14:textId="77777777" w:rsidR="003A7889" w:rsidRPr="0068532D" w:rsidRDefault="00B4437E" w:rsidP="0068532D">
      <w:pPr>
        <w:pStyle w:val="Pagrindinistekstas"/>
        <w:tabs>
          <w:tab w:val="left" w:pos="6096"/>
        </w:tabs>
        <w:ind w:left="101" w:right="-41"/>
        <w:jc w:val="both"/>
        <w:rPr>
          <w:rFonts w:asciiTheme="minorHAnsi" w:hAnsiTheme="minorHAnsi" w:cstheme="minorHAnsi"/>
          <w:sz w:val="14"/>
          <w:szCs w:val="14"/>
        </w:rPr>
      </w:pPr>
      <w:r>
        <w:rPr>
          <w:rFonts w:asciiTheme="minorHAnsi" w:hAnsiTheme="minorHAnsi"/>
          <w:sz w:val="14"/>
        </w:rPr>
        <w:t>Rengdama šią finansinę atskaitomybę vadovybė privalo įvertinti Bendrovės gebėjimą tęsti veiklą, ir, jeigu reikia, atskleisti veiklos tęstinumo užtikrinimui svarbius dalykus bei remtis veiklos tęstinumo apskaitos pagrindu išskyrus tuos atvejus, kai vadovybė ketina likviduoti Bendrovę arba nutraukti jos veiklą, arba neturi realių galimybių to išvengti.</w:t>
      </w:r>
    </w:p>
    <w:p w14:paraId="4BD87188" w14:textId="77777777" w:rsidR="003A7889" w:rsidRPr="0068532D" w:rsidRDefault="00B4437E" w:rsidP="0068532D">
      <w:pPr>
        <w:pStyle w:val="Pagrindinistekstas"/>
        <w:tabs>
          <w:tab w:val="left" w:pos="6096"/>
        </w:tabs>
        <w:spacing w:before="1"/>
        <w:ind w:left="101"/>
        <w:jc w:val="both"/>
        <w:rPr>
          <w:rFonts w:asciiTheme="minorHAnsi" w:hAnsiTheme="minorHAnsi" w:cstheme="minorHAnsi"/>
          <w:sz w:val="14"/>
          <w:szCs w:val="14"/>
        </w:rPr>
      </w:pPr>
      <w:r>
        <w:rPr>
          <w:rFonts w:asciiTheme="minorHAnsi" w:hAnsiTheme="minorHAnsi"/>
          <w:sz w:val="14"/>
        </w:rPr>
        <w:t>Už vadovavimą atsakingi asmenys privalo prižiūrėti Bendrovės finansinės atskaitomybės procesą.</w:t>
      </w:r>
    </w:p>
    <w:p w14:paraId="498846F9" w14:textId="77777777" w:rsidR="003A7889" w:rsidRPr="0068532D" w:rsidRDefault="003A7889" w:rsidP="0068532D">
      <w:pPr>
        <w:pStyle w:val="Pagrindinistekstas"/>
        <w:tabs>
          <w:tab w:val="left" w:pos="6096"/>
        </w:tabs>
        <w:spacing w:before="3"/>
        <w:jc w:val="both"/>
        <w:rPr>
          <w:rFonts w:asciiTheme="minorHAnsi" w:hAnsiTheme="minorHAnsi" w:cstheme="minorHAnsi"/>
          <w:sz w:val="16"/>
          <w:szCs w:val="14"/>
        </w:rPr>
      </w:pPr>
    </w:p>
    <w:p w14:paraId="0C178CC3" w14:textId="77777777" w:rsidR="003A7889" w:rsidRPr="0068532D" w:rsidRDefault="00B4437E" w:rsidP="0068532D">
      <w:pPr>
        <w:pStyle w:val="Antrat1"/>
        <w:tabs>
          <w:tab w:val="left" w:pos="6096"/>
        </w:tabs>
        <w:spacing w:before="0"/>
        <w:jc w:val="both"/>
        <w:rPr>
          <w:rFonts w:asciiTheme="minorHAnsi" w:hAnsiTheme="minorHAnsi" w:cstheme="minorHAnsi"/>
          <w:sz w:val="14"/>
          <w:szCs w:val="14"/>
        </w:rPr>
      </w:pPr>
      <w:bookmarkStart w:id="4" w:name="Auditor’s_Responsibilities_for_the_Audit"/>
      <w:bookmarkEnd w:id="4"/>
      <w:r>
        <w:rPr>
          <w:rFonts w:asciiTheme="minorHAnsi" w:hAnsiTheme="minorHAnsi"/>
          <w:sz w:val="14"/>
        </w:rPr>
        <w:t>Auditorių atsakomybė už finansinės atskaitomybės auditą</w:t>
      </w:r>
    </w:p>
    <w:p w14:paraId="06238963" w14:textId="62D104CD" w:rsidR="003A7889" w:rsidRDefault="00B4437E" w:rsidP="0068532D">
      <w:pPr>
        <w:pStyle w:val="Pagrindinistekstas"/>
        <w:tabs>
          <w:tab w:val="left" w:pos="6096"/>
        </w:tabs>
        <w:spacing w:before="1"/>
        <w:ind w:left="101" w:right="101"/>
        <w:jc w:val="both"/>
        <w:rPr>
          <w:rFonts w:asciiTheme="minorHAnsi" w:hAnsiTheme="minorHAnsi"/>
          <w:sz w:val="14"/>
        </w:rPr>
      </w:pPr>
      <w:r>
        <w:rPr>
          <w:rFonts w:asciiTheme="minorHAnsi" w:hAnsiTheme="minorHAnsi"/>
          <w:sz w:val="14"/>
        </w:rPr>
        <w:t>Mūsų pareiga yra pareikšti pagrįstą nuomonę apie tai, ar finansinėje atskaitomybėje, kaip visumoje, nėra sukčiavimo arba klaidų, bei auditorių ataskaitoje pateikti audito išvadą. Pagrįsta nuomonė reiškia aukštesnį užtikrinimo lygį, bet tai negarantuoja, kad pagal Tarptautinius audito standartus (Estijos) atlikto audito metu bus aptikti visi reikšmingi netikslumai, jeigu tokių yra. Netikslumai gali būti įtraukti dėl sukčiavimo arba klaidos ir jie laikomi reikšmingais, jeigu, vertinant atskirai arba bendrai, galima pagrįstai numatyti, kad jie turės įtakos vadovaujantis šia finansine atskaitomybe priimtiems finansiniams sprendimams.</w:t>
      </w:r>
    </w:p>
    <w:p w14:paraId="07B229AE" w14:textId="77777777" w:rsidR="007F7703" w:rsidRPr="0068532D" w:rsidRDefault="007F7703" w:rsidP="0068532D">
      <w:pPr>
        <w:pStyle w:val="Pagrindinistekstas"/>
        <w:tabs>
          <w:tab w:val="left" w:pos="6096"/>
        </w:tabs>
        <w:spacing w:before="1"/>
        <w:ind w:left="101" w:right="101"/>
        <w:jc w:val="both"/>
        <w:rPr>
          <w:rFonts w:asciiTheme="minorHAnsi" w:hAnsiTheme="minorHAnsi" w:cstheme="minorHAnsi"/>
          <w:sz w:val="14"/>
          <w:szCs w:val="14"/>
        </w:rPr>
      </w:pPr>
    </w:p>
    <w:p w14:paraId="509F89CA" w14:textId="77777777" w:rsidR="003A7889" w:rsidRPr="0068532D" w:rsidRDefault="00B4437E" w:rsidP="0068532D">
      <w:pPr>
        <w:pStyle w:val="Pagrindinistekstas"/>
        <w:tabs>
          <w:tab w:val="left" w:pos="6096"/>
        </w:tabs>
        <w:ind w:left="101"/>
        <w:jc w:val="both"/>
        <w:rPr>
          <w:rFonts w:asciiTheme="minorHAnsi" w:hAnsiTheme="minorHAnsi" w:cstheme="minorHAnsi"/>
          <w:sz w:val="14"/>
          <w:szCs w:val="14"/>
        </w:rPr>
      </w:pPr>
      <w:r>
        <w:rPr>
          <w:rFonts w:asciiTheme="minorHAnsi" w:hAnsiTheme="minorHAnsi"/>
          <w:sz w:val="14"/>
        </w:rPr>
        <w:t>Atlikdami auditą pagal Tarptautinius audito standartus (Estijos) mes priimame sprendimus kaip profesionalai ir viso audito metu išlaikome profesinį skepticizmą. Mes taip pat turime:</w:t>
      </w:r>
    </w:p>
    <w:p w14:paraId="1375EDAA" w14:textId="141342F2" w:rsidR="003A7889" w:rsidRPr="0068532D" w:rsidRDefault="00B4437E" w:rsidP="0068532D">
      <w:pPr>
        <w:pStyle w:val="Sraopastraipa"/>
        <w:numPr>
          <w:ilvl w:val="0"/>
          <w:numId w:val="1"/>
        </w:numPr>
        <w:tabs>
          <w:tab w:val="left" w:pos="167"/>
          <w:tab w:val="left" w:pos="6096"/>
        </w:tabs>
        <w:spacing w:before="39"/>
        <w:ind w:hanging="1"/>
        <w:rPr>
          <w:rFonts w:asciiTheme="minorHAnsi" w:hAnsiTheme="minorHAnsi" w:cstheme="minorHAnsi"/>
          <w:sz w:val="14"/>
          <w:szCs w:val="28"/>
        </w:rPr>
      </w:pPr>
      <w:r>
        <w:rPr>
          <w:rFonts w:asciiTheme="minorHAnsi" w:hAnsiTheme="minorHAnsi"/>
          <w:sz w:val="14"/>
        </w:rPr>
        <w:t>nustatyti ir įvertinti reikšmingų netikslumų finansinėje atskaitomybėje riziką, kuri</w:t>
      </w:r>
      <w:r w:rsidR="003450C9">
        <w:rPr>
          <w:rFonts w:asciiTheme="minorHAnsi" w:hAnsiTheme="minorHAnsi"/>
          <w:sz w:val="14"/>
        </w:rPr>
        <w:t>e</w:t>
      </w:r>
      <w:r>
        <w:rPr>
          <w:rFonts w:asciiTheme="minorHAnsi" w:hAnsiTheme="minorHAnsi"/>
          <w:sz w:val="14"/>
        </w:rPr>
        <w:t xml:space="preserve"> gali būti įtraukti dėl sukčiavimo arba klaidos, paruošti ir atlikti audito procedūras, atitinkančias šią riziką, ir gauti audito įrodymų, kurie būtų pakankamas ir tinkamas pagrindas audito išvadai pareikšti. Rizika neaptikti reikšminių netikslumų, kurie finansinėje atskaitomybėje atsirado dėl sukčiavimo, yra didesnė, negu patekusių į atskaitomybę dėl klaidos, nes sukčiavimas gali apimti slaptą susitarimą, klastojimą, sąmoningą nuslėpimą, iškraipymus arba vidaus kontrolės nepaisymą;</w:t>
      </w:r>
    </w:p>
    <w:p w14:paraId="2E2B6016" w14:textId="77777777" w:rsidR="003A7889" w:rsidRPr="0068532D" w:rsidRDefault="00B4437E" w:rsidP="0068532D">
      <w:pPr>
        <w:pStyle w:val="Sraopastraipa"/>
        <w:numPr>
          <w:ilvl w:val="0"/>
          <w:numId w:val="1"/>
        </w:numPr>
        <w:tabs>
          <w:tab w:val="left" w:pos="167"/>
          <w:tab w:val="left" w:pos="6096"/>
        </w:tabs>
        <w:ind w:firstLine="0"/>
        <w:rPr>
          <w:rFonts w:asciiTheme="minorHAnsi" w:hAnsiTheme="minorHAnsi" w:cstheme="minorHAnsi"/>
          <w:sz w:val="14"/>
          <w:szCs w:val="28"/>
        </w:rPr>
      </w:pPr>
      <w:r>
        <w:rPr>
          <w:rFonts w:asciiTheme="minorHAnsi" w:hAnsiTheme="minorHAnsi"/>
          <w:sz w:val="14"/>
        </w:rPr>
        <w:t>suprasti su auditu susijusią vidaus kontrolę siekiant parinkti konkrečioms aplinkybėms tinkamas audito procedūras, bet ne siekiant pareikšti nuomonę dėl Bendrovės vidaus kontrolės;</w:t>
      </w:r>
    </w:p>
    <w:p w14:paraId="5111F0DA" w14:textId="77777777" w:rsidR="003A7889" w:rsidRPr="0068532D" w:rsidRDefault="00B4437E" w:rsidP="0068532D">
      <w:pPr>
        <w:pStyle w:val="Sraopastraipa"/>
        <w:numPr>
          <w:ilvl w:val="0"/>
          <w:numId w:val="1"/>
        </w:numPr>
        <w:tabs>
          <w:tab w:val="left" w:pos="167"/>
          <w:tab w:val="left" w:pos="6096"/>
        </w:tabs>
        <w:ind w:left="166" w:hanging="66"/>
        <w:rPr>
          <w:rFonts w:asciiTheme="minorHAnsi" w:hAnsiTheme="minorHAnsi" w:cstheme="minorHAnsi"/>
          <w:sz w:val="14"/>
          <w:szCs w:val="28"/>
        </w:rPr>
      </w:pPr>
      <w:r>
        <w:rPr>
          <w:rFonts w:asciiTheme="minorHAnsi" w:hAnsiTheme="minorHAnsi"/>
          <w:sz w:val="14"/>
        </w:rPr>
        <w:t>įvertinti taikomos apskaitos politikos tinkamumą ir apskaitinių įvertinimų bei susijusios vadovybės atskleistos informacijos pagrįstumą;</w:t>
      </w:r>
    </w:p>
    <w:p w14:paraId="3851B243" w14:textId="77777777" w:rsidR="003A7889" w:rsidRPr="0068532D" w:rsidRDefault="00B4437E" w:rsidP="0068532D">
      <w:pPr>
        <w:pStyle w:val="Sraopastraipa"/>
        <w:numPr>
          <w:ilvl w:val="0"/>
          <w:numId w:val="1"/>
        </w:numPr>
        <w:tabs>
          <w:tab w:val="left" w:pos="167"/>
          <w:tab w:val="left" w:pos="6096"/>
        </w:tabs>
        <w:spacing w:before="37"/>
        <w:ind w:firstLine="0"/>
        <w:rPr>
          <w:rFonts w:asciiTheme="minorHAnsi" w:hAnsiTheme="minorHAnsi" w:cstheme="minorHAnsi"/>
          <w:sz w:val="14"/>
          <w:szCs w:val="28"/>
        </w:rPr>
      </w:pPr>
      <w:r>
        <w:rPr>
          <w:rFonts w:asciiTheme="minorHAnsi" w:hAnsiTheme="minorHAnsi"/>
          <w:sz w:val="14"/>
        </w:rPr>
        <w:t>remdamiesi gautais audito įrodymais padaryti išvadas dėl to, ar vadovybė tinkamai remiasi veiklos tęstinumo prielaida, ir ar nėra esminių neapibrėžtumų, susijusių su įvykiais ar sąlygomis, kurie gali sukelti didelių abejonių dėl Bendrovės galimybių tęsti veiklą. Jeigu mes padarysime išvadą, kad esminiai neapibrėžtumai egzistuoja, audito ataskaitoje turėsime atkreipti dėmesį į atitinkamą finansinėse ataskaitose atskleistą informaciją arba, jeigu atskleidimas nepakankamas, pakeisti audito išvadą. Mūsų išvados grindžiamos iki audito ataskaitos pateikimo dienos gautais audito įrodymais, tačiau būsimieji įvykiai ar sąlygos gali lemti tai, kad Bendrovė nustos tęsti veiklą;</w:t>
      </w:r>
    </w:p>
    <w:p w14:paraId="313090BA" w14:textId="77777777" w:rsidR="003A7889" w:rsidRPr="0068532D" w:rsidRDefault="00B4437E" w:rsidP="0068532D">
      <w:pPr>
        <w:pStyle w:val="Sraopastraipa"/>
        <w:numPr>
          <w:ilvl w:val="0"/>
          <w:numId w:val="1"/>
        </w:numPr>
        <w:tabs>
          <w:tab w:val="left" w:pos="167"/>
          <w:tab w:val="left" w:pos="6096"/>
        </w:tabs>
        <w:ind w:firstLine="0"/>
        <w:rPr>
          <w:rFonts w:asciiTheme="minorHAnsi" w:hAnsiTheme="minorHAnsi" w:cstheme="minorHAnsi"/>
          <w:sz w:val="14"/>
          <w:szCs w:val="28"/>
        </w:rPr>
      </w:pPr>
      <w:r>
        <w:rPr>
          <w:rFonts w:asciiTheme="minorHAnsi" w:hAnsiTheme="minorHAnsi"/>
          <w:sz w:val="14"/>
        </w:rPr>
        <w:t>įvertinti bendrą finansinių ataskaitų pateikimą, struktūrą ir turinį, įskaitant jose atskleistą informaciją, ir tai, ar pirminiai sandoriai ir įvykiai finansinėje atskaitomybėje atsispindi taip, kad joje būtų pateiktas teisingas vaizdas.</w:t>
      </w:r>
    </w:p>
    <w:p w14:paraId="2F2D07FD" w14:textId="77777777" w:rsidR="003A7889" w:rsidRPr="0068532D" w:rsidRDefault="003A7889" w:rsidP="0068532D">
      <w:pPr>
        <w:pStyle w:val="Pagrindinistekstas"/>
        <w:tabs>
          <w:tab w:val="left" w:pos="6096"/>
        </w:tabs>
        <w:spacing w:before="10"/>
        <w:jc w:val="both"/>
        <w:rPr>
          <w:rFonts w:asciiTheme="minorHAnsi" w:hAnsiTheme="minorHAnsi" w:cstheme="minorHAnsi"/>
          <w:sz w:val="16"/>
          <w:szCs w:val="14"/>
        </w:rPr>
      </w:pPr>
    </w:p>
    <w:p w14:paraId="6D983545" w14:textId="77777777" w:rsidR="003A7889" w:rsidRPr="0068532D" w:rsidRDefault="00B4437E" w:rsidP="0068532D">
      <w:pPr>
        <w:pStyle w:val="Pagrindinistekstas"/>
        <w:tabs>
          <w:tab w:val="left" w:pos="6096"/>
        </w:tabs>
        <w:ind w:left="101"/>
        <w:jc w:val="both"/>
        <w:rPr>
          <w:rFonts w:asciiTheme="minorHAnsi" w:hAnsiTheme="minorHAnsi" w:cstheme="minorHAnsi"/>
          <w:sz w:val="14"/>
          <w:szCs w:val="14"/>
        </w:rPr>
      </w:pPr>
      <w:r>
        <w:rPr>
          <w:rFonts w:asciiTheme="minorHAnsi" w:hAnsiTheme="minorHAnsi"/>
          <w:sz w:val="14"/>
        </w:rPr>
        <w:t>Už finansinės atskaitomybės parengimą atsakingiems asmenims mes, be kita ko, pranešame apie planuojamą audito aprėptį ir atlikimo laiką bei reikšmingus audito metu nustatytus faktus, įskaitant bet kokius didelius vidaus kontrolės trūkumus, kuriuos nustatėme atlikdami auditą.</w:t>
      </w:r>
    </w:p>
    <w:p w14:paraId="55EC1944" w14:textId="77777777" w:rsidR="003A7889" w:rsidRPr="0068532D" w:rsidRDefault="003A7889" w:rsidP="0068532D">
      <w:pPr>
        <w:pStyle w:val="Pagrindinistekstas"/>
        <w:tabs>
          <w:tab w:val="left" w:pos="6096"/>
        </w:tabs>
        <w:spacing w:before="2"/>
        <w:jc w:val="both"/>
        <w:rPr>
          <w:rFonts w:asciiTheme="minorHAnsi" w:hAnsiTheme="minorHAnsi" w:cstheme="minorHAnsi"/>
          <w:sz w:val="13"/>
          <w:szCs w:val="14"/>
        </w:rPr>
      </w:pPr>
    </w:p>
    <w:p w14:paraId="66C7CE14" w14:textId="77777777" w:rsidR="007F7703" w:rsidRDefault="007F7703" w:rsidP="0068532D">
      <w:pPr>
        <w:pStyle w:val="Pagrindinistekstas"/>
        <w:tabs>
          <w:tab w:val="left" w:pos="6096"/>
        </w:tabs>
        <w:ind w:left="101"/>
        <w:jc w:val="both"/>
        <w:rPr>
          <w:rFonts w:asciiTheme="minorHAnsi" w:hAnsiTheme="minorHAnsi"/>
          <w:sz w:val="14"/>
        </w:rPr>
      </w:pPr>
    </w:p>
    <w:p w14:paraId="4F0A46B1" w14:textId="77777777" w:rsidR="007F7703" w:rsidRPr="0068532D" w:rsidRDefault="007F7703" w:rsidP="007F7703">
      <w:pPr>
        <w:pStyle w:val="Pagrindinistekstas"/>
        <w:tabs>
          <w:tab w:val="left" w:pos="6096"/>
        </w:tabs>
        <w:spacing w:before="77"/>
        <w:ind w:left="101"/>
        <w:jc w:val="both"/>
        <w:rPr>
          <w:rFonts w:asciiTheme="minorHAnsi" w:hAnsiTheme="minorHAnsi" w:cstheme="minorHAnsi"/>
          <w:sz w:val="14"/>
          <w:szCs w:val="28"/>
        </w:rPr>
      </w:pPr>
      <w:r>
        <w:rPr>
          <w:rFonts w:asciiTheme="minorHAnsi" w:hAnsiTheme="minorHAnsi"/>
          <w:sz w:val="14"/>
        </w:rPr>
        <w:t xml:space="preserve">OÜ „KPMG </w:t>
      </w:r>
      <w:proofErr w:type="spellStart"/>
      <w:r>
        <w:rPr>
          <w:rFonts w:asciiTheme="minorHAnsi" w:hAnsiTheme="minorHAnsi"/>
          <w:sz w:val="14"/>
        </w:rPr>
        <w:t>Baltics</w:t>
      </w:r>
      <w:proofErr w:type="spellEnd"/>
      <w:r>
        <w:rPr>
          <w:rFonts w:asciiTheme="minorHAnsi" w:hAnsiTheme="minorHAnsi"/>
          <w:sz w:val="14"/>
        </w:rPr>
        <w:t>“</w:t>
      </w:r>
    </w:p>
    <w:p w14:paraId="5846D183" w14:textId="77777777" w:rsidR="007F7703" w:rsidRDefault="007F7703" w:rsidP="007F7703">
      <w:pPr>
        <w:tabs>
          <w:tab w:val="left" w:pos="1276"/>
          <w:tab w:val="left" w:pos="6096"/>
        </w:tabs>
        <w:spacing w:before="39"/>
        <w:ind w:left="101" w:right="7047" w:hanging="1"/>
        <w:jc w:val="both"/>
        <w:rPr>
          <w:rFonts w:asciiTheme="minorHAnsi" w:hAnsiTheme="minorHAnsi" w:cstheme="minorHAnsi"/>
          <w:sz w:val="14"/>
          <w:szCs w:val="28"/>
        </w:rPr>
      </w:pPr>
      <w:r>
        <w:rPr>
          <w:rFonts w:asciiTheme="minorHAnsi" w:hAnsiTheme="minorHAnsi"/>
          <w:sz w:val="14"/>
        </w:rPr>
        <w:t>Audito įmonės veiklos licencija Nr. 17</w:t>
      </w:r>
    </w:p>
    <w:p w14:paraId="4ED99838" w14:textId="77777777" w:rsidR="007F7703" w:rsidRPr="0068532D" w:rsidRDefault="007F7703" w:rsidP="007F7703">
      <w:pPr>
        <w:pStyle w:val="Pagrindinistekstas"/>
        <w:tabs>
          <w:tab w:val="left" w:pos="6096"/>
        </w:tabs>
        <w:spacing w:before="1"/>
        <w:jc w:val="both"/>
        <w:rPr>
          <w:rFonts w:asciiTheme="minorHAnsi" w:hAnsiTheme="minorHAnsi" w:cstheme="minorHAnsi"/>
          <w:sz w:val="14"/>
          <w:szCs w:val="28"/>
        </w:rPr>
      </w:pPr>
    </w:p>
    <w:p w14:paraId="4C3AED5D" w14:textId="4C6E2A28" w:rsidR="003A7889" w:rsidRPr="0068532D" w:rsidRDefault="007F7703" w:rsidP="00095A99">
      <w:pPr>
        <w:pStyle w:val="Pagrindinistekstas"/>
        <w:tabs>
          <w:tab w:val="left" w:pos="6096"/>
        </w:tabs>
        <w:ind w:left="101"/>
        <w:jc w:val="both"/>
        <w:rPr>
          <w:rFonts w:asciiTheme="minorHAnsi" w:hAnsiTheme="minorHAnsi" w:cstheme="minorHAnsi"/>
          <w:sz w:val="14"/>
          <w:szCs w:val="28"/>
        </w:rPr>
      </w:pPr>
      <w:r>
        <w:rPr>
          <w:rFonts w:asciiTheme="minorHAnsi" w:hAnsiTheme="minorHAnsi"/>
          <w:sz w:val="14"/>
        </w:rPr>
        <w:t>/parašas/</w:t>
      </w:r>
      <w:r>
        <w:rPr>
          <w:rFonts w:asciiTheme="minorHAnsi" w:hAnsiTheme="minorHAnsi"/>
          <w:sz w:val="14"/>
        </w:rPr>
        <w:tab/>
      </w:r>
      <w:r>
        <w:rPr>
          <w:rFonts w:asciiTheme="minorHAnsi" w:hAnsiTheme="minorHAnsi"/>
          <w:sz w:val="14"/>
        </w:rPr>
        <w:tab/>
      </w:r>
      <w:bookmarkStart w:id="5" w:name="_GoBack"/>
      <w:bookmarkEnd w:id="5"/>
      <w:r>
        <w:rPr>
          <w:rFonts w:asciiTheme="minorHAnsi" w:hAnsiTheme="minorHAnsi"/>
          <w:sz w:val="14"/>
        </w:rPr>
        <w:tab/>
      </w:r>
      <w:r>
        <w:rPr>
          <w:rFonts w:asciiTheme="minorHAnsi" w:hAnsiTheme="minorHAnsi"/>
          <w:sz w:val="14"/>
        </w:rPr>
        <w:tab/>
      </w:r>
    </w:p>
    <w:p w14:paraId="0BB0DE82" w14:textId="43D2E15D" w:rsidR="003A7889" w:rsidRPr="0068532D" w:rsidRDefault="007F7703" w:rsidP="0068532D">
      <w:pPr>
        <w:pStyle w:val="Pagrindinistekstas"/>
        <w:tabs>
          <w:tab w:val="left" w:pos="6096"/>
        </w:tabs>
        <w:jc w:val="both"/>
        <w:rPr>
          <w:rFonts w:asciiTheme="minorHAnsi" w:hAnsiTheme="minorHAnsi" w:cstheme="minorHAnsi"/>
          <w:sz w:val="14"/>
          <w:szCs w:val="14"/>
        </w:rPr>
      </w:pPr>
      <w:r>
        <w:rPr>
          <w:rFonts w:asciiTheme="minorHAnsi" w:hAnsiTheme="minorHAnsi"/>
          <w:sz w:val="14"/>
        </w:rPr>
        <w:t xml:space="preserve">  </w:t>
      </w:r>
      <w:r w:rsidR="00955CB2">
        <w:rPr>
          <w:rFonts w:asciiTheme="minorHAnsi" w:hAnsiTheme="minorHAnsi"/>
          <w:sz w:val="14"/>
        </w:rPr>
        <w:t xml:space="preserve">Talinas, </w:t>
      </w:r>
      <w:r>
        <w:rPr>
          <w:rFonts w:asciiTheme="minorHAnsi" w:hAnsiTheme="minorHAnsi"/>
          <w:sz w:val="14"/>
        </w:rPr>
        <w:t xml:space="preserve"> 202</w:t>
      </w:r>
      <w:r w:rsidR="00955CB2">
        <w:rPr>
          <w:rFonts w:asciiTheme="minorHAnsi" w:hAnsiTheme="minorHAnsi"/>
          <w:sz w:val="14"/>
        </w:rPr>
        <w:t>3</w:t>
      </w:r>
      <w:r>
        <w:rPr>
          <w:rFonts w:asciiTheme="minorHAnsi" w:hAnsiTheme="minorHAnsi"/>
          <w:sz w:val="14"/>
        </w:rPr>
        <w:t xml:space="preserve"> m. birželio </w:t>
      </w:r>
      <w:r w:rsidR="00955CB2">
        <w:rPr>
          <w:rFonts w:asciiTheme="minorHAnsi" w:hAnsiTheme="minorHAnsi"/>
          <w:sz w:val="14"/>
        </w:rPr>
        <w:t>07</w:t>
      </w:r>
      <w:r>
        <w:rPr>
          <w:rFonts w:asciiTheme="minorHAnsi" w:hAnsiTheme="minorHAnsi"/>
          <w:sz w:val="14"/>
        </w:rPr>
        <w:t xml:space="preserve"> d</w:t>
      </w:r>
    </w:p>
    <w:p w14:paraId="1F45DC84" w14:textId="0FAEEA2E" w:rsidR="003A7889" w:rsidRPr="0068532D" w:rsidRDefault="003A7889" w:rsidP="0068532D">
      <w:pPr>
        <w:tabs>
          <w:tab w:val="left" w:pos="6096"/>
        </w:tabs>
        <w:spacing w:before="38"/>
        <w:ind w:left="101"/>
        <w:jc w:val="both"/>
        <w:rPr>
          <w:rFonts w:asciiTheme="minorHAnsi" w:hAnsiTheme="minorHAnsi" w:cstheme="minorHAnsi"/>
          <w:sz w:val="14"/>
          <w:szCs w:val="28"/>
        </w:rPr>
      </w:pPr>
    </w:p>
    <w:p w14:paraId="56296D92" w14:textId="77777777" w:rsidR="003A7889" w:rsidRPr="0068532D" w:rsidRDefault="003A7889" w:rsidP="0068532D">
      <w:pPr>
        <w:pStyle w:val="Pagrindinistekstas"/>
        <w:tabs>
          <w:tab w:val="left" w:pos="6096"/>
        </w:tabs>
        <w:jc w:val="both"/>
        <w:rPr>
          <w:rFonts w:asciiTheme="minorHAnsi" w:hAnsiTheme="minorHAnsi" w:cstheme="minorHAnsi"/>
          <w:sz w:val="14"/>
          <w:szCs w:val="28"/>
        </w:rPr>
      </w:pPr>
    </w:p>
    <w:p w14:paraId="50B9E8E8" w14:textId="77777777" w:rsidR="007F7703" w:rsidRPr="0068532D" w:rsidRDefault="007F7703">
      <w:pPr>
        <w:pStyle w:val="Pagrindinistekstas"/>
        <w:tabs>
          <w:tab w:val="left" w:pos="6096"/>
        </w:tabs>
        <w:ind w:left="101"/>
        <w:jc w:val="both"/>
        <w:rPr>
          <w:rFonts w:asciiTheme="minorHAnsi" w:hAnsiTheme="minorHAnsi" w:cstheme="minorHAnsi"/>
          <w:sz w:val="14"/>
          <w:szCs w:val="28"/>
        </w:rPr>
      </w:pPr>
    </w:p>
    <w:sectPr w:rsidR="007F7703" w:rsidRPr="0068532D" w:rsidSect="0068532D">
      <w:headerReference w:type="default" r:id="rId10"/>
      <w:type w:val="continuous"/>
      <w:pgSz w:w="11920" w:h="16850"/>
      <w:pgMar w:top="851" w:right="863"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315BD" w14:textId="77777777" w:rsidR="00D25109" w:rsidRDefault="00D25109" w:rsidP="002A51D2">
      <w:r>
        <w:separator/>
      </w:r>
    </w:p>
  </w:endnote>
  <w:endnote w:type="continuationSeparator" w:id="0">
    <w:p w14:paraId="573DAD12" w14:textId="77777777" w:rsidR="00D25109" w:rsidRDefault="00D25109" w:rsidP="002A5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4068A" w14:textId="77777777" w:rsidR="00D25109" w:rsidRDefault="00D25109" w:rsidP="002A51D2">
      <w:r>
        <w:separator/>
      </w:r>
    </w:p>
  </w:footnote>
  <w:footnote w:type="continuationSeparator" w:id="0">
    <w:p w14:paraId="4C5E818A" w14:textId="77777777" w:rsidR="00D25109" w:rsidRDefault="00D25109" w:rsidP="002A51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4267E" w14:textId="73659D04" w:rsidR="00A66718" w:rsidRDefault="00A66718">
    <w:pPr>
      <w:pStyle w:val="Antrats"/>
    </w:pPr>
    <w:r>
      <w:t>/logotipas/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F4227A"/>
    <w:multiLevelType w:val="hybridMultilevel"/>
    <w:tmpl w:val="C8A4E7EC"/>
    <w:lvl w:ilvl="0" w:tplc="C61228D2">
      <w:numFmt w:val="bullet"/>
      <w:lvlText w:val="•"/>
      <w:lvlJc w:val="left"/>
      <w:pPr>
        <w:ind w:left="101" w:hanging="65"/>
      </w:pPr>
      <w:rPr>
        <w:rFonts w:ascii="Arial" w:eastAsia="Arial" w:hAnsi="Arial" w:cs="Arial" w:hint="default"/>
        <w:b w:val="0"/>
        <w:bCs w:val="0"/>
        <w:i w:val="0"/>
        <w:iCs w:val="0"/>
        <w:w w:val="100"/>
        <w:sz w:val="10"/>
        <w:szCs w:val="10"/>
        <w:lang w:val="en-US" w:eastAsia="en-US" w:bidi="ar-SA"/>
      </w:rPr>
    </w:lvl>
    <w:lvl w:ilvl="1" w:tplc="7108C678">
      <w:numFmt w:val="bullet"/>
      <w:lvlText w:val="•"/>
      <w:lvlJc w:val="left"/>
      <w:pPr>
        <w:ind w:left="1071" w:hanging="65"/>
      </w:pPr>
      <w:rPr>
        <w:rFonts w:hint="default"/>
        <w:lang w:val="en-US" w:eastAsia="en-US" w:bidi="ar-SA"/>
      </w:rPr>
    </w:lvl>
    <w:lvl w:ilvl="2" w:tplc="9AF8A3D0">
      <w:numFmt w:val="bullet"/>
      <w:lvlText w:val="•"/>
      <w:lvlJc w:val="left"/>
      <w:pPr>
        <w:ind w:left="2042" w:hanging="65"/>
      </w:pPr>
      <w:rPr>
        <w:rFonts w:hint="default"/>
        <w:lang w:val="en-US" w:eastAsia="en-US" w:bidi="ar-SA"/>
      </w:rPr>
    </w:lvl>
    <w:lvl w:ilvl="3" w:tplc="F28C70B6">
      <w:numFmt w:val="bullet"/>
      <w:lvlText w:val="•"/>
      <w:lvlJc w:val="left"/>
      <w:pPr>
        <w:ind w:left="3013" w:hanging="65"/>
      </w:pPr>
      <w:rPr>
        <w:rFonts w:hint="default"/>
        <w:lang w:val="en-US" w:eastAsia="en-US" w:bidi="ar-SA"/>
      </w:rPr>
    </w:lvl>
    <w:lvl w:ilvl="4" w:tplc="646E321A">
      <w:numFmt w:val="bullet"/>
      <w:lvlText w:val="•"/>
      <w:lvlJc w:val="left"/>
      <w:pPr>
        <w:ind w:left="3984" w:hanging="65"/>
      </w:pPr>
      <w:rPr>
        <w:rFonts w:hint="default"/>
        <w:lang w:val="en-US" w:eastAsia="en-US" w:bidi="ar-SA"/>
      </w:rPr>
    </w:lvl>
    <w:lvl w:ilvl="5" w:tplc="5F50DA6A">
      <w:numFmt w:val="bullet"/>
      <w:lvlText w:val="•"/>
      <w:lvlJc w:val="left"/>
      <w:pPr>
        <w:ind w:left="4955" w:hanging="65"/>
      </w:pPr>
      <w:rPr>
        <w:rFonts w:hint="default"/>
        <w:lang w:val="en-US" w:eastAsia="en-US" w:bidi="ar-SA"/>
      </w:rPr>
    </w:lvl>
    <w:lvl w:ilvl="6" w:tplc="BAFA92AC">
      <w:numFmt w:val="bullet"/>
      <w:lvlText w:val="•"/>
      <w:lvlJc w:val="left"/>
      <w:pPr>
        <w:ind w:left="5926" w:hanging="65"/>
      </w:pPr>
      <w:rPr>
        <w:rFonts w:hint="default"/>
        <w:lang w:val="en-US" w:eastAsia="en-US" w:bidi="ar-SA"/>
      </w:rPr>
    </w:lvl>
    <w:lvl w:ilvl="7" w:tplc="78C6A9EC">
      <w:numFmt w:val="bullet"/>
      <w:lvlText w:val="•"/>
      <w:lvlJc w:val="left"/>
      <w:pPr>
        <w:ind w:left="6897" w:hanging="65"/>
      </w:pPr>
      <w:rPr>
        <w:rFonts w:hint="default"/>
        <w:lang w:val="en-US" w:eastAsia="en-US" w:bidi="ar-SA"/>
      </w:rPr>
    </w:lvl>
    <w:lvl w:ilvl="8" w:tplc="59B870F4">
      <w:numFmt w:val="bullet"/>
      <w:lvlText w:val="•"/>
      <w:lvlJc w:val="left"/>
      <w:pPr>
        <w:ind w:left="7868" w:hanging="65"/>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889"/>
    <w:rsid w:val="00095A99"/>
    <w:rsid w:val="00113E8F"/>
    <w:rsid w:val="0028114A"/>
    <w:rsid w:val="002A51D2"/>
    <w:rsid w:val="003450C9"/>
    <w:rsid w:val="003A7889"/>
    <w:rsid w:val="004B33A9"/>
    <w:rsid w:val="0068532D"/>
    <w:rsid w:val="00796306"/>
    <w:rsid w:val="007F7703"/>
    <w:rsid w:val="00851A29"/>
    <w:rsid w:val="00946CE0"/>
    <w:rsid w:val="00955CB2"/>
    <w:rsid w:val="00A66718"/>
    <w:rsid w:val="00B0583E"/>
    <w:rsid w:val="00B4437E"/>
    <w:rsid w:val="00C43DE9"/>
    <w:rsid w:val="00D251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30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rFonts w:ascii="Arial" w:eastAsia="Arial" w:hAnsi="Arial" w:cs="Arial"/>
    </w:rPr>
  </w:style>
  <w:style w:type="paragraph" w:styleId="Antrat1">
    <w:name w:val="heading 1"/>
    <w:basedOn w:val="prastasis"/>
    <w:uiPriority w:val="9"/>
    <w:qFormat/>
    <w:pPr>
      <w:spacing w:before="1"/>
      <w:ind w:left="101"/>
      <w:outlineLvl w:val="0"/>
    </w:pPr>
    <w:rPr>
      <w:b/>
      <w:bCs/>
      <w:sz w:val="10"/>
      <w:szCs w:val="1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rPr>
      <w:sz w:val="10"/>
      <w:szCs w:val="10"/>
    </w:rPr>
  </w:style>
  <w:style w:type="paragraph" w:styleId="Pavadinimas">
    <w:name w:val="Title"/>
    <w:basedOn w:val="prastasis"/>
    <w:uiPriority w:val="10"/>
    <w:qFormat/>
    <w:pPr>
      <w:spacing w:before="74"/>
      <w:ind w:left="3662" w:right="3634"/>
      <w:jc w:val="center"/>
    </w:pPr>
    <w:rPr>
      <w:b/>
      <w:bCs/>
      <w:sz w:val="14"/>
      <w:szCs w:val="14"/>
    </w:rPr>
  </w:style>
  <w:style w:type="paragraph" w:styleId="Sraopastraipa">
    <w:name w:val="List Paragraph"/>
    <w:basedOn w:val="prastasis"/>
    <w:uiPriority w:val="1"/>
    <w:qFormat/>
    <w:pPr>
      <w:ind w:left="101"/>
      <w:jc w:val="both"/>
    </w:pPr>
  </w:style>
  <w:style w:type="paragraph" w:customStyle="1" w:styleId="TableParagraph">
    <w:name w:val="Table Paragraph"/>
    <w:basedOn w:val="prastasis"/>
    <w:uiPriority w:val="1"/>
    <w:qFormat/>
  </w:style>
  <w:style w:type="paragraph" w:styleId="Antrats">
    <w:name w:val="header"/>
    <w:basedOn w:val="prastasis"/>
    <w:link w:val="AntratsDiagrama"/>
    <w:uiPriority w:val="99"/>
    <w:unhideWhenUsed/>
    <w:rsid w:val="002A51D2"/>
    <w:pPr>
      <w:tabs>
        <w:tab w:val="center" w:pos="4513"/>
        <w:tab w:val="right" w:pos="9026"/>
      </w:tabs>
    </w:pPr>
  </w:style>
  <w:style w:type="character" w:customStyle="1" w:styleId="AntratsDiagrama">
    <w:name w:val="Antraštės Diagrama"/>
    <w:basedOn w:val="Numatytasispastraiposriftas"/>
    <w:link w:val="Antrats"/>
    <w:uiPriority w:val="99"/>
    <w:rsid w:val="002A51D2"/>
    <w:rPr>
      <w:rFonts w:ascii="Arial" w:eastAsia="Arial" w:hAnsi="Arial" w:cs="Arial"/>
    </w:rPr>
  </w:style>
  <w:style w:type="paragraph" w:styleId="Porat">
    <w:name w:val="footer"/>
    <w:basedOn w:val="prastasis"/>
    <w:link w:val="PoratDiagrama"/>
    <w:uiPriority w:val="99"/>
    <w:unhideWhenUsed/>
    <w:rsid w:val="002A51D2"/>
    <w:pPr>
      <w:tabs>
        <w:tab w:val="center" w:pos="4513"/>
        <w:tab w:val="right" w:pos="9026"/>
      </w:tabs>
    </w:pPr>
  </w:style>
  <w:style w:type="character" w:customStyle="1" w:styleId="PoratDiagrama">
    <w:name w:val="Poraštė Diagrama"/>
    <w:basedOn w:val="Numatytasispastraiposriftas"/>
    <w:link w:val="Porat"/>
    <w:uiPriority w:val="99"/>
    <w:rsid w:val="002A51D2"/>
    <w:rPr>
      <w:rFonts w:ascii="Arial" w:eastAsia="Arial" w:hAnsi="Arial" w:cs="Arial"/>
    </w:rPr>
  </w:style>
  <w:style w:type="character" w:styleId="Hipersaitas">
    <w:name w:val="Hyperlink"/>
    <w:basedOn w:val="Numatytasispastraiposriftas"/>
    <w:uiPriority w:val="99"/>
    <w:unhideWhenUsed/>
    <w:rsid w:val="00B0583E"/>
    <w:rPr>
      <w:color w:val="0000FF" w:themeColor="hyperlink"/>
      <w:u w:val="single"/>
    </w:rPr>
  </w:style>
  <w:style w:type="character" w:styleId="Neapdorotaspaminjimas">
    <w:name w:val="Unresolved Mention"/>
    <w:basedOn w:val="Numatytasispastraiposriftas"/>
    <w:uiPriority w:val="99"/>
    <w:semiHidden/>
    <w:unhideWhenUsed/>
    <w:rsid w:val="00B05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kpmg.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9DC516A5FDB24A9C761906C4C3FB90" ma:contentTypeVersion="8" ma:contentTypeDescription="Create a new document." ma:contentTypeScope="" ma:versionID="baf794e7a7eed1656571ee8ef19c7023">
  <xsd:schema xmlns:xsd="http://www.w3.org/2001/XMLSchema" xmlns:xs="http://www.w3.org/2001/XMLSchema" xmlns:p="http://schemas.microsoft.com/office/2006/metadata/properties" xmlns:ns2="31ff4c55-686a-4f1a-8bd2-573a9c1f31af" xmlns:ns3="7da67fd4-e489-4c29-97fb-204ba2d1dd39" targetNamespace="http://schemas.microsoft.com/office/2006/metadata/properties" ma:root="true" ma:fieldsID="730e00763a68ae757cf4d002271d1155" ns2:_="" ns3:_="">
    <xsd:import namespace="31ff4c55-686a-4f1a-8bd2-573a9c1f31af"/>
    <xsd:import namespace="7da67fd4-e489-4c29-97fb-204ba2d1dd3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f4c55-686a-4f1a-8bd2-573a9c1f31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b1510c-75ab-433e-9da4-11c11703188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a67fd4-e489-4c29-97fb-204ba2d1dd3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6bfe195-c9a5-4800-adf2-90de81ae0f97}" ma:internalName="TaxCatchAll" ma:showField="CatchAllData" ma:web="7da67fd4-e489-4c29-97fb-204ba2d1dd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F810D4-707E-4FEC-BD23-63689BB7A93B}">
  <ds:schemaRefs>
    <ds:schemaRef ds:uri="http://schemas.microsoft.com/sharepoint/v3/contenttype/forms"/>
  </ds:schemaRefs>
</ds:datastoreItem>
</file>

<file path=customXml/itemProps2.xml><?xml version="1.0" encoding="utf-8"?>
<ds:datastoreItem xmlns:ds="http://schemas.openxmlformats.org/officeDocument/2006/customXml" ds:itemID="{4E7578DD-2A8A-4783-908A-071A1F795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ff4c55-686a-4f1a-8bd2-573a9c1f31af"/>
    <ds:schemaRef ds:uri="7da67fd4-e489-4c29-97fb-204ba2d1d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4378</Words>
  <Characters>2496</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2023-12-07T12:15:00Z</dcterms:created>
  <dcterms:modified xsi:type="dcterms:W3CDTF">2023-12-11T08:45:00Z</dcterms:modified>
</cp:coreProperties>
</file>