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E229C" w14:textId="77777777" w:rsidR="004D3C43" w:rsidRPr="00B106DF" w:rsidRDefault="004D3C43" w:rsidP="00E9242B">
      <w:pPr>
        <w:tabs>
          <w:tab w:val="left" w:pos="8137"/>
        </w:tabs>
        <w:spacing w:before="60" w:after="60"/>
        <w:ind w:firstLine="0"/>
        <w:rPr>
          <w:rFonts w:asciiTheme="minorHAnsi" w:eastAsia="Calibri" w:hAnsiTheme="minorHAnsi" w:cstheme="minorHAnsi"/>
          <w:sz w:val="20"/>
          <w:szCs w:val="20"/>
        </w:rPr>
      </w:pPr>
    </w:p>
    <w:p w14:paraId="70B29748"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 xml:space="preserve">TECHNINĖ SPECIFIKACIJA </w:t>
      </w:r>
    </w:p>
    <w:p w14:paraId="0E62927B"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sz w:val="20"/>
          <w:szCs w:val="20"/>
        </w:rPr>
        <w:t>(jeigu pirkimo objektas skaidomas į pirkimo objekto dalis, techniniai reikalavimai turi būti nurodomi kiekvienai pirkimo objekto daliai atskirai)</w:t>
      </w:r>
    </w:p>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4D3C43">
      <w:pPr>
        <w:pBdr>
          <w:top w:val="single" w:sz="4" w:space="1" w:color="auto"/>
          <w:bottom w:val="single" w:sz="4" w:space="1" w:color="auto"/>
        </w:pBdr>
        <w:tabs>
          <w:tab w:val="left" w:pos="284"/>
        </w:tabs>
        <w:spacing w:before="60" w:after="6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bookmarkEnd w:id="0"/>
    <w:bookmarkEnd w:id="1"/>
    <w:p w14:paraId="05E361C5" w14:textId="37A3BBB2" w:rsidR="004D3C43" w:rsidRPr="00B106DF" w:rsidRDefault="004D3C43" w:rsidP="004D3C43">
      <w:pPr>
        <w:tabs>
          <w:tab w:val="left" w:pos="284"/>
        </w:tabs>
        <w:spacing w:before="60" w:after="60"/>
        <w:contextualSpacing/>
        <w:jc w:val="both"/>
        <w:rPr>
          <w:rFonts w:asciiTheme="minorHAnsi" w:eastAsia="Times New Roman" w:hAnsiTheme="minorHAnsi" w:cstheme="minorHAnsi"/>
          <w:b/>
          <w:bCs/>
          <w:sz w:val="20"/>
          <w:szCs w:val="20"/>
        </w:rPr>
      </w:pPr>
      <w:r w:rsidRPr="00B106DF">
        <w:rPr>
          <w:rFonts w:asciiTheme="minorHAnsi" w:eastAsia="Times New Roman" w:hAnsiTheme="minorHAnsi" w:cstheme="minorHAnsi"/>
          <w:b/>
          <w:bCs/>
          <w:sz w:val="20"/>
          <w:szCs w:val="20"/>
        </w:rPr>
        <w:t>1.1</w:t>
      </w:r>
      <w:r w:rsidRPr="00B106DF">
        <w:rPr>
          <w:rFonts w:asciiTheme="minorHAnsi" w:eastAsia="Times New Roman" w:hAnsiTheme="minorHAnsi" w:cstheme="minorHAnsi"/>
          <w:bCs/>
          <w:sz w:val="20"/>
          <w:szCs w:val="20"/>
        </w:rPr>
        <w:t>.</w:t>
      </w:r>
      <w:r w:rsidRPr="00B106DF">
        <w:rPr>
          <w:rFonts w:asciiTheme="minorHAnsi" w:eastAsia="Times New Roman" w:hAnsiTheme="minorHAnsi" w:cstheme="minorHAnsi"/>
          <w:b/>
          <w:bCs/>
          <w:sz w:val="20"/>
          <w:szCs w:val="20"/>
        </w:rPr>
        <w:t xml:space="preserve"> Paslaugų gavėjas</w:t>
      </w:r>
      <w:r w:rsidR="00F02114">
        <w:rPr>
          <w:rFonts w:asciiTheme="minorHAnsi" w:eastAsia="Times New Roman" w:hAnsiTheme="minorHAnsi" w:cstheme="minorHAnsi"/>
          <w:b/>
          <w:bCs/>
          <w:sz w:val="20"/>
          <w:szCs w:val="20"/>
        </w:rPr>
        <w:t xml:space="preserve"> arba Abonentas</w:t>
      </w:r>
      <w:r w:rsidRPr="00B106DF">
        <w:rPr>
          <w:rFonts w:asciiTheme="minorHAnsi" w:eastAsia="Times New Roman" w:hAnsiTheme="minorHAnsi" w:cstheme="minorHAnsi"/>
          <w:b/>
          <w:bCs/>
          <w:sz w:val="20"/>
          <w:szCs w:val="20"/>
        </w:rPr>
        <w:t xml:space="preserve"> – </w:t>
      </w:r>
      <w:r w:rsidRPr="00B106DF">
        <w:rPr>
          <w:rFonts w:asciiTheme="minorHAnsi" w:eastAsia="Times New Roman" w:hAnsiTheme="minorHAnsi" w:cstheme="minorHAnsi"/>
          <w:sz w:val="20"/>
          <w:szCs w:val="20"/>
        </w:rPr>
        <w:t>Uždaroji akcinė bendrovė „VILNIAUS VANDENYS“.</w:t>
      </w:r>
    </w:p>
    <w:p w14:paraId="7F2A6A0D" w14:textId="77777777" w:rsidR="004D3C43" w:rsidRPr="00B106DF" w:rsidRDefault="004D3C43" w:rsidP="004D3C43">
      <w:pPr>
        <w:tabs>
          <w:tab w:val="left" w:pos="284"/>
        </w:tabs>
        <w:spacing w:before="60" w:after="60"/>
        <w:jc w:val="both"/>
        <w:rPr>
          <w:rFonts w:asciiTheme="minorHAnsi" w:eastAsia="Calibri" w:hAnsiTheme="minorHAnsi" w:cstheme="minorHAnsi"/>
          <w:b/>
          <w:bCs/>
          <w:color w:val="00B0F0"/>
          <w:sz w:val="20"/>
          <w:szCs w:val="20"/>
        </w:rPr>
      </w:pPr>
      <w:r w:rsidRPr="00B106DF">
        <w:rPr>
          <w:rFonts w:asciiTheme="minorHAnsi" w:eastAsia="Times New Roman" w:hAnsiTheme="minorHAnsi" w:cstheme="minorHAnsi"/>
          <w:b/>
          <w:bCs/>
          <w:sz w:val="20"/>
          <w:szCs w:val="20"/>
        </w:rPr>
        <w:t xml:space="preserve">1.2. Paslaugų teikėjas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2" w:name="_Hlk69200619"/>
      <w:r w:rsidRPr="00B106DF">
        <w:rPr>
          <w:rFonts w:asciiTheme="minorHAnsi" w:eastAsia="Calibri" w:hAnsiTheme="minorHAnsi" w:cstheme="minorHAnsi"/>
          <w:sz w:val="20"/>
          <w:szCs w:val="20"/>
        </w:rPr>
        <w:t>ūkio subjektus, kurių pajėgumais remiamasi</w:t>
      </w:r>
      <w:bookmarkEnd w:id="2"/>
      <w:r w:rsidRPr="00B106DF">
        <w:rPr>
          <w:rFonts w:asciiTheme="minorHAnsi" w:eastAsia="Calibri" w:hAnsiTheme="minorHAnsi" w:cstheme="minorHAnsi"/>
          <w:sz w:val="20"/>
          <w:szCs w:val="20"/>
        </w:rPr>
        <w:t>, Subteikėjus, darbuotojus ir kitus teisėtais pagrindais Paslaugų teikimui pasitelktus asmenis.</w:t>
      </w:r>
    </w:p>
    <w:p w14:paraId="19336A5D" w14:textId="4D31FA01"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1.3.</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 xml:space="preserve">Sutartis </w:t>
      </w:r>
      <w:r w:rsidRPr="00B106DF">
        <w:rPr>
          <w:rFonts w:asciiTheme="minorHAnsi" w:eastAsia="Times New Roman" w:hAnsiTheme="minorHAnsi" w:cstheme="minorHAnsi"/>
          <w:sz w:val="20"/>
          <w:szCs w:val="20"/>
        </w:rPr>
        <w:t>– Sutartis, sudaroma tarp Paslaugų teikėjo ir Paslaugų gavėjo</w:t>
      </w:r>
      <w:r w:rsidR="00611A0E">
        <w:rPr>
          <w:rFonts w:asciiTheme="minorHAnsi" w:eastAsia="Times New Roman" w:hAnsiTheme="minorHAnsi" w:cstheme="minorHAnsi"/>
          <w:sz w:val="20"/>
          <w:szCs w:val="20"/>
        </w:rPr>
        <w:t xml:space="preserve"> arba Abonento</w:t>
      </w:r>
      <w:r w:rsidRPr="00B106DF">
        <w:rPr>
          <w:rFonts w:asciiTheme="minorHAnsi" w:eastAsia="Times New Roman" w:hAnsiTheme="minorHAnsi" w:cstheme="minorHAnsi"/>
          <w:sz w:val="20"/>
          <w:szCs w:val="20"/>
        </w:rPr>
        <w:t xml:space="preserve"> dėl Pirkimo objekto.</w:t>
      </w:r>
    </w:p>
    <w:p w14:paraId="64842C27"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bookmarkStart w:id="3" w:name="_Hlk75526393"/>
      <w:r w:rsidRPr="00B106DF">
        <w:rPr>
          <w:rFonts w:asciiTheme="minorHAnsi" w:eastAsia="Calibri" w:hAnsiTheme="minorHAnsi" w:cstheme="minorHAnsi"/>
          <w:b/>
          <w:bCs/>
          <w:sz w:val="20"/>
          <w:szCs w:val="20"/>
        </w:rPr>
        <w:t>1.4. 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564529FF"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p>
    <w:p w14:paraId="36690DD4" w14:textId="77777777" w:rsidR="004D3C43" w:rsidRPr="00B106DF" w:rsidRDefault="004D3C43" w:rsidP="004D3C43">
      <w:pPr>
        <w:numPr>
          <w:ilvl w:val="0"/>
          <w:numId w:val="48"/>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B106DF">
        <w:rPr>
          <w:rFonts w:asciiTheme="minorHAnsi" w:eastAsia="Calibri" w:hAnsiTheme="minorHAnsi" w:cstheme="minorHAnsi"/>
          <w:b/>
          <w:sz w:val="20"/>
          <w:szCs w:val="20"/>
        </w:rPr>
        <w:t>PIRKIMO OBJEKTO PAVADINIMAS IR JO KIEKIAI/APIMTYS</w:t>
      </w:r>
    </w:p>
    <w:p w14:paraId="774450F5" w14:textId="7C8ACCF3" w:rsidR="004D3C43" w:rsidRPr="00B106DF" w:rsidRDefault="00E9242B"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bookmarkStart w:id="5" w:name="_Hlk75526413"/>
      <w:bookmarkStart w:id="6" w:name="_Hlk46986110"/>
      <w:bookmarkEnd w:id="4"/>
      <w:r w:rsidRPr="00E9242B">
        <w:rPr>
          <w:rFonts w:asciiTheme="minorHAnsi" w:eastAsia="Calibri" w:hAnsiTheme="minorHAnsi" w:cstheme="minorHAnsi"/>
          <w:b/>
          <w:bCs/>
          <w:sz w:val="20"/>
          <w:szCs w:val="20"/>
          <w:u w:val="single"/>
        </w:rPr>
        <w:t xml:space="preserve">Kvalifikuotų elektroninių laiko žymų teikimo paslauga </w:t>
      </w:r>
      <w:r w:rsidR="004D3C43" w:rsidRPr="00B106DF">
        <w:rPr>
          <w:rFonts w:asciiTheme="minorHAnsi" w:eastAsia="Calibri" w:hAnsiTheme="minorHAnsi" w:cstheme="minorHAnsi"/>
          <w:sz w:val="20"/>
          <w:szCs w:val="20"/>
        </w:rPr>
        <w:t xml:space="preserve">(toliau - </w:t>
      </w:r>
      <w:r w:rsidR="004D3C43" w:rsidRPr="00B106DF">
        <w:rPr>
          <w:rFonts w:asciiTheme="minorHAnsi" w:eastAsia="Calibri" w:hAnsiTheme="minorHAnsi" w:cstheme="minorHAnsi"/>
          <w:b/>
          <w:bCs/>
          <w:sz w:val="20"/>
          <w:szCs w:val="20"/>
        </w:rPr>
        <w:t>Paslaugos</w:t>
      </w:r>
      <w:r w:rsidR="004D3C43" w:rsidRPr="00B106DF">
        <w:rPr>
          <w:rFonts w:asciiTheme="minorHAnsi" w:eastAsia="Calibri" w:hAnsiTheme="minorHAnsi" w:cstheme="minorHAnsi"/>
          <w:sz w:val="20"/>
          <w:szCs w:val="20"/>
        </w:rPr>
        <w:t>).</w:t>
      </w:r>
      <w:bookmarkEnd w:id="5"/>
    </w:p>
    <w:p w14:paraId="12E2CA22" w14:textId="0D61CF14" w:rsidR="004D3C43" w:rsidRPr="00B106DF" w:rsidRDefault="002A07EC"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E9242B">
            <w:rPr>
              <w:rFonts w:asciiTheme="minorHAnsi" w:eastAsia="Calibri" w:hAnsiTheme="minorHAnsi" w:cstheme="minorHAnsi"/>
              <w:sz w:val="20"/>
              <w:szCs w:val="20"/>
            </w:rPr>
            <w:t>Pirkimo objektas nėra skaidomas į pirkimo objekto dalis.</w:t>
          </w:r>
        </w:sdtContent>
      </w:sdt>
    </w:p>
    <w:p w14:paraId="53752D29" w14:textId="549C478C" w:rsidR="004D3C43" w:rsidRPr="00B106DF" w:rsidRDefault="004D3C43" w:rsidP="00E9242B">
      <w:pPr>
        <w:tabs>
          <w:tab w:val="left" w:pos="540"/>
          <w:tab w:val="left" w:pos="5568"/>
        </w:tabs>
        <w:ind w:firstLine="0"/>
        <w:jc w:val="both"/>
        <w:rPr>
          <w:rFonts w:asciiTheme="minorHAnsi" w:eastAsia="Calibri" w:hAnsiTheme="minorHAnsi" w:cstheme="minorHAnsi"/>
          <w:b/>
          <w:sz w:val="20"/>
          <w:szCs w:val="20"/>
        </w:rPr>
      </w:pPr>
      <w:bookmarkStart w:id="7" w:name="_Hlk75526451"/>
      <w:r w:rsidRPr="00B106DF">
        <w:rPr>
          <w:rFonts w:asciiTheme="minorHAnsi" w:eastAsia="Calibri" w:hAnsiTheme="minorHAnsi" w:cstheme="minorHAnsi"/>
          <w:b/>
          <w:sz w:val="20"/>
          <w:szCs w:val="20"/>
        </w:rPr>
        <w:t>2.3. Kiekiai/Apimtys:</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Cs/>
          <w:sz w:val="20"/>
          <w:szCs w:val="20"/>
        </w:rPr>
        <w:t>Perkamas</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Paslaugų</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 xml:space="preserve">kiekis </w:t>
      </w:r>
      <w:r w:rsidRPr="00B106DF">
        <w:rPr>
          <w:rFonts w:asciiTheme="minorHAnsi" w:eastAsia="Calibri" w:hAnsiTheme="minorHAnsi" w:cstheme="minorHAnsi"/>
          <w:b/>
          <w:sz w:val="20"/>
          <w:szCs w:val="20"/>
        </w:rPr>
        <w:t>yra</w:t>
      </w:r>
      <w:r w:rsidRPr="00B106DF">
        <w:rPr>
          <w:rFonts w:asciiTheme="minorHAnsi" w:eastAsia="Calibri" w:hAnsiTheme="minorHAnsi" w:cstheme="minorHAnsi"/>
          <w:b/>
          <w:color w:val="FF0000"/>
          <w:sz w:val="20"/>
          <w:szCs w:val="20"/>
        </w:rPr>
        <w:t xml:space="preserve"> </w:t>
      </w:r>
      <w:sdt>
        <w:sdtPr>
          <w:rPr>
            <w:rFonts w:asciiTheme="minorHAnsi" w:eastAsia="Calibri" w:hAnsiTheme="minorHAnsi" w:cstheme="minorHAnsi"/>
            <w:b/>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E9242B">
            <w:rPr>
              <w:rFonts w:asciiTheme="minorHAnsi" w:eastAsia="Calibri" w:hAnsiTheme="minorHAnsi" w:cstheme="minorHAnsi"/>
              <w:b/>
              <w:sz w:val="20"/>
              <w:szCs w:val="20"/>
            </w:rPr>
            <w:t>maksimalus.</w:t>
          </w:r>
        </w:sdtContent>
      </w:sdt>
      <w:r w:rsidRPr="00B106DF">
        <w:rPr>
          <w:rFonts w:asciiTheme="minorHAnsi" w:eastAsia="Calibri" w:hAnsiTheme="minorHAnsi" w:cstheme="minorHAnsi"/>
          <w:b/>
          <w:sz w:val="20"/>
          <w:szCs w:val="20"/>
        </w:rPr>
        <w:tab/>
      </w:r>
    </w:p>
    <w:p w14:paraId="51525842"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kiekiai pateikiami žemiau esančioje Lentelėje Nr. 1:</w:t>
      </w:r>
    </w:p>
    <w:p w14:paraId="5F10B810" w14:textId="26280A9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t>Lentelė Nr. 1</w:t>
      </w:r>
    </w:p>
    <w:tbl>
      <w:tblPr>
        <w:tblStyle w:val="TableGrid"/>
        <w:tblW w:w="9213" w:type="dxa"/>
        <w:tblInd w:w="421" w:type="dxa"/>
        <w:tblLook w:val="04A0" w:firstRow="1" w:lastRow="0" w:firstColumn="1" w:lastColumn="0" w:noHBand="0" w:noVBand="1"/>
      </w:tblPr>
      <w:tblGrid>
        <w:gridCol w:w="823"/>
        <w:gridCol w:w="3969"/>
        <w:gridCol w:w="1559"/>
        <w:gridCol w:w="2862"/>
      </w:tblGrid>
      <w:tr w:rsidR="004D3C43" w:rsidRPr="00B106DF" w14:paraId="1A4FE553" w14:textId="77777777" w:rsidTr="00937C33">
        <w:tc>
          <w:tcPr>
            <w:tcW w:w="823" w:type="dxa"/>
          </w:tcPr>
          <w:p w14:paraId="1F7220B8" w14:textId="77777777" w:rsidR="004D3C43" w:rsidRPr="00B106DF" w:rsidRDefault="004D3C43" w:rsidP="00937C33">
            <w:pPr>
              <w:tabs>
                <w:tab w:val="left" w:pos="0"/>
                <w:tab w:val="left" w:pos="5568"/>
              </w:tabs>
              <w:ind w:right="6" w:hanging="113"/>
              <w:jc w:val="center"/>
              <w:rPr>
                <w:rFonts w:asciiTheme="minorHAnsi" w:eastAsia="Calibri" w:hAnsiTheme="minorHAnsi" w:cstheme="minorHAnsi"/>
                <w:b/>
              </w:rPr>
            </w:pPr>
            <w:r w:rsidRPr="00B106DF">
              <w:rPr>
                <w:rFonts w:asciiTheme="minorHAnsi" w:eastAsia="Calibri" w:hAnsiTheme="minorHAnsi" w:cstheme="minorHAnsi"/>
                <w:b/>
              </w:rPr>
              <w:t>Eil. Nr.</w:t>
            </w:r>
          </w:p>
        </w:tc>
        <w:tc>
          <w:tcPr>
            <w:tcW w:w="3969" w:type="dxa"/>
          </w:tcPr>
          <w:p w14:paraId="785E03B0"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Paslaugų pavadinimas</w:t>
            </w:r>
          </w:p>
        </w:tc>
        <w:tc>
          <w:tcPr>
            <w:tcW w:w="1559" w:type="dxa"/>
          </w:tcPr>
          <w:p w14:paraId="49C076C4" w14:textId="77777777" w:rsidR="004D3C43" w:rsidRPr="00B106DF" w:rsidRDefault="004D3C43" w:rsidP="0093355C">
            <w:pPr>
              <w:tabs>
                <w:tab w:val="left" w:pos="540"/>
                <w:tab w:val="left" w:pos="5568"/>
              </w:tabs>
              <w:jc w:val="both"/>
              <w:rPr>
                <w:rFonts w:asciiTheme="minorHAnsi" w:eastAsia="Calibri" w:hAnsiTheme="minorHAnsi" w:cstheme="minorHAnsi"/>
                <w:b/>
                <w:bCs/>
              </w:rPr>
            </w:pPr>
            <w:r w:rsidRPr="00B106DF">
              <w:rPr>
                <w:rFonts w:asciiTheme="minorHAnsi" w:eastAsia="Calibri" w:hAnsiTheme="minorHAnsi" w:cstheme="minorHAnsi"/>
                <w:b/>
                <w:bCs/>
              </w:rPr>
              <w:t>Mato vnt.</w:t>
            </w:r>
          </w:p>
        </w:tc>
        <w:tc>
          <w:tcPr>
            <w:tcW w:w="2862" w:type="dxa"/>
          </w:tcPr>
          <w:p w14:paraId="7799128B"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Preliminarus kiekis</w:t>
            </w:r>
            <w:r w:rsidRPr="00B106DF">
              <w:rPr>
                <w:rFonts w:asciiTheme="minorHAnsi" w:eastAsia="Calibri" w:hAnsiTheme="minorHAnsi" w:cstheme="minorHAnsi"/>
                <w:b/>
                <w:bCs/>
                <w:vertAlign w:val="superscript"/>
              </w:rPr>
              <w:footnoteReference w:id="1"/>
            </w:r>
            <w:r w:rsidRPr="00B106DF">
              <w:rPr>
                <w:rFonts w:asciiTheme="minorHAnsi" w:eastAsia="Calibri" w:hAnsiTheme="minorHAnsi" w:cstheme="minorHAnsi"/>
                <w:b/>
                <w:bCs/>
              </w:rPr>
              <w:t xml:space="preserve"> /</w:t>
            </w:r>
          </w:p>
          <w:p w14:paraId="46695A6D"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Maksimalus kiekis</w:t>
            </w:r>
            <w:r w:rsidRPr="00B106DF">
              <w:rPr>
                <w:rFonts w:asciiTheme="minorHAnsi" w:eastAsia="Calibri" w:hAnsiTheme="minorHAnsi" w:cstheme="minorHAnsi"/>
                <w:b/>
                <w:bCs/>
                <w:vertAlign w:val="superscript"/>
              </w:rPr>
              <w:footnoteReference w:id="2"/>
            </w:r>
            <w:r w:rsidRPr="00B106DF">
              <w:rPr>
                <w:rFonts w:asciiTheme="minorHAnsi" w:eastAsia="Calibri" w:hAnsiTheme="minorHAnsi" w:cstheme="minorHAnsi"/>
                <w:b/>
                <w:bCs/>
              </w:rPr>
              <w:t xml:space="preserve"> /</w:t>
            </w:r>
          </w:p>
          <w:p w14:paraId="52BEF238"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Konkretus kiekis</w:t>
            </w:r>
            <w:r w:rsidRPr="00B106DF">
              <w:rPr>
                <w:rFonts w:asciiTheme="minorHAnsi" w:eastAsia="Calibri" w:hAnsiTheme="minorHAnsi" w:cstheme="minorHAnsi"/>
                <w:b/>
                <w:bCs/>
                <w:vertAlign w:val="superscript"/>
              </w:rPr>
              <w:footnoteReference w:id="3"/>
            </w:r>
            <w:r w:rsidRPr="00B106DF">
              <w:rPr>
                <w:rFonts w:asciiTheme="minorHAnsi" w:eastAsia="Calibri" w:hAnsiTheme="minorHAnsi" w:cstheme="minorHAnsi"/>
                <w:b/>
                <w:bCs/>
              </w:rPr>
              <w:t xml:space="preserve"> Sutarties galiojimo</w:t>
            </w:r>
          </w:p>
          <w:p w14:paraId="025F3A65"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laikotarpiu</w:t>
            </w:r>
          </w:p>
        </w:tc>
      </w:tr>
      <w:tr w:rsidR="004D3C43" w:rsidRPr="00B106DF" w14:paraId="5565B89E" w14:textId="77777777" w:rsidTr="00937C33">
        <w:tc>
          <w:tcPr>
            <w:tcW w:w="823" w:type="dxa"/>
          </w:tcPr>
          <w:p w14:paraId="061D5037" w14:textId="77777777" w:rsidR="004D3C43" w:rsidRPr="00B106DF" w:rsidRDefault="004D3C43" w:rsidP="0093355C">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1.</w:t>
            </w:r>
          </w:p>
        </w:tc>
        <w:tc>
          <w:tcPr>
            <w:tcW w:w="3969" w:type="dxa"/>
          </w:tcPr>
          <w:p w14:paraId="2D9AF4CB" w14:textId="0D8BCE24" w:rsidR="004D3C43" w:rsidRPr="00B106DF" w:rsidRDefault="00E9242B"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Kvalifikuotos elektroninės laiko žymos</w:t>
            </w:r>
          </w:p>
        </w:tc>
        <w:tc>
          <w:tcPr>
            <w:tcW w:w="1559" w:type="dxa"/>
          </w:tcPr>
          <w:p w14:paraId="2CADED09" w14:textId="2228C8F1" w:rsidR="004D3C43" w:rsidRPr="00B106DF" w:rsidRDefault="00E9242B"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72000</w:t>
            </w:r>
          </w:p>
        </w:tc>
        <w:tc>
          <w:tcPr>
            <w:tcW w:w="2862" w:type="dxa"/>
          </w:tcPr>
          <w:p w14:paraId="276B2B38" w14:textId="2AAF1BB6" w:rsidR="004D3C43" w:rsidRPr="00B106DF" w:rsidRDefault="00E9242B"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Maksimalus</w:t>
            </w:r>
          </w:p>
        </w:tc>
      </w:tr>
      <w:bookmarkEnd w:id="6"/>
      <w:bookmarkEnd w:id="7"/>
    </w:tbl>
    <w:p w14:paraId="30BF5DDF" w14:textId="77777777" w:rsidR="00E9242B" w:rsidRPr="00B106DF" w:rsidRDefault="00E9242B" w:rsidP="004D3C43">
      <w:pPr>
        <w:jc w:val="both"/>
        <w:rPr>
          <w:rFonts w:asciiTheme="minorHAnsi" w:eastAsia="Calibri" w:hAnsiTheme="minorHAnsi" w:cstheme="minorHAnsi"/>
          <w:sz w:val="20"/>
          <w:szCs w:val="20"/>
        </w:rPr>
      </w:pPr>
    </w:p>
    <w:p w14:paraId="307741CD" w14:textId="77777777" w:rsidR="004D3C43" w:rsidRPr="00B106DF" w:rsidRDefault="004D3C43" w:rsidP="00E9242B">
      <w:pPr>
        <w:numPr>
          <w:ilvl w:val="0"/>
          <w:numId w:val="48"/>
        </w:numPr>
        <w:pBdr>
          <w:top w:val="single" w:sz="8" w:space="1" w:color="auto"/>
          <w:bottom w:val="single" w:sz="8" w:space="1" w:color="auto"/>
        </w:pBdr>
        <w:tabs>
          <w:tab w:val="left" w:pos="284"/>
        </w:tabs>
        <w:spacing w:before="60" w:after="60"/>
        <w:ind w:left="426"/>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6A242173" w14:textId="56F288F9" w:rsidR="004D3C43" w:rsidRPr="00E9242B" w:rsidRDefault="004D3C43" w:rsidP="00E9242B">
      <w:pPr>
        <w:pStyle w:val="ListParagraph"/>
        <w:numPr>
          <w:ilvl w:val="1"/>
          <w:numId w:val="48"/>
        </w:numPr>
        <w:pBdr>
          <w:bottom w:val="single" w:sz="8" w:space="0" w:color="auto"/>
          <w:between w:val="single" w:sz="12" w:space="1" w:color="auto"/>
        </w:pBdr>
        <w:tabs>
          <w:tab w:val="left" w:pos="142"/>
        </w:tabs>
        <w:spacing w:before="60" w:after="60"/>
        <w:ind w:hanging="578"/>
        <w:rPr>
          <w:rFonts w:asciiTheme="minorHAnsi" w:eastAsia="Calibri" w:hAnsiTheme="minorHAnsi" w:cstheme="minorHAnsi"/>
          <w:b/>
          <w:sz w:val="20"/>
          <w:szCs w:val="20"/>
        </w:rPr>
      </w:pPr>
      <w:r w:rsidRPr="00E9242B">
        <w:rPr>
          <w:rFonts w:asciiTheme="minorHAnsi" w:eastAsia="Calibri" w:hAnsiTheme="minorHAnsi" w:cstheme="minorHAnsi"/>
          <w:b/>
          <w:sz w:val="20"/>
          <w:szCs w:val="20"/>
        </w:rPr>
        <w:t>Pirkimo objekto aprašymas</w:t>
      </w:r>
    </w:p>
    <w:p w14:paraId="7A233FBF" w14:textId="22E01275" w:rsidR="00E9242B" w:rsidRPr="00E9242B" w:rsidRDefault="00E9242B" w:rsidP="00E9242B">
      <w:pPr>
        <w:pStyle w:val="ListParagraph"/>
        <w:numPr>
          <w:ilvl w:val="2"/>
          <w:numId w:val="48"/>
        </w:numPr>
        <w:spacing w:before="60" w:after="60"/>
        <w:ind w:left="709" w:hanging="567"/>
        <w:jc w:val="both"/>
        <w:rPr>
          <w:rFonts w:asciiTheme="minorHAnsi" w:hAnsiTheme="minorHAnsi" w:cstheme="minorHAnsi"/>
          <w:bCs/>
          <w:iCs/>
          <w:sz w:val="20"/>
          <w:szCs w:val="20"/>
        </w:rPr>
      </w:pPr>
      <w:bookmarkStart w:id="8" w:name="_Hlk41056007"/>
      <w:bookmarkStart w:id="9" w:name="_Hlk40957178"/>
      <w:r w:rsidRPr="00E9242B">
        <w:rPr>
          <w:rFonts w:asciiTheme="minorHAnsi" w:hAnsiTheme="minorHAnsi" w:cstheme="minorHAnsi"/>
          <w:bCs/>
          <w:iCs/>
          <w:sz w:val="20"/>
          <w:szCs w:val="20"/>
        </w:rPr>
        <w:t>Kvalifikuotų elektroninių laiko žymų teikimo paslaugos turi atitikti 2014 m. liepos 23 d. Europos Parlamento ir Tarybos reglamento (ES) Nr. 910/2014 dėl elektroninės atpažinties ir elektroninių operacijų patikimumo užtikrinimo paslaugų vidaus rinkoje, kuriuo panaikinama Direktyva 1999/93/EB (toliau – Reglamentas (ES) Nr. 910/2014) reikalavimus.</w:t>
      </w:r>
    </w:p>
    <w:p w14:paraId="35518058" w14:textId="2F7850D9" w:rsidR="00E9242B" w:rsidRPr="00E9242B" w:rsidRDefault="00E9242B" w:rsidP="00E9242B">
      <w:pPr>
        <w:pStyle w:val="ListParagraph"/>
        <w:numPr>
          <w:ilvl w:val="2"/>
          <w:numId w:val="48"/>
        </w:numPr>
        <w:spacing w:before="60" w:after="60"/>
        <w:ind w:left="709" w:hanging="567"/>
        <w:jc w:val="both"/>
        <w:rPr>
          <w:rFonts w:asciiTheme="minorHAnsi" w:hAnsiTheme="minorHAnsi" w:cstheme="minorHAnsi"/>
          <w:bCs/>
          <w:iCs/>
          <w:sz w:val="20"/>
          <w:szCs w:val="20"/>
        </w:rPr>
      </w:pPr>
      <w:r w:rsidRPr="00E9242B">
        <w:rPr>
          <w:rFonts w:asciiTheme="minorHAnsi" w:hAnsiTheme="minorHAnsi" w:cstheme="minorHAnsi"/>
          <w:bCs/>
          <w:iCs/>
          <w:sz w:val="20"/>
          <w:szCs w:val="20"/>
        </w:rPr>
        <w:t>UAB Vilniaus vandenys (toliau – VV) užklausos dėl kvalifikuotų elektroninių laiko žymų turi būti atpažįstamos pagal VV pateiktus interneto protokolo adresus (IP).</w:t>
      </w:r>
    </w:p>
    <w:bookmarkEnd w:id="8"/>
    <w:p w14:paraId="12B5707C" w14:textId="1D7F9E04" w:rsidR="00E9242B" w:rsidRPr="00E9242B" w:rsidRDefault="00E9242B" w:rsidP="00E9242B">
      <w:pPr>
        <w:pStyle w:val="ListParagraph"/>
        <w:numPr>
          <w:ilvl w:val="2"/>
          <w:numId w:val="48"/>
        </w:numPr>
        <w:spacing w:before="60" w:after="60"/>
        <w:ind w:left="709" w:hanging="567"/>
        <w:jc w:val="both"/>
        <w:rPr>
          <w:rFonts w:asciiTheme="minorHAnsi" w:hAnsiTheme="minorHAnsi" w:cstheme="minorHAnsi"/>
          <w:bCs/>
          <w:iCs/>
          <w:sz w:val="20"/>
          <w:szCs w:val="20"/>
        </w:rPr>
      </w:pPr>
      <w:r w:rsidRPr="00E9242B">
        <w:rPr>
          <w:rFonts w:asciiTheme="minorHAnsi" w:hAnsiTheme="minorHAnsi" w:cstheme="minorHAnsi"/>
          <w:bCs/>
          <w:iCs/>
          <w:sz w:val="20"/>
          <w:szCs w:val="20"/>
        </w:rPr>
        <w:t>Kvalifikuotos elektroninės laiko žymos turi atitikti šiuos reikalavimus:</w:t>
      </w:r>
    </w:p>
    <w:p w14:paraId="55A90795" w14:textId="3CE9C593" w:rsidR="00E9242B" w:rsidRPr="00915CE0" w:rsidRDefault="00E9242B" w:rsidP="00E9242B">
      <w:pPr>
        <w:pStyle w:val="ListParagraph"/>
        <w:numPr>
          <w:ilvl w:val="3"/>
          <w:numId w:val="48"/>
        </w:numPr>
        <w:spacing w:before="60" w:after="60"/>
        <w:jc w:val="both"/>
        <w:rPr>
          <w:rFonts w:asciiTheme="minorHAnsi" w:hAnsiTheme="minorHAnsi" w:cstheme="minorHAnsi"/>
          <w:bCs/>
          <w:iCs/>
          <w:sz w:val="20"/>
          <w:szCs w:val="20"/>
        </w:rPr>
      </w:pPr>
      <w:r w:rsidRPr="00915CE0">
        <w:rPr>
          <w:rFonts w:asciiTheme="minorHAnsi" w:hAnsiTheme="minorHAnsi" w:cstheme="minorHAnsi"/>
          <w:bCs/>
          <w:iCs/>
          <w:sz w:val="20"/>
          <w:szCs w:val="20"/>
        </w:rPr>
        <w:t>ji susieja datą ir laiką su duomenimis taip, kad pagrįstai neliktų galimybės nepastebimai pakeisti duomenų;</w:t>
      </w:r>
    </w:p>
    <w:p w14:paraId="5094C45B" w14:textId="6C15B0F6" w:rsidR="00E9242B" w:rsidRPr="00E9242B" w:rsidRDefault="00E9242B" w:rsidP="00E9242B">
      <w:pPr>
        <w:pStyle w:val="ListParagraph"/>
        <w:numPr>
          <w:ilvl w:val="3"/>
          <w:numId w:val="48"/>
        </w:numPr>
        <w:spacing w:before="60" w:after="60"/>
        <w:jc w:val="both"/>
        <w:rPr>
          <w:rFonts w:asciiTheme="minorHAnsi" w:hAnsiTheme="minorHAnsi" w:cstheme="minorHAnsi"/>
          <w:bCs/>
          <w:iCs/>
          <w:sz w:val="20"/>
          <w:szCs w:val="20"/>
        </w:rPr>
      </w:pPr>
      <w:r w:rsidRPr="00E9242B">
        <w:rPr>
          <w:rFonts w:asciiTheme="minorHAnsi" w:hAnsiTheme="minorHAnsi" w:cstheme="minorHAnsi"/>
          <w:bCs/>
          <w:iCs/>
          <w:sz w:val="20"/>
          <w:szCs w:val="20"/>
        </w:rPr>
        <w:t>ji grindžiama tiksliu laiko šaltiniu, susietu su suderintuoju pasauliniu laiku;</w:t>
      </w:r>
    </w:p>
    <w:p w14:paraId="763DC01B" w14:textId="1732B61F" w:rsidR="00E9242B" w:rsidRPr="00E9242B" w:rsidRDefault="00E9242B" w:rsidP="00E9242B">
      <w:pPr>
        <w:pStyle w:val="ListParagraph"/>
        <w:numPr>
          <w:ilvl w:val="3"/>
          <w:numId w:val="48"/>
        </w:numPr>
        <w:spacing w:before="60" w:after="60"/>
        <w:jc w:val="both"/>
        <w:rPr>
          <w:rFonts w:asciiTheme="minorHAnsi" w:hAnsiTheme="minorHAnsi" w:cstheme="minorHAnsi"/>
          <w:bCs/>
          <w:iCs/>
          <w:sz w:val="20"/>
          <w:szCs w:val="20"/>
        </w:rPr>
      </w:pPr>
      <w:r w:rsidRPr="00E9242B">
        <w:rPr>
          <w:rFonts w:asciiTheme="minorHAnsi" w:hAnsiTheme="minorHAnsi" w:cstheme="minorHAnsi"/>
          <w:bCs/>
          <w:iCs/>
          <w:sz w:val="20"/>
          <w:szCs w:val="20"/>
        </w:rPr>
        <w:t>ji pasirašyta naudojant kvalifikuoto patikimumo užtikrinimo paslaugų teikėjo pažangųjį elektroninį parašą arba patvirtinta jo pažangiuoju elektroniniu spaudu arba lygiaverčiu būdu;</w:t>
      </w:r>
    </w:p>
    <w:p w14:paraId="39FFBEF9" w14:textId="0F817458" w:rsidR="00E9242B" w:rsidRPr="00E9242B" w:rsidRDefault="00E9242B" w:rsidP="00E9242B">
      <w:pPr>
        <w:pStyle w:val="ListParagraph"/>
        <w:numPr>
          <w:ilvl w:val="3"/>
          <w:numId w:val="48"/>
        </w:numPr>
        <w:spacing w:before="60" w:after="60"/>
        <w:jc w:val="both"/>
        <w:rPr>
          <w:rFonts w:asciiTheme="minorHAnsi" w:hAnsiTheme="minorHAnsi" w:cstheme="minorHAnsi"/>
          <w:bCs/>
          <w:iCs/>
          <w:sz w:val="20"/>
          <w:szCs w:val="20"/>
        </w:rPr>
      </w:pPr>
      <w:r w:rsidRPr="00E9242B">
        <w:rPr>
          <w:rFonts w:asciiTheme="minorHAnsi" w:hAnsiTheme="minorHAnsi" w:cstheme="minorHAnsi"/>
          <w:bCs/>
          <w:iCs/>
          <w:sz w:val="20"/>
          <w:szCs w:val="20"/>
        </w:rPr>
        <w:t>turi atitikti standarto Reglamento (ES) Nr. 910/2014 bei jo įgyvendinimo standartų ETSI EN 319 421 ir ETSI EN 319 422 (įskaitant šiuose standartuose nurodomus kitus dokumentus) reikalavimus. Pasikeitus elektroninės laiko žymos teikimą reglamentuojantiems reikalavimas, paslaugų teikėjas turi užtikrinti, kad teikiamos elektroninės laiko žymos atitiktų šiuos pasikeitusius reikalavimus.</w:t>
      </w:r>
    </w:p>
    <w:p w14:paraId="234E3757" w14:textId="38416E65" w:rsidR="00E9242B" w:rsidRPr="00E9242B" w:rsidRDefault="00E9242B" w:rsidP="00E9242B">
      <w:pPr>
        <w:pStyle w:val="ListParagraph"/>
        <w:numPr>
          <w:ilvl w:val="2"/>
          <w:numId w:val="48"/>
        </w:numPr>
        <w:spacing w:before="60" w:after="60"/>
        <w:ind w:hanging="578"/>
        <w:jc w:val="both"/>
        <w:rPr>
          <w:rFonts w:asciiTheme="minorHAnsi" w:hAnsiTheme="minorHAnsi" w:cstheme="minorHAnsi"/>
          <w:bCs/>
          <w:iCs/>
          <w:sz w:val="20"/>
          <w:szCs w:val="20"/>
        </w:rPr>
      </w:pPr>
      <w:r w:rsidRPr="00E9242B">
        <w:rPr>
          <w:rFonts w:asciiTheme="minorHAnsi" w:hAnsiTheme="minorHAnsi" w:cstheme="minorHAnsi"/>
          <w:bCs/>
          <w:iCs/>
          <w:sz w:val="20"/>
          <w:szCs w:val="20"/>
        </w:rPr>
        <w:t>Kvalifikuoto patikimumo užtikrinimo paslaugų teikėjo kvalifikuotų elektroninių laiko žymų paslaugų tarnybos sertifikatas, kuriuo patvirtinamos kvalifikuotos elektroninės laiko žymos, turi galioti ne trumpiau kaip 2 metus po sutarties galiojimo pabaigos.</w:t>
      </w:r>
    </w:p>
    <w:p w14:paraId="4A6F7645" w14:textId="0D093803" w:rsidR="00E9242B" w:rsidRPr="00E9242B" w:rsidRDefault="00E9242B" w:rsidP="00E9242B">
      <w:pPr>
        <w:pStyle w:val="ListParagraph"/>
        <w:numPr>
          <w:ilvl w:val="2"/>
          <w:numId w:val="48"/>
        </w:numPr>
        <w:spacing w:before="60" w:after="60"/>
        <w:ind w:hanging="578"/>
        <w:jc w:val="both"/>
        <w:rPr>
          <w:rFonts w:asciiTheme="minorHAnsi" w:hAnsiTheme="minorHAnsi" w:cstheme="minorHAnsi"/>
          <w:bCs/>
          <w:iCs/>
          <w:sz w:val="20"/>
          <w:szCs w:val="20"/>
        </w:rPr>
      </w:pPr>
      <w:r w:rsidRPr="00E9242B">
        <w:rPr>
          <w:rFonts w:asciiTheme="minorHAnsi" w:hAnsiTheme="minorHAnsi" w:cstheme="minorHAnsi"/>
          <w:bCs/>
          <w:iCs/>
          <w:sz w:val="20"/>
          <w:szCs w:val="20"/>
        </w:rPr>
        <w:t>Laiko žymų naudojimui neturi būti taikomi jokie apribojimai.</w:t>
      </w:r>
    </w:p>
    <w:p w14:paraId="31190025" w14:textId="5103776C" w:rsidR="00E9242B" w:rsidRPr="00E9242B" w:rsidRDefault="00E9242B" w:rsidP="00E9242B">
      <w:pPr>
        <w:pStyle w:val="ListParagraph"/>
        <w:numPr>
          <w:ilvl w:val="2"/>
          <w:numId w:val="48"/>
        </w:numPr>
        <w:spacing w:before="60" w:after="60"/>
        <w:ind w:hanging="578"/>
        <w:jc w:val="both"/>
        <w:rPr>
          <w:rFonts w:asciiTheme="minorHAnsi" w:hAnsiTheme="minorHAnsi" w:cstheme="minorHAnsi"/>
          <w:bCs/>
          <w:iCs/>
          <w:sz w:val="20"/>
          <w:szCs w:val="20"/>
        </w:rPr>
      </w:pPr>
      <w:r w:rsidRPr="00E9242B">
        <w:rPr>
          <w:rFonts w:asciiTheme="minorHAnsi" w:hAnsiTheme="minorHAnsi" w:cstheme="minorHAnsi"/>
          <w:bCs/>
          <w:iCs/>
          <w:sz w:val="20"/>
          <w:szCs w:val="20"/>
        </w:rPr>
        <w:lastRenderedPageBreak/>
        <w:t>Paslaugų tiekėjas turi suteikti neatlygintai VV ar jo įgaliotiems tretiesiems asmenims sąsają skirtą kvalifikuotų elektroninių laiko žymos teikimo paslaugos testavimui, kurią naudojant VV ar jo įgalioti tretieji asmenys galėtų neatlygintai atlikti iki 50 užklausų ir gauti jų atsakymus per metus.</w:t>
      </w:r>
    </w:p>
    <w:p w14:paraId="3E65F524" w14:textId="77777777" w:rsidR="004D3C43" w:rsidRPr="00B106DF" w:rsidRDefault="004D3C43" w:rsidP="004D3C43">
      <w:pPr>
        <w:numPr>
          <w:ilvl w:val="0"/>
          <w:numId w:val="48"/>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TEIKIMO VIETA, TERMINAI IR TVARKA</w:t>
      </w:r>
    </w:p>
    <w:p w14:paraId="687A2AEF" w14:textId="46287BD5" w:rsidR="004D3C43" w:rsidRPr="00B106DF" w:rsidRDefault="004D3C43" w:rsidP="00E343F4">
      <w:pPr>
        <w:numPr>
          <w:ilvl w:val="1"/>
          <w:numId w:val="48"/>
        </w:numPr>
        <w:spacing w:before="60" w:after="60"/>
        <w:ind w:left="426" w:hanging="426"/>
        <w:contextualSpacing/>
        <w:jc w:val="both"/>
        <w:rPr>
          <w:rFonts w:asciiTheme="minorHAnsi" w:eastAsia="Calibri" w:hAnsiTheme="minorHAnsi" w:cstheme="minorHAnsi"/>
          <w:b/>
          <w:sz w:val="20"/>
          <w:szCs w:val="20"/>
        </w:rPr>
      </w:pPr>
      <w:bookmarkStart w:id="10" w:name="_Hlk75526604"/>
      <w:r w:rsidRPr="00B106DF">
        <w:rPr>
          <w:rFonts w:asciiTheme="minorHAnsi" w:eastAsia="Calibri" w:hAnsiTheme="minorHAnsi" w:cstheme="minorHAnsi"/>
          <w:b/>
          <w:sz w:val="20"/>
          <w:szCs w:val="20"/>
        </w:rPr>
        <w:t xml:space="preserve">Paslaugų teikimo vieta – </w:t>
      </w:r>
      <w:r w:rsidR="00E9242B" w:rsidRPr="00E9242B">
        <w:rPr>
          <w:rFonts w:asciiTheme="minorHAnsi" w:eastAsia="Calibri" w:hAnsiTheme="minorHAnsi" w:cstheme="minorHAnsi"/>
          <w:b/>
          <w:sz w:val="20"/>
          <w:szCs w:val="20"/>
        </w:rPr>
        <w:t>Uždaroji akcinė bendrovė „VILNIAUS VANDENYS“.</w:t>
      </w:r>
    </w:p>
    <w:p w14:paraId="1A387C6A" w14:textId="05BDC10B" w:rsidR="004D3C43" w:rsidRPr="00E9242B" w:rsidRDefault="004D3C43" w:rsidP="00E343F4">
      <w:pPr>
        <w:numPr>
          <w:ilvl w:val="1"/>
          <w:numId w:val="48"/>
        </w:numPr>
        <w:tabs>
          <w:tab w:val="left" w:pos="426"/>
        </w:tabs>
        <w:spacing w:before="60" w:after="60"/>
        <w:ind w:hanging="720"/>
        <w:contextualSpacing/>
        <w:jc w:val="both"/>
        <w:rPr>
          <w:rFonts w:asciiTheme="minorHAnsi" w:eastAsia="Calibri" w:hAnsiTheme="minorHAnsi" w:cstheme="minorHAnsi"/>
          <w:i/>
          <w:iCs/>
          <w:color w:val="FF0000"/>
          <w:sz w:val="20"/>
          <w:szCs w:val="20"/>
        </w:rPr>
      </w:pPr>
      <w:r w:rsidRPr="00E9242B">
        <w:rPr>
          <w:rFonts w:asciiTheme="minorHAnsi" w:eastAsia="MS Gothic" w:hAnsiTheme="minorHAnsi" w:cstheme="minorHAnsi"/>
          <w:b/>
          <w:bCs/>
          <w:sz w:val="20"/>
          <w:szCs w:val="20"/>
        </w:rPr>
        <w:t>Paslaugų teikimo terminas (-ai)</w:t>
      </w:r>
      <w:r w:rsidRPr="00E9242B">
        <w:rPr>
          <w:rFonts w:asciiTheme="minorHAnsi" w:eastAsia="MS Gothic" w:hAnsiTheme="minorHAnsi" w:cstheme="minorHAnsi"/>
          <w:sz w:val="20"/>
          <w:szCs w:val="20"/>
        </w:rPr>
        <w:t xml:space="preserve">-  </w:t>
      </w:r>
      <w:r w:rsidR="00E9242B" w:rsidRPr="00E9242B">
        <w:rPr>
          <w:rFonts w:asciiTheme="minorHAnsi" w:eastAsia="MS Gothic" w:hAnsiTheme="minorHAnsi" w:cstheme="minorHAnsi"/>
          <w:i/>
          <w:iCs/>
          <w:sz w:val="20"/>
          <w:szCs w:val="20"/>
        </w:rPr>
        <w:t>36 mėnesiai</w:t>
      </w:r>
      <w:r w:rsidRPr="00E9242B">
        <w:rPr>
          <w:rFonts w:asciiTheme="minorHAnsi" w:eastAsia="MS Gothic" w:hAnsiTheme="minorHAnsi" w:cstheme="minorHAnsi"/>
          <w:i/>
          <w:iCs/>
          <w:sz w:val="20"/>
          <w:szCs w:val="20"/>
        </w:rPr>
        <w:t xml:space="preserve"> </w:t>
      </w:r>
      <w:r w:rsidRPr="00E9242B">
        <w:rPr>
          <w:rFonts w:asciiTheme="minorHAnsi" w:eastAsia="MS Gothic" w:hAnsiTheme="minorHAnsi" w:cstheme="minorHAnsi"/>
          <w:sz w:val="20"/>
          <w:szCs w:val="20"/>
        </w:rPr>
        <w:t xml:space="preserve">nuo </w:t>
      </w:r>
      <w:r w:rsidR="007C3CAD">
        <w:rPr>
          <w:rFonts w:asciiTheme="minorHAnsi" w:eastAsia="MS Gothic" w:hAnsiTheme="minorHAnsi" w:cstheme="minorHAnsi"/>
          <w:color w:val="808080"/>
          <w:sz w:val="20"/>
          <w:szCs w:val="20"/>
        </w:rPr>
        <w:t>2024-11-</w:t>
      </w:r>
      <w:r w:rsidR="0063673E">
        <w:rPr>
          <w:rFonts w:asciiTheme="minorHAnsi" w:eastAsia="MS Gothic" w:hAnsiTheme="minorHAnsi" w:cstheme="minorHAnsi"/>
          <w:color w:val="808080"/>
          <w:sz w:val="20"/>
          <w:szCs w:val="20"/>
        </w:rPr>
        <w:t xml:space="preserve">19 </w:t>
      </w:r>
      <w:r w:rsidR="007C3CAD">
        <w:rPr>
          <w:rFonts w:asciiTheme="minorHAnsi" w:eastAsia="MS Gothic" w:hAnsiTheme="minorHAnsi" w:cstheme="minorHAnsi"/>
          <w:color w:val="808080"/>
          <w:sz w:val="20"/>
          <w:szCs w:val="20"/>
        </w:rPr>
        <w:t>d</w:t>
      </w:r>
      <w:r w:rsidR="00E9242B" w:rsidRPr="00E9242B">
        <w:rPr>
          <w:rFonts w:asciiTheme="minorHAnsi" w:eastAsia="MS Gothic" w:hAnsiTheme="minorHAnsi" w:cstheme="minorHAnsi"/>
          <w:i/>
          <w:iCs/>
          <w:color w:val="808080"/>
          <w:sz w:val="20"/>
          <w:szCs w:val="20"/>
        </w:rPr>
        <w:t xml:space="preserve">. </w:t>
      </w:r>
    </w:p>
    <w:p w14:paraId="240C55B4" w14:textId="5BA3790E" w:rsidR="004D3C43" w:rsidRPr="00E343F4" w:rsidRDefault="004D3C43" w:rsidP="00E343F4">
      <w:pPr>
        <w:numPr>
          <w:ilvl w:val="1"/>
          <w:numId w:val="48"/>
        </w:numPr>
        <w:tabs>
          <w:tab w:val="left" w:pos="426"/>
        </w:tabs>
        <w:spacing w:before="60" w:after="60"/>
        <w:ind w:hanging="720"/>
        <w:contextualSpacing/>
        <w:jc w:val="both"/>
        <w:rPr>
          <w:rFonts w:asciiTheme="minorHAnsi" w:eastAsia="MS Gothic" w:hAnsiTheme="minorHAnsi" w:cstheme="minorHAnsi"/>
          <w:i/>
          <w:iCs/>
          <w:color w:val="FF0000"/>
          <w:sz w:val="20"/>
          <w:szCs w:val="20"/>
        </w:rPr>
      </w:pPr>
      <w:r w:rsidRPr="00E343F4">
        <w:rPr>
          <w:rFonts w:asciiTheme="minorHAnsi" w:eastAsia="Calibri" w:hAnsiTheme="minorHAnsi" w:cstheme="minorHAnsi"/>
          <w:b/>
          <w:bCs/>
          <w:sz w:val="20"/>
          <w:szCs w:val="20"/>
        </w:rPr>
        <w:t>Paslaugų vykdymo tvarka</w:t>
      </w:r>
      <w:r w:rsidRPr="00E343F4">
        <w:rPr>
          <w:rFonts w:asciiTheme="minorHAnsi" w:eastAsia="Calibri" w:hAnsiTheme="minorHAnsi" w:cstheme="minorHAnsi"/>
          <w:sz w:val="20"/>
          <w:szCs w:val="20"/>
        </w:rPr>
        <w:t xml:space="preserve"> – Paslaugų teikėjas Paslaugas pradeda teikti nuo </w:t>
      </w:r>
      <w:r w:rsidR="007C3CAD">
        <w:rPr>
          <w:rFonts w:asciiTheme="minorHAnsi" w:eastAsia="Calibri" w:hAnsiTheme="minorHAnsi" w:cstheme="minorHAnsi"/>
          <w:color w:val="808080"/>
          <w:sz w:val="20"/>
          <w:szCs w:val="20"/>
        </w:rPr>
        <w:t>2024-11-</w:t>
      </w:r>
      <w:r w:rsidR="0063673E">
        <w:rPr>
          <w:rFonts w:asciiTheme="minorHAnsi" w:eastAsia="Calibri" w:hAnsiTheme="minorHAnsi" w:cstheme="minorHAnsi"/>
          <w:color w:val="808080"/>
          <w:sz w:val="20"/>
          <w:szCs w:val="20"/>
        </w:rPr>
        <w:t xml:space="preserve">19 </w:t>
      </w:r>
      <w:r w:rsidR="007C3CAD">
        <w:rPr>
          <w:rFonts w:asciiTheme="minorHAnsi" w:eastAsia="Calibri" w:hAnsiTheme="minorHAnsi" w:cstheme="minorHAnsi"/>
          <w:color w:val="808080"/>
          <w:sz w:val="20"/>
          <w:szCs w:val="20"/>
        </w:rPr>
        <w:t>d</w:t>
      </w:r>
      <w:r w:rsidR="00E343F4">
        <w:rPr>
          <w:rFonts w:asciiTheme="minorHAnsi" w:eastAsia="Calibri" w:hAnsiTheme="minorHAnsi" w:cstheme="minorHAnsi"/>
          <w:color w:val="808080"/>
          <w:sz w:val="20"/>
          <w:szCs w:val="20"/>
        </w:rPr>
        <w:t>.</w:t>
      </w:r>
    </w:p>
    <w:p w14:paraId="074B319D" w14:textId="77777777" w:rsidR="00E343F4" w:rsidRPr="00E343F4" w:rsidRDefault="00E343F4" w:rsidP="00E343F4">
      <w:pPr>
        <w:tabs>
          <w:tab w:val="left" w:pos="426"/>
        </w:tabs>
        <w:spacing w:before="60" w:after="60"/>
        <w:ind w:left="720" w:firstLine="0"/>
        <w:contextualSpacing/>
        <w:jc w:val="both"/>
        <w:rPr>
          <w:rFonts w:asciiTheme="minorHAnsi" w:eastAsia="MS Gothic" w:hAnsiTheme="minorHAnsi" w:cstheme="minorHAnsi"/>
          <w:i/>
          <w:iCs/>
          <w:color w:val="FF0000"/>
          <w:sz w:val="20"/>
          <w:szCs w:val="20"/>
        </w:rPr>
      </w:pPr>
    </w:p>
    <w:bookmarkEnd w:id="9"/>
    <w:bookmarkEnd w:id="10"/>
    <w:p w14:paraId="4C711F32" w14:textId="5D7A8A54" w:rsidR="004D3C43" w:rsidRPr="00E343F4" w:rsidRDefault="004D3C43" w:rsidP="00E343F4">
      <w:pPr>
        <w:pStyle w:val="ListParagraph"/>
        <w:numPr>
          <w:ilvl w:val="0"/>
          <w:numId w:val="48"/>
        </w:numPr>
        <w:pBdr>
          <w:top w:val="single" w:sz="4" w:space="1" w:color="auto"/>
          <w:bottom w:val="single" w:sz="8" w:space="1" w:color="auto"/>
          <w:between w:val="single" w:sz="12" w:space="1" w:color="auto"/>
        </w:pBdr>
        <w:tabs>
          <w:tab w:val="left" w:pos="284"/>
        </w:tabs>
        <w:spacing w:before="60" w:after="60"/>
        <w:ind w:hanging="720"/>
        <w:rPr>
          <w:rFonts w:asciiTheme="minorHAnsi" w:eastAsia="Calibri" w:hAnsiTheme="minorHAnsi" w:cstheme="minorHAnsi"/>
          <w:b/>
          <w:sz w:val="20"/>
          <w:szCs w:val="20"/>
        </w:rPr>
      </w:pPr>
      <w:r w:rsidRPr="00E343F4">
        <w:rPr>
          <w:rFonts w:asciiTheme="minorHAnsi" w:eastAsia="Calibri" w:hAnsiTheme="minorHAnsi" w:cstheme="minorHAnsi"/>
          <w:b/>
          <w:sz w:val="20"/>
          <w:szCs w:val="20"/>
        </w:rPr>
        <w:t>PASLAUGŲ KOKYBĖ IR TRŪKUMŲ ŠALINIMAS</w:t>
      </w:r>
    </w:p>
    <w:p w14:paraId="160F59C9" w14:textId="77777777" w:rsidR="00E343F4" w:rsidRDefault="00E343F4" w:rsidP="00DE52C7">
      <w:pPr>
        <w:pStyle w:val="ListParagraph"/>
        <w:numPr>
          <w:ilvl w:val="2"/>
          <w:numId w:val="48"/>
        </w:numPr>
        <w:spacing w:before="60" w:after="60"/>
        <w:jc w:val="both"/>
        <w:rPr>
          <w:rFonts w:asciiTheme="minorHAnsi" w:hAnsiTheme="minorHAnsi" w:cstheme="minorHAnsi"/>
          <w:bCs/>
          <w:iCs/>
          <w:sz w:val="20"/>
          <w:szCs w:val="20"/>
        </w:rPr>
      </w:pPr>
      <w:bookmarkStart w:id="11" w:name="_Hlk41056113"/>
      <w:r w:rsidRPr="00E343F4">
        <w:rPr>
          <w:rFonts w:asciiTheme="minorHAnsi" w:hAnsiTheme="minorHAnsi" w:cstheme="minorHAnsi"/>
          <w:bCs/>
          <w:iCs/>
          <w:sz w:val="20"/>
          <w:szCs w:val="20"/>
        </w:rPr>
        <w:t>Paslaugos tiekėjas su VV gali susiderinti kitus, VV priimtinus, defektų pašalinimo terminus.</w:t>
      </w:r>
    </w:p>
    <w:p w14:paraId="0B166CBF" w14:textId="5F9C9BBC" w:rsidR="00E343F4" w:rsidRPr="00E343F4" w:rsidRDefault="00E343F4" w:rsidP="00DE52C7">
      <w:pPr>
        <w:pStyle w:val="ListParagraph"/>
        <w:numPr>
          <w:ilvl w:val="2"/>
          <w:numId w:val="48"/>
        </w:numPr>
        <w:spacing w:before="60" w:after="60"/>
        <w:jc w:val="both"/>
        <w:rPr>
          <w:rFonts w:asciiTheme="minorHAnsi" w:hAnsiTheme="minorHAnsi" w:cstheme="minorHAnsi"/>
          <w:bCs/>
          <w:iCs/>
          <w:sz w:val="20"/>
          <w:szCs w:val="20"/>
        </w:rPr>
      </w:pPr>
      <w:r w:rsidRPr="00E343F4">
        <w:rPr>
          <w:rFonts w:asciiTheme="minorHAnsi" w:hAnsiTheme="minorHAnsi" w:cstheme="minorHAnsi"/>
          <w:bCs/>
          <w:iCs/>
          <w:sz w:val="20"/>
          <w:szCs w:val="20"/>
        </w:rPr>
        <w:t xml:space="preserve">Paslaugos turi būti teikiamos 7 dienas per savaitę ir 24 valandas per parą. Paslaugų pasiekiamumo lygis turi būti ne mažesnis, kaip 99,5 %. Paslaugų prieinamumas skaičiuojamas taip: </w:t>
      </w:r>
    </w:p>
    <w:p w14:paraId="76568292" w14:textId="77777777" w:rsidR="00E343F4" w:rsidRPr="004B6F7B" w:rsidRDefault="00E343F4" w:rsidP="00DE52C7">
      <w:pPr>
        <w:spacing w:before="60" w:after="60"/>
        <w:ind w:firstLine="0"/>
        <w:jc w:val="both"/>
        <w:rPr>
          <w:rFonts w:asciiTheme="minorHAnsi" w:hAnsiTheme="minorHAnsi" w:cstheme="minorHAnsi"/>
          <w:bCs/>
          <w:iCs/>
          <w:sz w:val="20"/>
          <w:szCs w:val="20"/>
        </w:rPr>
      </w:pPr>
      <m:oMathPara>
        <m:oMath>
          <m:r>
            <m:rPr>
              <m:sty m:val="p"/>
            </m:rPr>
            <w:rPr>
              <w:rFonts w:ascii="Cambria Math" w:hAnsiTheme="minorHAnsi" w:cstheme="minorHAnsi"/>
              <w:sz w:val="20"/>
              <w:szCs w:val="20"/>
            </w:rPr>
            <m:t xml:space="preserve">Prieinamumas = </m:t>
          </m:r>
          <m:f>
            <m:fPr>
              <m:ctrlPr>
                <w:rPr>
                  <w:rFonts w:ascii="Cambria Math" w:hAnsiTheme="minorHAnsi" w:cstheme="minorHAnsi"/>
                  <w:bCs/>
                  <w:iCs/>
                  <w:sz w:val="20"/>
                  <w:szCs w:val="20"/>
                </w:rPr>
              </m:ctrlPr>
            </m:fPr>
            <m:num>
              <m:r>
                <m:rPr>
                  <m:sty m:val="p"/>
                </m:rPr>
                <w:rPr>
                  <w:rFonts w:ascii="Cambria Math" w:hAnsiTheme="minorHAnsi" w:cstheme="minorHAnsi"/>
                  <w:sz w:val="20"/>
                  <w:szCs w:val="20"/>
                </w:rPr>
                <m:t>AST</m:t>
              </m:r>
              <m:r>
                <m:rPr>
                  <m:sty m:val="p"/>
                </m:rPr>
                <w:rPr>
                  <w:rFonts w:ascii="Cambria Math" w:hAnsiTheme="minorHAnsi" w:cstheme="minorHAnsi"/>
                  <w:sz w:val="20"/>
                  <w:szCs w:val="20"/>
                </w:rPr>
                <m:t>-</m:t>
              </m:r>
              <m:r>
                <m:rPr>
                  <m:sty m:val="p"/>
                </m:rPr>
                <w:rPr>
                  <w:rFonts w:ascii="Cambria Math" w:hAnsiTheme="minorHAnsi" w:cstheme="minorHAnsi"/>
                  <w:sz w:val="20"/>
                  <w:szCs w:val="20"/>
                </w:rPr>
                <m:t>DT</m:t>
              </m:r>
            </m:num>
            <m:den>
              <m:r>
                <m:rPr>
                  <m:sty m:val="p"/>
                </m:rPr>
                <w:rPr>
                  <w:rFonts w:ascii="Cambria Math" w:hAnsiTheme="minorHAnsi" w:cstheme="minorHAnsi"/>
                  <w:sz w:val="20"/>
                  <w:szCs w:val="20"/>
                </w:rPr>
                <m:t>AST</m:t>
              </m:r>
            </m:den>
          </m:f>
          <m:r>
            <m:rPr>
              <m:sty m:val="p"/>
            </m:rPr>
            <w:rPr>
              <w:rFonts w:ascii="Cambria Math" w:hAnsiTheme="minorHAnsi" w:cstheme="minorHAnsi"/>
              <w:sz w:val="20"/>
              <w:szCs w:val="20"/>
            </w:rPr>
            <m:t>×</m:t>
          </m:r>
          <m:r>
            <m:rPr>
              <m:sty m:val="p"/>
            </m:rPr>
            <w:rPr>
              <w:rFonts w:ascii="Cambria Math" w:hAnsiTheme="minorHAnsi" w:cstheme="minorHAnsi"/>
              <w:sz w:val="20"/>
              <w:szCs w:val="20"/>
            </w:rPr>
            <m:t>100%</m:t>
          </m:r>
        </m:oMath>
      </m:oMathPara>
    </w:p>
    <w:p w14:paraId="6A0B0B79" w14:textId="58535F5E" w:rsidR="00E343F4" w:rsidRPr="004B6F7B" w:rsidRDefault="00E343F4" w:rsidP="00DE52C7">
      <w:pPr>
        <w:spacing w:before="60" w:after="60"/>
        <w:ind w:firstLine="0"/>
        <w:jc w:val="center"/>
        <w:rPr>
          <w:rFonts w:asciiTheme="minorHAnsi" w:hAnsiTheme="minorHAnsi" w:cstheme="minorHAnsi"/>
          <w:bCs/>
          <w:iCs/>
          <w:sz w:val="20"/>
          <w:szCs w:val="20"/>
        </w:rPr>
      </w:pPr>
      <w:r w:rsidRPr="004B6F7B">
        <w:rPr>
          <w:rFonts w:asciiTheme="minorHAnsi" w:hAnsiTheme="minorHAnsi" w:cstheme="minorHAnsi"/>
          <w:bCs/>
          <w:iCs/>
          <w:sz w:val="20"/>
          <w:szCs w:val="20"/>
        </w:rPr>
        <w:t>Sutartas palaikymo laikas  = AST, prastova (sutrikimai)  = DT</w:t>
      </w:r>
    </w:p>
    <w:p w14:paraId="301F9743" w14:textId="1950564E" w:rsidR="00E343F4" w:rsidRPr="00DE52C7" w:rsidRDefault="00E343F4" w:rsidP="00DE52C7">
      <w:pPr>
        <w:pStyle w:val="ListParagraph"/>
        <w:numPr>
          <w:ilvl w:val="3"/>
          <w:numId w:val="48"/>
        </w:numPr>
        <w:spacing w:before="60" w:after="60"/>
        <w:jc w:val="both"/>
        <w:rPr>
          <w:rFonts w:asciiTheme="minorHAnsi" w:hAnsiTheme="minorHAnsi" w:cstheme="minorHAnsi"/>
          <w:bCs/>
          <w:iCs/>
          <w:sz w:val="20"/>
          <w:szCs w:val="20"/>
        </w:rPr>
      </w:pPr>
      <w:r w:rsidRPr="00DE52C7">
        <w:rPr>
          <w:rFonts w:asciiTheme="minorHAnsi" w:hAnsiTheme="minorHAnsi" w:cstheme="minorHAnsi"/>
          <w:bCs/>
          <w:iCs/>
          <w:sz w:val="20"/>
          <w:szCs w:val="20"/>
        </w:rPr>
        <w:t xml:space="preserve">paslaugos teikėjo pagrįstas prašymas pratęsti sutrikimo šalinimo terminą gali būti teikiamas ne daugiau, kaip 1 kartą. </w:t>
      </w:r>
    </w:p>
    <w:p w14:paraId="46FAB13E" w14:textId="51300AA1" w:rsidR="00E343F4" w:rsidRPr="00DE52C7" w:rsidRDefault="00E343F4" w:rsidP="00DE52C7">
      <w:pPr>
        <w:pStyle w:val="ListParagraph"/>
        <w:numPr>
          <w:ilvl w:val="2"/>
          <w:numId w:val="48"/>
        </w:numPr>
        <w:spacing w:before="60" w:after="60"/>
        <w:jc w:val="both"/>
        <w:rPr>
          <w:rFonts w:asciiTheme="minorHAnsi" w:hAnsiTheme="minorHAnsi" w:cstheme="minorHAnsi"/>
          <w:bCs/>
          <w:iCs/>
          <w:sz w:val="20"/>
          <w:szCs w:val="20"/>
        </w:rPr>
      </w:pPr>
      <w:r w:rsidRPr="00DE52C7">
        <w:rPr>
          <w:rFonts w:asciiTheme="minorHAnsi" w:hAnsiTheme="minorHAnsi" w:cstheme="minorHAnsi"/>
          <w:bCs/>
          <w:iCs/>
          <w:sz w:val="20"/>
          <w:szCs w:val="20"/>
        </w:rPr>
        <w:t>Visi defektai registruojami ir sprendžiami Perkančiosios organizacijos incidentų valdymo sistemoje.</w:t>
      </w:r>
    </w:p>
    <w:bookmarkEnd w:id="11"/>
    <w:p w14:paraId="4C9AEA7A" w14:textId="77777777" w:rsidR="004D3C43" w:rsidRPr="00B106DF" w:rsidRDefault="004D3C43" w:rsidP="004D3C43">
      <w:pPr>
        <w:rPr>
          <w:rFonts w:asciiTheme="minorHAnsi" w:eastAsia="Calibri" w:hAnsiTheme="minorHAnsi" w:cstheme="minorHAnsi"/>
          <w:b/>
          <w:i/>
          <w:color w:val="808080"/>
          <w:sz w:val="20"/>
          <w:szCs w:val="20"/>
        </w:rPr>
      </w:pPr>
    </w:p>
    <w:p w14:paraId="6E222069" w14:textId="77777777" w:rsidR="004D3C43" w:rsidRPr="00B106DF" w:rsidRDefault="004D3C43" w:rsidP="004D3C43">
      <w:pPr>
        <w:pBdr>
          <w:top w:val="single" w:sz="4" w:space="1" w:color="auto"/>
          <w:bottom w:val="single" w:sz="4" w:space="1" w:color="auto"/>
        </w:pBdr>
        <w:rPr>
          <w:rFonts w:asciiTheme="minorHAnsi" w:eastAsia="Calibri" w:hAnsiTheme="minorHAnsi" w:cstheme="minorHAnsi"/>
          <w:bCs/>
          <w:iCs/>
          <w:sz w:val="20"/>
          <w:szCs w:val="20"/>
        </w:rPr>
      </w:pPr>
      <w:r w:rsidRPr="00B106DF">
        <w:rPr>
          <w:rFonts w:asciiTheme="minorHAnsi" w:eastAsia="Calibri" w:hAnsiTheme="minorHAnsi" w:cstheme="minorHAnsi"/>
          <w:b/>
          <w:bCs/>
          <w:sz w:val="20"/>
          <w:szCs w:val="20"/>
        </w:rPr>
        <w:t>6. SUTARTIES VYKDYMO METU PATEIKIAMA DOKUMENTACIJA</w:t>
      </w:r>
    </w:p>
    <w:p w14:paraId="54D15161" w14:textId="7A42A8BA" w:rsidR="004D3C43" w:rsidRPr="00B106DF" w:rsidRDefault="004D3C43" w:rsidP="004D3C43">
      <w:pPr>
        <w:numPr>
          <w:ilvl w:val="0"/>
          <w:numId w:val="54"/>
        </w:numPr>
        <w:pBdr>
          <w:top w:val="single" w:sz="4" w:space="1" w:color="auto"/>
          <w:bottom w:val="single" w:sz="4" w:space="1" w:color="auto"/>
        </w:pBdr>
        <w:tabs>
          <w:tab w:val="left" w:pos="360"/>
        </w:tabs>
        <w:spacing w:before="60" w:after="60"/>
        <w:ind w:hanging="720"/>
        <w:contextualSpacing/>
        <w:jc w:val="both"/>
        <w:rPr>
          <w:rFonts w:asciiTheme="minorHAnsi" w:eastAsia="Calibri" w:hAnsiTheme="minorHAnsi" w:cstheme="minorHAnsi"/>
          <w:b/>
          <w:iCs/>
          <w:sz w:val="20"/>
          <w:szCs w:val="20"/>
        </w:rPr>
      </w:pPr>
      <w:r w:rsidRPr="00B106DF">
        <w:rPr>
          <w:rFonts w:asciiTheme="minorHAnsi" w:eastAsia="Calibri" w:hAnsiTheme="minorHAnsi" w:cstheme="minorHAnsi"/>
          <w:b/>
          <w:iCs/>
          <w:sz w:val="20"/>
          <w:szCs w:val="20"/>
        </w:rPr>
        <w:t>PAPILDOMA INFORMACIJA</w:t>
      </w:r>
    </w:p>
    <w:p w14:paraId="523D903B" w14:textId="77777777" w:rsidR="00DE52C7" w:rsidRDefault="00DE52C7" w:rsidP="00DE52C7">
      <w:pPr>
        <w:pStyle w:val="ListParagraph"/>
        <w:numPr>
          <w:ilvl w:val="1"/>
          <w:numId w:val="54"/>
        </w:numPr>
        <w:spacing w:before="60" w:after="60"/>
        <w:jc w:val="both"/>
        <w:rPr>
          <w:rFonts w:asciiTheme="minorHAnsi" w:hAnsiTheme="minorHAnsi" w:cstheme="minorHAnsi"/>
          <w:bCs/>
          <w:iCs/>
          <w:sz w:val="20"/>
          <w:szCs w:val="20"/>
        </w:rPr>
      </w:pPr>
      <w:r w:rsidRPr="002C0B05">
        <w:rPr>
          <w:rFonts w:asciiTheme="minorHAnsi" w:hAnsiTheme="minorHAnsi" w:cstheme="minorHAnsi"/>
          <w:bCs/>
          <w:iCs/>
          <w:sz w:val="20"/>
          <w:szCs w:val="20"/>
        </w:rPr>
        <w:t xml:space="preserve">Paslaugų teikėjas turi laikytis Paslaugų gavėjo 2021-01-04 įsakymu Nr. VTA-I21-3 patvirtinto Rangovų saugaus darbo organizavimo ir vykdymo UAB „Vilniaus vandenys“ objektuose tvarkos aprašo reikalavimų (išskyrus 4 ir 5 priedus), kuris viešai paskelbtas </w:t>
      </w:r>
      <w:hyperlink r:id="rId11" w:history="1">
        <w:r w:rsidRPr="002C0B05">
          <w:rPr>
            <w:rStyle w:val="Hyperlink"/>
            <w:rFonts w:asciiTheme="minorHAnsi" w:hAnsiTheme="minorHAnsi" w:cstheme="minorHAnsi"/>
            <w:bCs/>
            <w:iCs/>
            <w:sz w:val="20"/>
            <w:szCs w:val="20"/>
          </w:rPr>
          <w:t>http://www.vv.lt/lt/partneriams</w:t>
        </w:r>
      </w:hyperlink>
      <w:r w:rsidRPr="002C0B05">
        <w:rPr>
          <w:rFonts w:asciiTheme="minorHAnsi" w:hAnsiTheme="minorHAnsi" w:cstheme="minorHAnsi"/>
          <w:bCs/>
          <w:iCs/>
          <w:sz w:val="20"/>
          <w:szCs w:val="20"/>
        </w:rPr>
        <w:t>.</w:t>
      </w:r>
    </w:p>
    <w:p w14:paraId="7D2BD864" w14:textId="1048C1C0" w:rsidR="004D3C43" w:rsidRPr="00DE52C7" w:rsidRDefault="004D3C43" w:rsidP="00DE52C7">
      <w:pPr>
        <w:pStyle w:val="ListParagraph"/>
        <w:spacing w:before="60" w:after="60"/>
        <w:ind w:firstLine="0"/>
        <w:jc w:val="both"/>
        <w:rPr>
          <w:rFonts w:asciiTheme="minorHAnsi" w:eastAsia="Calibri" w:hAnsiTheme="minorHAnsi" w:cstheme="minorHAnsi"/>
          <w:color w:val="808080"/>
          <w:sz w:val="20"/>
          <w:szCs w:val="20"/>
        </w:rPr>
      </w:pPr>
    </w:p>
    <w:p w14:paraId="16197296" w14:textId="77777777" w:rsidR="004D3C43" w:rsidRPr="00B106DF" w:rsidRDefault="004D3C43" w:rsidP="004D3C43">
      <w:pPr>
        <w:pBdr>
          <w:top w:val="single" w:sz="8" w:space="1" w:color="auto"/>
          <w:bottom w:val="single" w:sz="8" w:space="1" w:color="auto"/>
        </w:pBdr>
        <w:tabs>
          <w:tab w:val="left" w:pos="284"/>
        </w:tabs>
        <w:spacing w:before="60" w:after="60"/>
        <w:rPr>
          <w:rFonts w:asciiTheme="minorHAnsi" w:eastAsia="Calibri" w:hAnsiTheme="minorHAnsi" w:cstheme="minorHAnsi"/>
          <w:b/>
          <w:sz w:val="20"/>
          <w:szCs w:val="20"/>
        </w:rPr>
      </w:pPr>
      <w:r w:rsidRPr="00B106DF">
        <w:rPr>
          <w:rFonts w:asciiTheme="minorHAnsi" w:eastAsia="Calibri" w:hAnsiTheme="minorHAnsi" w:cstheme="minorHAnsi"/>
          <w:b/>
          <w:sz w:val="20"/>
          <w:szCs w:val="20"/>
        </w:rPr>
        <w:t>9. PRIEDAI</w:t>
      </w:r>
    </w:p>
    <w:p w14:paraId="2892ECAB" w14:textId="72C5F749" w:rsidR="000A4E26" w:rsidRPr="002A07EC" w:rsidRDefault="004D3C43" w:rsidP="002A07EC">
      <w:pPr>
        <w:spacing w:before="60" w:after="60"/>
        <w:rPr>
          <w:rStyle w:val="Laukeliai"/>
          <w:rFonts w:asciiTheme="minorHAnsi" w:eastAsia="Calibri" w:hAnsiTheme="minorHAnsi" w:cstheme="minorHAnsi"/>
          <w:bCs/>
          <w:szCs w:val="20"/>
        </w:rPr>
      </w:pPr>
      <w:r w:rsidRPr="00B106DF">
        <w:rPr>
          <w:rFonts w:asciiTheme="minorHAnsi" w:eastAsia="Calibri" w:hAnsiTheme="minorHAnsi" w:cstheme="minorHAnsi"/>
          <w:bCs/>
          <w:sz w:val="20"/>
          <w:szCs w:val="20"/>
        </w:rPr>
        <w:t>Priedas Nr. 1 -</w:t>
      </w:r>
    </w:p>
    <w:sectPr w:rsidR="000A4E26" w:rsidRPr="002A07EC" w:rsidSect="00E437BE">
      <w:footerReference w:type="even" r:id="rId12"/>
      <w:footerReference w:type="default" r:id="rId13"/>
      <w:headerReference w:type="first" r:id="rId14"/>
      <w:footerReference w:type="first" r:id="rId15"/>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4D897" w14:textId="77777777" w:rsidR="00C8310A" w:rsidRDefault="00C8310A" w:rsidP="002603FC">
      <w:r>
        <w:separator/>
      </w:r>
    </w:p>
  </w:endnote>
  <w:endnote w:type="continuationSeparator" w:id="0">
    <w:p w14:paraId="34B531B6" w14:textId="77777777" w:rsidR="00C8310A" w:rsidRDefault="00C8310A"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1462" w14:textId="77777777" w:rsidR="00C8310A" w:rsidRDefault="00C8310A" w:rsidP="002603FC">
      <w:r>
        <w:separator/>
      </w:r>
    </w:p>
  </w:footnote>
  <w:footnote w:type="continuationSeparator" w:id="0">
    <w:p w14:paraId="102CECFF" w14:textId="77777777" w:rsidR="00C8310A" w:rsidRDefault="00C8310A" w:rsidP="002603FC">
      <w:r>
        <w:continuationSeparator/>
      </w:r>
    </w:p>
  </w:footnote>
  <w:footnote w:id="1">
    <w:p w14:paraId="2C5506E0" w14:textId="77777777" w:rsidR="004D3C43" w:rsidRPr="00EF14D8" w:rsidRDefault="004D3C43" w:rsidP="004D3C43">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preliminarus Paslaugų kiekis. Sutarties galiojimo laikotarpiu Klientas turi teisę koreguoti perkamų Paslaugų kiekį, </w:t>
      </w:r>
    </w:p>
    <w:p w14:paraId="54F59A56" w14:textId="77777777" w:rsidR="004D3C43" w:rsidRPr="00EF14D8" w:rsidRDefault="004D3C43" w:rsidP="004D3C43">
      <w:pPr>
        <w:pStyle w:val="FootnoteText1"/>
        <w:rPr>
          <w:rFonts w:ascii="Calibri" w:hAnsi="Calibri" w:cs="Calibri"/>
          <w:sz w:val="16"/>
          <w:szCs w:val="16"/>
        </w:rPr>
      </w:pPr>
      <w:r w:rsidRPr="00EF14D8">
        <w:rPr>
          <w:rFonts w:ascii="Calibri" w:hAnsi="Calibri" w:cs="Calibri"/>
          <w:sz w:val="16"/>
          <w:szCs w:val="16"/>
        </w:rPr>
        <w:t>neviršijant sutartyje nurodytos maksimalios Sutarties kainos. Klientas neįsipareigoja išpirkti viso Paslaugų kiekio ar bet kokios jų dalies</w:t>
      </w:r>
      <w:r w:rsidRPr="00EF14D8">
        <w:rPr>
          <w:rFonts w:ascii="Calibri" w:hAnsi="Calibri" w:cs="Calibri"/>
          <w:sz w:val="16"/>
          <w:szCs w:val="16"/>
        </w:rPr>
        <w:cr/>
      </w:r>
    </w:p>
  </w:footnote>
  <w:footnote w:id="2">
    <w:p w14:paraId="6D2EC2B6" w14:textId="77777777" w:rsidR="004D3C43" w:rsidRPr="00EF14D8" w:rsidRDefault="004D3C43" w:rsidP="004D3C43">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w:t>
      </w:r>
      <w:r w:rsidRPr="00EF14D8">
        <w:rPr>
          <w:rFonts w:ascii="Calibri" w:hAnsi="Calibri" w:cs="Calibri"/>
          <w:sz w:val="16"/>
          <w:szCs w:val="16"/>
        </w:rPr>
        <w:t>Nurodytas maksimalus Paslaugų kiekis. Klientas neįsipareigoja nupirkti viso nurodyto kiekio</w:t>
      </w:r>
    </w:p>
  </w:footnote>
  <w:footnote w:id="3">
    <w:p w14:paraId="35F0A86B" w14:textId="77777777" w:rsidR="004D3C43" w:rsidRDefault="004D3C43" w:rsidP="004D3C43">
      <w:pPr>
        <w:pStyle w:val="FootnoteText1"/>
      </w:pPr>
      <w:r w:rsidRPr="00EF14D8">
        <w:rPr>
          <w:rStyle w:val="FootnoteReference"/>
          <w:rFonts w:ascii="Calibri" w:hAnsi="Calibri" w:cs="Calibri"/>
          <w:sz w:val="16"/>
          <w:szCs w:val="16"/>
        </w:rPr>
        <w:footnoteRef/>
      </w:r>
      <w:r w:rsidRPr="00EF14D8">
        <w:rPr>
          <w:rFonts w:ascii="Calibri" w:hAnsi="Calibri" w:cs="Calibri"/>
          <w:sz w:val="16"/>
          <w:szCs w:val="16"/>
        </w:rPr>
        <w:t xml:space="preserve"> </w:t>
      </w:r>
      <w:r w:rsidRPr="00EF14D8">
        <w:rPr>
          <w:rFonts w:ascii="Calibri" w:hAnsi="Calibri" w:cs="Calibri"/>
          <w:sz w:val="16"/>
          <w:szCs w:val="16"/>
        </w:rPr>
        <w:t>Kai nurodytas konkretus Paslaugų kiekis, Klientas įsipareigoja išpirkti visą nurodytą paslaugų kiekį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B336A"/>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5"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281417"/>
    <w:multiLevelType w:val="multilevel"/>
    <w:tmpl w:val="21DC684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i w:val="0"/>
        <w:iCs/>
        <w:color w:val="auto"/>
        <w:sz w:val="20"/>
        <w:szCs w:val="20"/>
      </w:rPr>
    </w:lvl>
    <w:lvl w:ilvl="2">
      <w:start w:val="1"/>
      <w:numFmt w:val="decimal"/>
      <w:isLgl/>
      <w:lvlText w:val="%1.%2.%3."/>
      <w:lvlJc w:val="left"/>
      <w:pPr>
        <w:ind w:left="360" w:hanging="720"/>
      </w:pPr>
      <w:rPr>
        <w:rFonts w:hint="default"/>
        <w:color w:val="auto"/>
      </w:rPr>
    </w:lvl>
    <w:lvl w:ilvl="3">
      <w:start w:val="1"/>
      <w:numFmt w:val="decimal"/>
      <w:isLgl/>
      <w:lvlText w:val="%1.%2.%3.%4."/>
      <w:lvlJc w:val="left"/>
      <w:pPr>
        <w:ind w:left="720" w:hanging="720"/>
      </w:pPr>
      <w:rPr>
        <w:rFonts w:hint="default"/>
        <w:color w:val="808080" w:themeColor="background1" w:themeShade="80"/>
      </w:rPr>
    </w:lvl>
    <w:lvl w:ilvl="4">
      <w:start w:val="1"/>
      <w:numFmt w:val="decimal"/>
      <w:isLgl/>
      <w:lvlText w:val="%1.%2.%3.%4.%5."/>
      <w:lvlJc w:val="left"/>
      <w:pPr>
        <w:ind w:left="1080" w:hanging="1080"/>
      </w:pPr>
      <w:rPr>
        <w:rFonts w:hint="default"/>
        <w:color w:val="808080" w:themeColor="background1" w:themeShade="80"/>
      </w:rPr>
    </w:lvl>
    <w:lvl w:ilvl="5">
      <w:start w:val="1"/>
      <w:numFmt w:val="decimal"/>
      <w:isLgl/>
      <w:lvlText w:val="%1.%2.%3.%4.%5.%6."/>
      <w:lvlJc w:val="left"/>
      <w:pPr>
        <w:ind w:left="1080" w:hanging="1080"/>
      </w:pPr>
      <w:rPr>
        <w:rFonts w:hint="default"/>
        <w:color w:val="808080" w:themeColor="background1" w:themeShade="80"/>
      </w:rPr>
    </w:lvl>
    <w:lvl w:ilvl="6">
      <w:start w:val="1"/>
      <w:numFmt w:val="decimal"/>
      <w:isLgl/>
      <w:lvlText w:val="%1.%2.%3.%4.%5.%6.%7."/>
      <w:lvlJc w:val="left"/>
      <w:pPr>
        <w:ind w:left="1080" w:hanging="1080"/>
      </w:pPr>
      <w:rPr>
        <w:rFonts w:hint="default"/>
        <w:color w:val="808080" w:themeColor="background1" w:themeShade="80"/>
      </w:rPr>
    </w:lvl>
    <w:lvl w:ilvl="7">
      <w:start w:val="1"/>
      <w:numFmt w:val="decimal"/>
      <w:isLgl/>
      <w:lvlText w:val="%1.%2.%3.%4.%5.%6.%7.%8."/>
      <w:lvlJc w:val="left"/>
      <w:pPr>
        <w:ind w:left="1440" w:hanging="1440"/>
      </w:pPr>
      <w:rPr>
        <w:rFonts w:hint="default"/>
        <w:color w:val="808080" w:themeColor="background1" w:themeShade="80"/>
      </w:rPr>
    </w:lvl>
    <w:lvl w:ilvl="8">
      <w:start w:val="1"/>
      <w:numFmt w:val="decimal"/>
      <w:isLgl/>
      <w:lvlText w:val="%1.%2.%3.%4.%5.%6.%7.%8.%9."/>
      <w:lvlJc w:val="left"/>
      <w:pPr>
        <w:ind w:left="1440" w:hanging="1440"/>
      </w:pPr>
      <w:rPr>
        <w:rFonts w:hint="default"/>
        <w:color w:val="808080" w:themeColor="background1" w:themeShade="80"/>
      </w:rPr>
    </w:lvl>
  </w:abstractNum>
  <w:abstractNum w:abstractNumId="4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7717D3"/>
    <w:multiLevelType w:val="multilevel"/>
    <w:tmpl w:val="646AC84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5"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29"/>
  </w:num>
  <w:num w:numId="2" w16cid:durableId="1555504222">
    <w:abstractNumId w:val="18"/>
  </w:num>
  <w:num w:numId="3" w16cid:durableId="1160387355">
    <w:abstractNumId w:val="6"/>
  </w:num>
  <w:num w:numId="4" w16cid:durableId="800344181">
    <w:abstractNumId w:val="36"/>
  </w:num>
  <w:num w:numId="5" w16cid:durableId="1918593548">
    <w:abstractNumId w:val="5"/>
  </w:num>
  <w:num w:numId="6" w16cid:durableId="2114859922">
    <w:abstractNumId w:val="7"/>
  </w:num>
  <w:num w:numId="7" w16cid:durableId="1825007791">
    <w:abstractNumId w:val="25"/>
  </w:num>
  <w:num w:numId="8" w16cid:durableId="1277908101">
    <w:abstractNumId w:val="2"/>
  </w:num>
  <w:num w:numId="9" w16cid:durableId="618032779">
    <w:abstractNumId w:val="42"/>
  </w:num>
  <w:num w:numId="10" w16cid:durableId="2093158385">
    <w:abstractNumId w:val="17"/>
  </w:num>
  <w:num w:numId="11" w16cid:durableId="1196507945">
    <w:abstractNumId w:val="37"/>
  </w:num>
  <w:num w:numId="12" w16cid:durableId="203369197">
    <w:abstractNumId w:val="21"/>
  </w:num>
  <w:num w:numId="13" w16cid:durableId="770928826">
    <w:abstractNumId w:val="27"/>
  </w:num>
  <w:num w:numId="14" w16cid:durableId="1926960911">
    <w:abstractNumId w:val="9"/>
  </w:num>
  <w:num w:numId="15" w16cid:durableId="493109298">
    <w:abstractNumId w:val="31"/>
  </w:num>
  <w:num w:numId="16" w16cid:durableId="1539582621">
    <w:abstractNumId w:val="11"/>
  </w:num>
  <w:num w:numId="17" w16cid:durableId="1753744208">
    <w:abstractNumId w:val="34"/>
  </w:num>
  <w:num w:numId="18" w16cid:durableId="9377163">
    <w:abstractNumId w:val="1"/>
  </w:num>
  <w:num w:numId="19" w16cid:durableId="1753745813">
    <w:abstractNumId w:val="32"/>
  </w:num>
  <w:num w:numId="20" w16cid:durableId="2404531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19"/>
  </w:num>
  <w:num w:numId="30" w16cid:durableId="25567482">
    <w:abstractNumId w:val="16"/>
  </w:num>
  <w:num w:numId="31" w16cid:durableId="1927033667">
    <w:abstractNumId w:val="45"/>
  </w:num>
  <w:num w:numId="32" w16cid:durableId="1915242646">
    <w:abstractNumId w:val="44"/>
  </w:num>
  <w:num w:numId="33" w16cid:durableId="767849321">
    <w:abstractNumId w:val="4"/>
  </w:num>
  <w:num w:numId="34" w16cid:durableId="159050386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3"/>
  </w:num>
  <w:num w:numId="38" w16cid:durableId="2001806592">
    <w:abstractNumId w:val="28"/>
  </w:num>
  <w:num w:numId="39" w16cid:durableId="820855330">
    <w:abstractNumId w:val="35"/>
  </w:num>
  <w:num w:numId="40" w16cid:durableId="2122144137">
    <w:abstractNumId w:val="10"/>
  </w:num>
  <w:num w:numId="41" w16cid:durableId="1596085769">
    <w:abstractNumId w:val="3"/>
  </w:num>
  <w:num w:numId="42" w16cid:durableId="1623537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6"/>
  </w:num>
  <w:num w:numId="44" w16cid:durableId="1994066212">
    <w:abstractNumId w:val="0"/>
  </w:num>
  <w:num w:numId="45" w16cid:durableId="1433477918">
    <w:abstractNumId w:val="8"/>
  </w:num>
  <w:num w:numId="46" w16cid:durableId="817385658">
    <w:abstractNumId w:val="39"/>
  </w:num>
  <w:num w:numId="47" w16cid:durableId="826897519">
    <w:abstractNumId w:val="38"/>
  </w:num>
  <w:num w:numId="48" w16cid:durableId="1376465915">
    <w:abstractNumId w:val="22"/>
  </w:num>
  <w:num w:numId="49" w16cid:durableId="1224755640">
    <w:abstractNumId w:val="12"/>
  </w:num>
  <w:num w:numId="50" w16cid:durableId="1574317363">
    <w:abstractNumId w:val="33"/>
  </w:num>
  <w:num w:numId="51" w16cid:durableId="1671761495">
    <w:abstractNumId w:val="40"/>
  </w:num>
  <w:num w:numId="52" w16cid:durableId="165632632">
    <w:abstractNumId w:val="13"/>
  </w:num>
  <w:num w:numId="53" w16cid:durableId="1492479107">
    <w:abstractNumId w:val="30"/>
  </w:num>
  <w:num w:numId="54" w16cid:durableId="1740900448">
    <w:abstractNumId w:val="43"/>
  </w:num>
  <w:num w:numId="55" w16cid:durableId="713894059">
    <w:abstractNumId w:val="24"/>
  </w:num>
  <w:num w:numId="56" w16cid:durableId="2042826131">
    <w:abstractNumId w:val="41"/>
  </w:num>
  <w:num w:numId="57" w16cid:durableId="209034360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BB9"/>
    <w:rsid w:val="00035DD9"/>
    <w:rsid w:val="000404C8"/>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2267"/>
    <w:rsid w:val="00103850"/>
    <w:rsid w:val="0010417F"/>
    <w:rsid w:val="0010639D"/>
    <w:rsid w:val="00106E8F"/>
    <w:rsid w:val="001143F8"/>
    <w:rsid w:val="00116AD2"/>
    <w:rsid w:val="001215EF"/>
    <w:rsid w:val="00122266"/>
    <w:rsid w:val="00126608"/>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0AFA"/>
    <w:rsid w:val="00232044"/>
    <w:rsid w:val="002327CF"/>
    <w:rsid w:val="00232F81"/>
    <w:rsid w:val="00233298"/>
    <w:rsid w:val="002337F3"/>
    <w:rsid w:val="00234106"/>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7EC"/>
    <w:rsid w:val="002A08A9"/>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4B5D"/>
    <w:rsid w:val="002E0294"/>
    <w:rsid w:val="002E10EA"/>
    <w:rsid w:val="002E12AF"/>
    <w:rsid w:val="002E1D27"/>
    <w:rsid w:val="002E24C0"/>
    <w:rsid w:val="002E24E7"/>
    <w:rsid w:val="002E3543"/>
    <w:rsid w:val="002E5695"/>
    <w:rsid w:val="002E634F"/>
    <w:rsid w:val="002E6B8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47F65"/>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A76"/>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1A0E"/>
    <w:rsid w:val="00612465"/>
    <w:rsid w:val="006131F0"/>
    <w:rsid w:val="00613C04"/>
    <w:rsid w:val="006148E8"/>
    <w:rsid w:val="00616E55"/>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73E"/>
    <w:rsid w:val="00636831"/>
    <w:rsid w:val="00636C8E"/>
    <w:rsid w:val="00637724"/>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5B8B"/>
    <w:rsid w:val="00665BC4"/>
    <w:rsid w:val="006662B8"/>
    <w:rsid w:val="0066644C"/>
    <w:rsid w:val="00666FF6"/>
    <w:rsid w:val="00667336"/>
    <w:rsid w:val="00667A93"/>
    <w:rsid w:val="00671C8D"/>
    <w:rsid w:val="0067265F"/>
    <w:rsid w:val="00675FCE"/>
    <w:rsid w:val="00680D4C"/>
    <w:rsid w:val="00682FA1"/>
    <w:rsid w:val="00683791"/>
    <w:rsid w:val="00685C50"/>
    <w:rsid w:val="00685C53"/>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CAD"/>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AE1"/>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37C33"/>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0C66"/>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10A"/>
    <w:rsid w:val="00C83C4F"/>
    <w:rsid w:val="00C84596"/>
    <w:rsid w:val="00C84B23"/>
    <w:rsid w:val="00C85715"/>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30259"/>
    <w:rsid w:val="00D32A97"/>
    <w:rsid w:val="00D33972"/>
    <w:rsid w:val="00D34C95"/>
    <w:rsid w:val="00D34FF8"/>
    <w:rsid w:val="00D35AC7"/>
    <w:rsid w:val="00D35D0C"/>
    <w:rsid w:val="00D368EF"/>
    <w:rsid w:val="00D36B3B"/>
    <w:rsid w:val="00D376F7"/>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2D5E"/>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C3F"/>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2C7"/>
    <w:rsid w:val="00DE55E0"/>
    <w:rsid w:val="00DE68B9"/>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3F4"/>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1991"/>
    <w:rsid w:val="00E7455B"/>
    <w:rsid w:val="00E76C22"/>
    <w:rsid w:val="00E809FD"/>
    <w:rsid w:val="00E82C24"/>
    <w:rsid w:val="00E83291"/>
    <w:rsid w:val="00E8376F"/>
    <w:rsid w:val="00E841E9"/>
    <w:rsid w:val="00E86692"/>
    <w:rsid w:val="00E86C89"/>
    <w:rsid w:val="00E90766"/>
    <w:rsid w:val="00E9242B"/>
    <w:rsid w:val="00E959EF"/>
    <w:rsid w:val="00E9780D"/>
    <w:rsid w:val="00EA1E5D"/>
    <w:rsid w:val="00EA1E7F"/>
    <w:rsid w:val="00EA2FB7"/>
    <w:rsid w:val="00EA3E3D"/>
    <w:rsid w:val="00EA4FDF"/>
    <w:rsid w:val="00EA6ED4"/>
    <w:rsid w:val="00EA6EE3"/>
    <w:rsid w:val="00EA7D9B"/>
    <w:rsid w:val="00EB1525"/>
    <w:rsid w:val="00EB27F1"/>
    <w:rsid w:val="00EB2FCD"/>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114"/>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FB3D5E"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FB3D5E" w:rsidRDefault="00C17C44" w:rsidP="00C17C44">
          <w:pPr>
            <w:pStyle w:val="7FF104845D2441D5BAD2ED0974376F49"/>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404C8"/>
    <w:rsid w:val="00067B56"/>
    <w:rsid w:val="00082C58"/>
    <w:rsid w:val="00102267"/>
    <w:rsid w:val="001368AA"/>
    <w:rsid w:val="00161DA1"/>
    <w:rsid w:val="00182678"/>
    <w:rsid w:val="00194F27"/>
    <w:rsid w:val="001C58C5"/>
    <w:rsid w:val="00225397"/>
    <w:rsid w:val="00233C42"/>
    <w:rsid w:val="002E5E3B"/>
    <w:rsid w:val="00307A90"/>
    <w:rsid w:val="00332227"/>
    <w:rsid w:val="003618F8"/>
    <w:rsid w:val="00365F4A"/>
    <w:rsid w:val="003769D3"/>
    <w:rsid w:val="003B49EC"/>
    <w:rsid w:val="0044737E"/>
    <w:rsid w:val="004611F8"/>
    <w:rsid w:val="00473929"/>
    <w:rsid w:val="004853E2"/>
    <w:rsid w:val="004E026C"/>
    <w:rsid w:val="00525EB4"/>
    <w:rsid w:val="005816F6"/>
    <w:rsid w:val="005B124A"/>
    <w:rsid w:val="0061504E"/>
    <w:rsid w:val="006A31C3"/>
    <w:rsid w:val="006B6113"/>
    <w:rsid w:val="006B7152"/>
    <w:rsid w:val="006C79FD"/>
    <w:rsid w:val="00713C01"/>
    <w:rsid w:val="00773148"/>
    <w:rsid w:val="007B7372"/>
    <w:rsid w:val="007C5EF4"/>
    <w:rsid w:val="007D507A"/>
    <w:rsid w:val="00804B98"/>
    <w:rsid w:val="00807449"/>
    <w:rsid w:val="008226B9"/>
    <w:rsid w:val="00847449"/>
    <w:rsid w:val="00875425"/>
    <w:rsid w:val="008A1E43"/>
    <w:rsid w:val="008C3649"/>
    <w:rsid w:val="00950690"/>
    <w:rsid w:val="009624F0"/>
    <w:rsid w:val="00A82618"/>
    <w:rsid w:val="00A959E5"/>
    <w:rsid w:val="00AC7488"/>
    <w:rsid w:val="00B119BA"/>
    <w:rsid w:val="00B4462B"/>
    <w:rsid w:val="00BD2E80"/>
    <w:rsid w:val="00C17C44"/>
    <w:rsid w:val="00C85715"/>
    <w:rsid w:val="00D30259"/>
    <w:rsid w:val="00D51C4D"/>
    <w:rsid w:val="00D52D5E"/>
    <w:rsid w:val="00D64D4B"/>
    <w:rsid w:val="00D67C3F"/>
    <w:rsid w:val="00E02975"/>
    <w:rsid w:val="00E62124"/>
    <w:rsid w:val="00E702A9"/>
    <w:rsid w:val="00E71991"/>
    <w:rsid w:val="00ED254E"/>
    <w:rsid w:val="00F272B3"/>
    <w:rsid w:val="00FB3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E94E7612-4F40-42D9-9508-36E876E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2975</Words>
  <Characters>1696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2024-10-02T07:57:00Z</dcterms:created>
  <dcterms:modified xsi:type="dcterms:W3CDTF">2024-10-29T08:54:00Z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