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F1B5C" w14:textId="4EB388D2" w:rsidR="00BC1B48" w:rsidRDefault="00616826" w:rsidP="000D0703">
      <w:pPr>
        <w:jc w:val="center"/>
        <w:rPr>
          <w:b/>
          <w:bCs/>
          <w:lang w:val="lt-LT"/>
        </w:rPr>
      </w:pPr>
      <w:r w:rsidRPr="00E8578F">
        <w:rPr>
          <w:b/>
          <w:bCs/>
          <w:lang w:val="lt-LT"/>
        </w:rPr>
        <w:t>TECHNINĖS SPECIFIKACIJA</w:t>
      </w:r>
    </w:p>
    <w:p w14:paraId="63FD615C" w14:textId="5A198498" w:rsidR="00616826" w:rsidRPr="00616826" w:rsidRDefault="00616826" w:rsidP="000D0703">
      <w:pPr>
        <w:jc w:val="center"/>
        <w:rPr>
          <w:b/>
          <w:bCs/>
        </w:rPr>
      </w:pPr>
      <w:r w:rsidRPr="00616826">
        <w:rPr>
          <w:b/>
          <w:bCs/>
          <w:lang w:val="lt-LT"/>
        </w:rPr>
        <w:t>ŠVIESOLAIDINĖS DUOMENŲ PERDAVIMO INFRASTRUKTŪROS PALAIKYMAS</w:t>
      </w:r>
    </w:p>
    <w:p w14:paraId="7C597614" w14:textId="77777777" w:rsidR="00BC1B48" w:rsidRDefault="00BC1B48">
      <w:pPr>
        <w:jc w:val="both"/>
      </w:pPr>
    </w:p>
    <w:p w14:paraId="0F13DF6B" w14:textId="77777777" w:rsidR="00BC1B48" w:rsidRPr="000D0703" w:rsidRDefault="00085623" w:rsidP="00606306">
      <w:pPr>
        <w:tabs>
          <w:tab w:val="left" w:pos="426"/>
        </w:tabs>
        <w:jc w:val="both"/>
        <w:rPr>
          <w:b/>
          <w:bCs/>
        </w:rPr>
      </w:pPr>
      <w:r w:rsidRPr="000D0703">
        <w:rPr>
          <w:b/>
          <w:bCs/>
          <w:lang w:val="lt-LT"/>
        </w:rPr>
        <w:t xml:space="preserve">1. SAVOKOS IR SUTRUMPINIMAI </w:t>
      </w:r>
    </w:p>
    <w:p w14:paraId="1EA0A91F" w14:textId="63268952" w:rsidR="00BC1B48" w:rsidRDefault="00085623" w:rsidP="00606306">
      <w:pPr>
        <w:pStyle w:val="ListParagraph"/>
        <w:numPr>
          <w:ilvl w:val="1"/>
          <w:numId w:val="1"/>
        </w:numPr>
        <w:tabs>
          <w:tab w:val="left" w:pos="426"/>
          <w:tab w:val="left" w:pos="851"/>
        </w:tabs>
        <w:ind w:left="0" w:firstLine="0"/>
        <w:jc w:val="both"/>
        <w:rPr>
          <w:lang w:val="lt-LT"/>
        </w:rPr>
      </w:pPr>
      <w:r>
        <w:rPr>
          <w:lang w:val="lt-LT"/>
        </w:rPr>
        <w:t xml:space="preserve">Pirkėjas </w:t>
      </w:r>
      <w:r w:rsidR="00737CB5">
        <w:rPr>
          <w:lang w:val="lt-LT"/>
        </w:rPr>
        <w:t>–</w:t>
      </w:r>
      <w:r>
        <w:rPr>
          <w:lang w:val="lt-LT"/>
        </w:rPr>
        <w:t xml:space="preserve"> </w:t>
      </w:r>
      <w:r w:rsidR="00737CB5">
        <w:rPr>
          <w:lang w:val="lt-LT"/>
        </w:rPr>
        <w:t>akcinė bendrovė</w:t>
      </w:r>
      <w:r>
        <w:rPr>
          <w:lang w:val="lt-LT"/>
        </w:rPr>
        <w:t xml:space="preserve"> ,,Oro navigacija“.</w:t>
      </w:r>
    </w:p>
    <w:p w14:paraId="1484DE1C" w14:textId="5C2F5DBB" w:rsidR="00BC1B48" w:rsidRDefault="00085623" w:rsidP="00606306">
      <w:pPr>
        <w:tabs>
          <w:tab w:val="left" w:pos="426"/>
          <w:tab w:val="left" w:pos="851"/>
        </w:tabs>
        <w:jc w:val="both"/>
        <w:rPr>
          <w:lang w:val="lt-LT"/>
        </w:rPr>
      </w:pPr>
      <w:r>
        <w:rPr>
          <w:lang w:val="lt-LT"/>
        </w:rPr>
        <w:t>1.2. Tiekėjas – ūkio subjektas - fizinis asmuo, privatus juridinis asmuo, viešasis juridinis asmuo, kitos organizacijos it jų padaliniai ar tokių asmenų grupė, su kuriuo Pirkėjas sudaro Sutartį.</w:t>
      </w:r>
    </w:p>
    <w:p w14:paraId="48499577" w14:textId="77777777" w:rsidR="00BC1B48" w:rsidRDefault="00085623" w:rsidP="00606306">
      <w:pPr>
        <w:tabs>
          <w:tab w:val="left" w:pos="426"/>
          <w:tab w:val="left" w:pos="851"/>
        </w:tabs>
        <w:jc w:val="both"/>
        <w:rPr>
          <w:lang w:val="lt-LT"/>
        </w:rPr>
      </w:pPr>
      <w:r>
        <w:rPr>
          <w:lang w:val="lt-LT"/>
        </w:rPr>
        <w:t>1.3. Sutartis – sutartis, sudaroma tarp Tiekėjo ir Pirkėjo dėl Pirkimo objekto.</w:t>
      </w:r>
    </w:p>
    <w:p w14:paraId="49F7C009" w14:textId="41EC9414" w:rsidR="00BC1B48" w:rsidRDefault="00085623" w:rsidP="00606306">
      <w:pPr>
        <w:tabs>
          <w:tab w:val="left" w:pos="426"/>
          <w:tab w:val="left" w:pos="851"/>
        </w:tabs>
        <w:jc w:val="both"/>
        <w:rPr>
          <w:lang w:val="lt-LT"/>
        </w:rPr>
      </w:pPr>
      <w:r>
        <w:rPr>
          <w:lang w:val="lt-LT"/>
        </w:rPr>
        <w:t xml:space="preserve">1.4. Paslaugos – </w:t>
      </w:r>
      <w:r w:rsidR="00416832" w:rsidRPr="00416832">
        <w:rPr>
          <w:lang w:val="lt-LT"/>
        </w:rPr>
        <w:t>Šviesolaidinės duomenų perdavimo infrastruktūros palaikymas.</w:t>
      </w:r>
    </w:p>
    <w:p w14:paraId="408EEFE3" w14:textId="77777777" w:rsidR="00BC1B48" w:rsidRDefault="00BC1B48">
      <w:pPr>
        <w:pStyle w:val="ListParagraph"/>
        <w:ind w:left="780"/>
        <w:jc w:val="both"/>
        <w:rPr>
          <w:lang w:val="lt-LT"/>
        </w:rPr>
      </w:pPr>
    </w:p>
    <w:p w14:paraId="4695B068" w14:textId="57E23DA0" w:rsidR="00BC1B48" w:rsidRPr="000D0703" w:rsidRDefault="00085623" w:rsidP="00606306">
      <w:pPr>
        <w:jc w:val="both"/>
        <w:rPr>
          <w:b/>
          <w:bCs/>
          <w:lang w:val="lt-LT"/>
        </w:rPr>
      </w:pPr>
      <w:r w:rsidRPr="000D0703">
        <w:rPr>
          <w:b/>
          <w:bCs/>
          <w:lang w:val="lt-LT"/>
        </w:rPr>
        <w:t>2. PIRKIMO OBJEKTAS</w:t>
      </w:r>
      <w:r w:rsidR="00E8578F">
        <w:rPr>
          <w:b/>
          <w:bCs/>
          <w:lang w:val="lt-LT"/>
        </w:rPr>
        <w:t xml:space="preserve"> </w:t>
      </w:r>
    </w:p>
    <w:p w14:paraId="4671B672" w14:textId="0CC56E96" w:rsidR="00416832" w:rsidRPr="00416832" w:rsidRDefault="00416832" w:rsidP="00416832">
      <w:pPr>
        <w:tabs>
          <w:tab w:val="left" w:pos="426"/>
        </w:tabs>
        <w:spacing w:line="240" w:lineRule="auto"/>
        <w:jc w:val="both"/>
        <w:rPr>
          <w:lang w:val="lt-LT"/>
        </w:rPr>
      </w:pPr>
      <w:r w:rsidRPr="00416832">
        <w:rPr>
          <w:lang w:val="lt-LT"/>
        </w:rPr>
        <w:t xml:space="preserve">Šviesolaidinės duomenų perdavimo infrastruktūros </w:t>
      </w:r>
      <w:r>
        <w:rPr>
          <w:lang w:val="lt-LT"/>
        </w:rPr>
        <w:t xml:space="preserve">palaikymo </w:t>
      </w:r>
      <w:r w:rsidRPr="00416832">
        <w:rPr>
          <w:lang w:val="lt-LT"/>
        </w:rPr>
        <w:t>paslauga turi apimti:</w:t>
      </w:r>
    </w:p>
    <w:p w14:paraId="13711DBE" w14:textId="15321EDB" w:rsidR="00416832" w:rsidRPr="00416832" w:rsidRDefault="00416832" w:rsidP="00416832">
      <w:pPr>
        <w:tabs>
          <w:tab w:val="left" w:pos="426"/>
        </w:tabs>
        <w:spacing w:line="240" w:lineRule="auto"/>
        <w:jc w:val="both"/>
        <w:rPr>
          <w:lang w:val="lt-LT"/>
        </w:rPr>
      </w:pPr>
      <w:r w:rsidRPr="00416832">
        <w:rPr>
          <w:lang w:val="lt-LT"/>
        </w:rPr>
        <w:t>2.1.</w:t>
      </w:r>
      <w:r w:rsidRPr="00416832">
        <w:rPr>
          <w:lang w:val="lt-LT"/>
        </w:rPr>
        <w:tab/>
        <w:t>Magistralinės šviesolaidinės infrastruktūros priežiūrą (DWDM):</w:t>
      </w:r>
    </w:p>
    <w:p w14:paraId="758EABD5" w14:textId="31C2422A" w:rsidR="00416832" w:rsidRPr="00416832" w:rsidRDefault="00416832" w:rsidP="00D07CD6">
      <w:pPr>
        <w:tabs>
          <w:tab w:val="left" w:pos="426"/>
        </w:tabs>
        <w:spacing w:line="240" w:lineRule="auto"/>
        <w:jc w:val="both"/>
        <w:rPr>
          <w:lang w:val="lt-LT"/>
        </w:rPr>
      </w:pPr>
      <w:r w:rsidRPr="00416832">
        <w:rPr>
          <w:lang w:val="lt-LT"/>
        </w:rPr>
        <w:t>-</w:t>
      </w:r>
      <w:r w:rsidRPr="00416832">
        <w:rPr>
          <w:lang w:val="lt-LT"/>
        </w:rPr>
        <w:tab/>
        <w:t>MICROSENS DWDM (MS DWDM) įrangos ir jos elementinės bazės būklės stebėsena ir fizinis įvertinimas lokacijos vietoje</w:t>
      </w:r>
      <w:r w:rsidR="00D07CD6">
        <w:rPr>
          <w:lang w:val="lt-LT"/>
        </w:rPr>
        <w:t xml:space="preserve"> </w:t>
      </w:r>
      <w:r w:rsidR="00BE6554">
        <w:rPr>
          <w:lang w:val="lt-LT"/>
        </w:rPr>
        <w:t>(</w:t>
      </w:r>
      <w:r w:rsidR="00D07CD6">
        <w:rPr>
          <w:lang w:val="lt-LT"/>
        </w:rPr>
        <w:t>AB „Oro navigacija“‘ Rodūnios kelias 2, Balio Karvelio g. 25, Kauno skrydžių valdymo centras, Oro uosto g. 4, Karmėlava, Kauno raj., Palangos skrydžių valdymo centras Liepojos pl. 1, Palanga, Šiaulių skrydžių valdymo centras, Lakūnų g. 3, Šiauliai</w:t>
      </w:r>
      <w:r w:rsidR="00BE6554">
        <w:rPr>
          <w:lang w:val="lt-LT"/>
        </w:rPr>
        <w:t>)</w:t>
      </w:r>
      <w:r w:rsidR="00D07CD6">
        <w:rPr>
          <w:lang w:val="lt-LT"/>
        </w:rPr>
        <w:t xml:space="preserve"> </w:t>
      </w:r>
      <w:r w:rsidRPr="00416832">
        <w:rPr>
          <w:lang w:val="lt-LT"/>
        </w:rPr>
        <w:t xml:space="preserve"> pagal </w:t>
      </w:r>
      <w:r w:rsidR="00502991">
        <w:rPr>
          <w:lang w:val="lt-LT"/>
        </w:rPr>
        <w:t>poreikį</w:t>
      </w:r>
      <w:r w:rsidRPr="00416832">
        <w:rPr>
          <w:lang w:val="lt-LT"/>
        </w:rPr>
        <w:t>;</w:t>
      </w:r>
    </w:p>
    <w:p w14:paraId="7D62F1DA"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MS DWDM įrangos parametrų pokyčių stebėsena ir analizė, bei pakitusių darbinių parametrų  kalibravimas,  koregavimas bei rekomendacijų teikimas;</w:t>
      </w:r>
    </w:p>
    <w:p w14:paraId="57E5328D"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 xml:space="preserve">Periodinė MS DWDM įrangos būklės ir parametrų patikra, koregavimas; </w:t>
      </w:r>
    </w:p>
    <w:p w14:paraId="0ED13CE4"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sugędusios įrangos diagnostika, remontas ir/ar keitimo procedūros rezervinėmis dalimis; (rezervinių dalių sąrašą pateikia užsakovas);</w:t>
      </w:r>
    </w:p>
    <w:p w14:paraId="0C19BF5D"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 xml:space="preserve">konsultavimas; </w:t>
      </w:r>
    </w:p>
    <w:p w14:paraId="52CEFFAB"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naujų sprendimų ir DWDM tinklo pageidaujamų topologijų projektavimas;</w:t>
      </w:r>
    </w:p>
    <w:p w14:paraId="6A331564"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esant būtinybei, gamintojo atstovų konsultacijos ir techninės gamintojo pagalbos organizavimas.</w:t>
      </w:r>
    </w:p>
    <w:p w14:paraId="44C8881A" w14:textId="7723BE46" w:rsidR="00416832" w:rsidRPr="00416832" w:rsidRDefault="00416832" w:rsidP="00416832">
      <w:pPr>
        <w:tabs>
          <w:tab w:val="left" w:pos="426"/>
        </w:tabs>
        <w:spacing w:line="240" w:lineRule="auto"/>
        <w:jc w:val="both"/>
        <w:rPr>
          <w:lang w:val="lt-LT"/>
        </w:rPr>
      </w:pPr>
      <w:r>
        <w:rPr>
          <w:lang w:val="lt-LT"/>
        </w:rPr>
        <w:t>2.</w:t>
      </w:r>
      <w:r w:rsidRPr="00416832">
        <w:rPr>
          <w:lang w:val="lt-LT"/>
        </w:rPr>
        <w:t>2.</w:t>
      </w:r>
      <w:r w:rsidRPr="00416832">
        <w:rPr>
          <w:lang w:val="lt-LT"/>
        </w:rPr>
        <w:tab/>
        <w:t>Šviesolaidinės bei kanalinės įrangos priežiūra:</w:t>
      </w:r>
    </w:p>
    <w:p w14:paraId="5C1A2110"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 xml:space="preserve">esamos įrangos techninė priežiūra, </w:t>
      </w:r>
    </w:p>
    <w:p w14:paraId="717357EC"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naujų topologijų parengimas,</w:t>
      </w:r>
    </w:p>
    <w:p w14:paraId="7100F543"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konsultavimas ir techninių rekomendacijų teikimas;</w:t>
      </w:r>
    </w:p>
    <w:p w14:paraId="4CCE0759"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gamintojo atstovavimas techiniais klausimais;</w:t>
      </w:r>
    </w:p>
    <w:p w14:paraId="16FCAC7D" w14:textId="77777777" w:rsidR="00416832" w:rsidRPr="00416832" w:rsidRDefault="00416832" w:rsidP="00416832">
      <w:pPr>
        <w:tabs>
          <w:tab w:val="left" w:pos="426"/>
        </w:tabs>
        <w:spacing w:line="240" w:lineRule="auto"/>
        <w:jc w:val="both"/>
        <w:rPr>
          <w:lang w:val="lt-LT"/>
        </w:rPr>
      </w:pPr>
      <w:r w:rsidRPr="00416832">
        <w:rPr>
          <w:lang w:val="lt-LT"/>
        </w:rPr>
        <w:t>-</w:t>
      </w:r>
      <w:r w:rsidRPr="00416832">
        <w:rPr>
          <w:lang w:val="lt-LT"/>
        </w:rPr>
        <w:tab/>
        <w:t>programinių ir aparatūrinių gedimų diagnostika ir šalinimas.</w:t>
      </w:r>
    </w:p>
    <w:p w14:paraId="7671F200" w14:textId="1D2A8B47" w:rsidR="00416832" w:rsidRPr="00416832" w:rsidRDefault="00416832" w:rsidP="00416832">
      <w:pPr>
        <w:tabs>
          <w:tab w:val="left" w:pos="426"/>
        </w:tabs>
        <w:spacing w:line="240" w:lineRule="auto"/>
        <w:jc w:val="both"/>
        <w:rPr>
          <w:lang w:val="lt-LT"/>
        </w:rPr>
      </w:pPr>
      <w:r>
        <w:rPr>
          <w:lang w:val="lt-LT"/>
        </w:rPr>
        <w:t>2.</w:t>
      </w:r>
      <w:r w:rsidRPr="00416832">
        <w:rPr>
          <w:lang w:val="lt-LT"/>
        </w:rPr>
        <w:t>3.</w:t>
      </w:r>
      <w:r w:rsidRPr="00416832">
        <w:rPr>
          <w:lang w:val="lt-LT"/>
        </w:rPr>
        <w:tab/>
        <w:t>Papildomos sąlygos:</w:t>
      </w:r>
    </w:p>
    <w:p w14:paraId="19AFB6A4" w14:textId="0C5DEBDB" w:rsidR="00BC1B48" w:rsidRDefault="00416832" w:rsidP="00416832">
      <w:pPr>
        <w:tabs>
          <w:tab w:val="left" w:pos="426"/>
        </w:tabs>
        <w:spacing w:line="240" w:lineRule="auto"/>
        <w:jc w:val="both"/>
        <w:rPr>
          <w:lang w:val="lt-LT"/>
        </w:rPr>
      </w:pPr>
      <w:r w:rsidRPr="00416832">
        <w:rPr>
          <w:lang w:val="lt-LT"/>
        </w:rPr>
        <w:t>-</w:t>
      </w:r>
      <w:r w:rsidRPr="00416832">
        <w:rPr>
          <w:lang w:val="lt-LT"/>
        </w:rPr>
        <w:tab/>
        <w:t>Regavimo laikas į sutrikimus darbo laiku iki 2 val.</w:t>
      </w:r>
    </w:p>
    <w:p w14:paraId="7D71EA46" w14:textId="1D3388F0" w:rsidR="006752E3" w:rsidRDefault="006752E3" w:rsidP="006752E3">
      <w:pPr>
        <w:tabs>
          <w:tab w:val="left" w:pos="426"/>
        </w:tabs>
        <w:spacing w:line="240" w:lineRule="auto"/>
        <w:jc w:val="both"/>
        <w:rPr>
          <w:lang w:val="lt-LT"/>
        </w:rPr>
      </w:pPr>
      <w:r w:rsidRPr="00416832">
        <w:rPr>
          <w:lang w:val="lt-LT"/>
        </w:rPr>
        <w:t>-</w:t>
      </w:r>
      <w:r w:rsidRPr="00416832">
        <w:rPr>
          <w:lang w:val="lt-LT"/>
        </w:rPr>
        <w:tab/>
      </w:r>
      <w:r>
        <w:rPr>
          <w:lang w:val="lt-LT"/>
        </w:rPr>
        <w:t>Galimybė dirbti darbo bei nedarbo valandomis.</w:t>
      </w:r>
    </w:p>
    <w:p w14:paraId="4CD65B60" w14:textId="77777777" w:rsidR="00BC1B48" w:rsidRDefault="00BC1B48">
      <w:pPr>
        <w:tabs>
          <w:tab w:val="left" w:pos="1134"/>
        </w:tabs>
        <w:jc w:val="both"/>
        <w:rPr>
          <w:rFonts w:ascii="Times New Roman" w:hAnsi="Times New Roman"/>
          <w:sz w:val="24"/>
          <w:szCs w:val="24"/>
          <w:lang w:val="lt-LT"/>
        </w:rPr>
      </w:pPr>
    </w:p>
    <w:p w14:paraId="567C5F45" w14:textId="77777777" w:rsidR="00BC1B48" w:rsidRDefault="00BC1B48">
      <w:pPr>
        <w:tabs>
          <w:tab w:val="left" w:pos="1134"/>
        </w:tabs>
        <w:jc w:val="both"/>
        <w:rPr>
          <w:rFonts w:ascii="Times New Roman" w:hAnsi="Times New Roman"/>
          <w:sz w:val="24"/>
          <w:szCs w:val="24"/>
          <w:lang w:val="lt-LT"/>
        </w:rPr>
      </w:pPr>
    </w:p>
    <w:sectPr w:rsidR="00BC1B48" w:rsidSect="008661D7">
      <w:pgSz w:w="11906" w:h="16838"/>
      <w:pgMar w:top="85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82CA" w14:textId="77777777" w:rsidR="008F3A57" w:rsidRDefault="008F3A57">
      <w:pPr>
        <w:spacing w:after="0" w:line="240" w:lineRule="auto"/>
      </w:pPr>
      <w:r>
        <w:separator/>
      </w:r>
    </w:p>
  </w:endnote>
  <w:endnote w:type="continuationSeparator" w:id="0">
    <w:p w14:paraId="5B5FE01F" w14:textId="77777777" w:rsidR="008F3A57" w:rsidRDefault="008F3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Courier New"/>
    <w:charset w:val="00"/>
    <w:family w:val="auto"/>
    <w:pitch w:val="variable"/>
    <w:sig w:usb0="00000001"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4D07D" w14:textId="77777777" w:rsidR="008F3A57" w:rsidRDefault="008F3A57">
      <w:pPr>
        <w:spacing w:after="0" w:line="240" w:lineRule="auto"/>
      </w:pPr>
      <w:r>
        <w:rPr>
          <w:color w:val="000000"/>
        </w:rPr>
        <w:separator/>
      </w:r>
    </w:p>
  </w:footnote>
  <w:footnote w:type="continuationSeparator" w:id="0">
    <w:p w14:paraId="44B6A614" w14:textId="77777777" w:rsidR="008F3A57" w:rsidRDefault="008F3A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2F231E"/>
    <w:multiLevelType w:val="multilevel"/>
    <w:tmpl w:val="32347614"/>
    <w:lvl w:ilvl="0">
      <w:start w:val="1"/>
      <w:numFmt w:val="decimal"/>
      <w:lvlText w:val="%1."/>
      <w:lvlJc w:val="left"/>
      <w:pPr>
        <w:tabs>
          <w:tab w:val="num" w:pos="1080"/>
        </w:tabs>
        <w:ind w:left="1080" w:hanging="360"/>
      </w:pPr>
      <w:rPr>
        <w:rFonts w:cs="Times New Roman" w:hint="default"/>
        <w:b/>
        <w:color w:val="auto"/>
        <w:sz w:val="24"/>
        <w:szCs w:val="24"/>
      </w:rPr>
    </w:lvl>
    <w:lvl w:ilvl="1">
      <w:start w:val="1"/>
      <w:numFmt w:val="decimal"/>
      <w:pStyle w:val="Heading2"/>
      <w:lvlText w:val="%1.%2."/>
      <w:lvlJc w:val="left"/>
      <w:pPr>
        <w:tabs>
          <w:tab w:val="num" w:pos="1332"/>
        </w:tabs>
        <w:ind w:left="1332" w:hanging="432"/>
      </w:pPr>
      <w:rPr>
        <w:rFonts w:ascii="Times New (W1)" w:hAnsi="Times New (W1)" w:cs="Times New Roman" w:hint="default"/>
        <w:b w:val="0"/>
        <w:i w:val="0"/>
        <w:strike w:val="0"/>
        <w:color w:val="auto"/>
        <w:sz w:val="24"/>
        <w:szCs w:val="24"/>
      </w:rPr>
    </w:lvl>
    <w:lvl w:ilvl="2">
      <w:start w:val="1"/>
      <w:numFmt w:val="decimal"/>
      <w:lvlText w:val="%1.%2.%3."/>
      <w:lvlJc w:val="left"/>
      <w:pPr>
        <w:tabs>
          <w:tab w:val="num" w:pos="1440"/>
        </w:tabs>
        <w:ind w:left="1224" w:hanging="504"/>
      </w:pPr>
      <w:rPr>
        <w:rFonts w:ascii="Times New Roman" w:hAnsi="Times New Roman" w:cs="Times New Roman" w:hint="default"/>
        <w:b w:val="0"/>
        <w:i w:val="0"/>
        <w:color w:val="auto"/>
      </w:rPr>
    </w:lvl>
    <w:lvl w:ilvl="3">
      <w:start w:val="1"/>
      <w:numFmt w:val="decimal"/>
      <w:lvlText w:val="%1.%2.%3.%4."/>
      <w:lvlJc w:val="left"/>
      <w:pPr>
        <w:tabs>
          <w:tab w:val="num" w:pos="2422"/>
        </w:tabs>
        <w:ind w:left="2350" w:hanging="648"/>
      </w:pPr>
      <w:rPr>
        <w:rFonts w:ascii="Times New (W1)" w:hAnsi="Times New (W1)" w:cs="Times New Roman" w:hint="default"/>
        <w:b w:val="0"/>
        <w:i w:val="0"/>
        <w:strike w:val="0"/>
        <w:color w:val="auto"/>
        <w:sz w:val="24"/>
        <w:szCs w:val="24"/>
      </w:rPr>
    </w:lvl>
    <w:lvl w:ilvl="4">
      <w:start w:val="1"/>
      <w:numFmt w:val="decimal"/>
      <w:lvlText w:val="%1.%2.%3.%4.%5."/>
      <w:lvlJc w:val="left"/>
      <w:pPr>
        <w:tabs>
          <w:tab w:val="num" w:pos="2700"/>
        </w:tabs>
        <w:ind w:left="2412" w:hanging="792"/>
      </w:pPr>
      <w:rPr>
        <w:rFonts w:cs="Times New Roman" w:hint="default"/>
        <w:b w:val="0"/>
        <w:color w:val="000000"/>
      </w:rPr>
    </w:lvl>
    <w:lvl w:ilvl="5">
      <w:start w:val="1"/>
      <w:numFmt w:val="decimal"/>
      <w:lvlText w:val="%1.%2.%3.%4.%5.%6."/>
      <w:lvlJc w:val="left"/>
      <w:pPr>
        <w:tabs>
          <w:tab w:val="num" w:pos="5372"/>
        </w:tabs>
        <w:ind w:left="5228" w:hanging="936"/>
      </w:pPr>
      <w:rPr>
        <w:rFonts w:cs="Times New Roman" w:hint="default"/>
        <w:b w:val="0"/>
      </w:rPr>
    </w:lvl>
    <w:lvl w:ilvl="6">
      <w:start w:val="1"/>
      <w:numFmt w:val="decimal"/>
      <w:lvlText w:val="%1.%2.%3.%4.%5.%6.%7."/>
      <w:lvlJc w:val="left"/>
      <w:pPr>
        <w:tabs>
          <w:tab w:val="num" w:pos="6092"/>
        </w:tabs>
        <w:ind w:left="5732" w:hanging="1080"/>
      </w:pPr>
      <w:rPr>
        <w:rFonts w:cs="Times New Roman" w:hint="default"/>
      </w:rPr>
    </w:lvl>
    <w:lvl w:ilvl="7">
      <w:start w:val="1"/>
      <w:numFmt w:val="decimal"/>
      <w:lvlText w:val="%1.%2.%3.%4.%5.%6.%7.%8."/>
      <w:lvlJc w:val="left"/>
      <w:pPr>
        <w:tabs>
          <w:tab w:val="num" w:pos="6452"/>
        </w:tabs>
        <w:ind w:left="6236" w:hanging="1224"/>
      </w:pPr>
      <w:rPr>
        <w:rFonts w:cs="Times New Roman" w:hint="default"/>
      </w:rPr>
    </w:lvl>
    <w:lvl w:ilvl="8">
      <w:start w:val="1"/>
      <w:numFmt w:val="decimal"/>
      <w:lvlText w:val="%1.%2.%3.%4.%5.%6.%7.%8.%9."/>
      <w:lvlJc w:val="left"/>
      <w:pPr>
        <w:tabs>
          <w:tab w:val="num" w:pos="7172"/>
        </w:tabs>
        <w:ind w:left="6812" w:hanging="1440"/>
      </w:pPr>
      <w:rPr>
        <w:rFonts w:cs="Times New Roman" w:hint="default"/>
      </w:rPr>
    </w:lvl>
  </w:abstractNum>
  <w:abstractNum w:abstractNumId="1" w15:restartNumberingAfterBreak="0">
    <w:nsid w:val="5AEE2D45"/>
    <w:multiLevelType w:val="multilevel"/>
    <w:tmpl w:val="CE9CB56C"/>
    <w:lvl w:ilvl="0">
      <w:start w:val="1"/>
      <w:numFmt w:val="decimal"/>
      <w:lvlText w:val="%1."/>
      <w:lvlJc w:val="left"/>
      <w:pPr>
        <w:ind w:left="644" w:hanging="360"/>
      </w:pPr>
      <w:rPr>
        <w:rFonts w:ascii="Times New Roman" w:hAnsi="Times New Roman"/>
        <w:sz w:val="24"/>
      </w:rPr>
    </w:lvl>
    <w:lvl w:ilvl="1">
      <w:start w:val="1"/>
      <w:numFmt w:val="decimal"/>
      <w:lvlText w:val="%1.%2."/>
      <w:lvlJc w:val="left"/>
      <w:pPr>
        <w:ind w:left="780" w:hanging="420"/>
      </w:p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998076462">
    <w:abstractNumId w:val="1"/>
  </w:num>
  <w:num w:numId="2" w16cid:durableId="1500659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B48"/>
    <w:rsid w:val="00085623"/>
    <w:rsid w:val="000D0703"/>
    <w:rsid w:val="00215087"/>
    <w:rsid w:val="002E1ADC"/>
    <w:rsid w:val="003D4DD8"/>
    <w:rsid w:val="004030C6"/>
    <w:rsid w:val="00416832"/>
    <w:rsid w:val="00471365"/>
    <w:rsid w:val="004C7DA9"/>
    <w:rsid w:val="00502991"/>
    <w:rsid w:val="00535B45"/>
    <w:rsid w:val="005A2D9D"/>
    <w:rsid w:val="00606306"/>
    <w:rsid w:val="00616826"/>
    <w:rsid w:val="006752E3"/>
    <w:rsid w:val="00737CB5"/>
    <w:rsid w:val="007778FA"/>
    <w:rsid w:val="008661D7"/>
    <w:rsid w:val="00875F40"/>
    <w:rsid w:val="008F3A57"/>
    <w:rsid w:val="009036F7"/>
    <w:rsid w:val="00955605"/>
    <w:rsid w:val="009D4B96"/>
    <w:rsid w:val="00A72B81"/>
    <w:rsid w:val="00BC1B48"/>
    <w:rsid w:val="00BE6554"/>
    <w:rsid w:val="00C42946"/>
    <w:rsid w:val="00C77A85"/>
    <w:rsid w:val="00D07CD6"/>
    <w:rsid w:val="00D147D9"/>
    <w:rsid w:val="00D22521"/>
    <w:rsid w:val="00E8578F"/>
    <w:rsid w:val="00ED59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2F713"/>
  <w15:docId w15:val="{D0B10B59-3585-44BB-A17F-C0326F531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2">
    <w:name w:val="heading 2"/>
    <w:aliases w:val="Title Header2,Diagrama, Diagrama"/>
    <w:basedOn w:val="Normal"/>
    <w:next w:val="Normal"/>
    <w:link w:val="Heading2Char"/>
    <w:qFormat/>
    <w:rsid w:val="00535B45"/>
    <w:pPr>
      <w:numPr>
        <w:ilvl w:val="1"/>
        <w:numId w:val="2"/>
      </w:numPr>
      <w:suppressAutoHyphens w:val="0"/>
      <w:autoSpaceDN/>
      <w:spacing w:after="0" w:line="240" w:lineRule="auto"/>
      <w:jc w:val="both"/>
      <w:textAlignment w:val="auto"/>
      <w:outlineLvl w:val="1"/>
    </w:pPr>
    <w:rPr>
      <w:rFonts w:ascii="Times New Roman" w:eastAsia="Times New Roman" w:hAnsi="Times New Roman"/>
      <w:sz w:val="24"/>
      <w:szCs w:val="2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ListParagraph">
    <w:name w:val="List Paragraph"/>
    <w:basedOn w:val="Normal"/>
    <w:pPr>
      <w:ind w:left="720"/>
    </w:pPr>
  </w:style>
  <w:style w:type="character" w:styleId="CommentReference">
    <w:name w:val="annotation reference"/>
    <w:basedOn w:val="DefaultParagraphFont"/>
    <w:uiPriority w:val="99"/>
    <w:semiHidden/>
    <w:unhideWhenUsed/>
    <w:rsid w:val="005A2D9D"/>
    <w:rPr>
      <w:sz w:val="16"/>
      <w:szCs w:val="16"/>
    </w:rPr>
  </w:style>
  <w:style w:type="paragraph" w:styleId="CommentText">
    <w:name w:val="annotation text"/>
    <w:basedOn w:val="Normal"/>
    <w:link w:val="CommentTextChar"/>
    <w:uiPriority w:val="99"/>
    <w:semiHidden/>
    <w:unhideWhenUsed/>
    <w:rsid w:val="005A2D9D"/>
    <w:pPr>
      <w:spacing w:line="240" w:lineRule="auto"/>
    </w:pPr>
    <w:rPr>
      <w:sz w:val="20"/>
      <w:szCs w:val="20"/>
    </w:rPr>
  </w:style>
  <w:style w:type="character" w:customStyle="1" w:styleId="CommentTextChar">
    <w:name w:val="Comment Text Char"/>
    <w:basedOn w:val="DefaultParagraphFont"/>
    <w:link w:val="CommentText"/>
    <w:uiPriority w:val="99"/>
    <w:semiHidden/>
    <w:rsid w:val="005A2D9D"/>
    <w:rPr>
      <w:sz w:val="20"/>
      <w:szCs w:val="20"/>
    </w:rPr>
  </w:style>
  <w:style w:type="paragraph" w:styleId="CommentSubject">
    <w:name w:val="annotation subject"/>
    <w:basedOn w:val="CommentText"/>
    <w:next w:val="CommentText"/>
    <w:link w:val="CommentSubjectChar"/>
    <w:uiPriority w:val="99"/>
    <w:semiHidden/>
    <w:unhideWhenUsed/>
    <w:rsid w:val="005A2D9D"/>
    <w:rPr>
      <w:b/>
      <w:bCs/>
    </w:rPr>
  </w:style>
  <w:style w:type="character" w:customStyle="1" w:styleId="CommentSubjectChar">
    <w:name w:val="Comment Subject Char"/>
    <w:basedOn w:val="CommentTextChar"/>
    <w:link w:val="CommentSubject"/>
    <w:uiPriority w:val="99"/>
    <w:semiHidden/>
    <w:rsid w:val="005A2D9D"/>
    <w:rPr>
      <w:b/>
      <w:bCs/>
      <w:sz w:val="20"/>
      <w:szCs w:val="20"/>
    </w:rPr>
  </w:style>
  <w:style w:type="character" w:customStyle="1" w:styleId="Heading2Char">
    <w:name w:val="Heading 2 Char"/>
    <w:aliases w:val="Title Header2 Char,Diagrama Char, Diagrama Char"/>
    <w:basedOn w:val="DefaultParagraphFont"/>
    <w:link w:val="Heading2"/>
    <w:rsid w:val="00535B45"/>
    <w:rPr>
      <w:rFonts w:ascii="Times New Roman" w:eastAsia="Times New Roman" w:hAnsi="Times New Roman"/>
      <w:sz w:val="24"/>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1289</Words>
  <Characters>736</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Baleisiene</dc:creator>
  <dc:description/>
  <cp:lastModifiedBy>Aušra Jasukaitienė</cp:lastModifiedBy>
  <cp:revision>2</cp:revision>
  <cp:lastPrinted>2019-06-18T19:48:00Z</cp:lastPrinted>
  <dcterms:created xsi:type="dcterms:W3CDTF">2023-06-19T12:37:00Z</dcterms:created>
  <dcterms:modified xsi:type="dcterms:W3CDTF">2023-06-19T12:37:00Z</dcterms:modified>
</cp:coreProperties>
</file>