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A4176C" w14:textId="77777777" w:rsidR="00514DF0" w:rsidRPr="00695968" w:rsidRDefault="00514DF0" w:rsidP="00514DF0">
      <w:pPr>
        <w:ind w:right="-1"/>
        <w:jc w:val="right"/>
        <w:rPr>
          <w:bCs/>
          <w:sz w:val="22"/>
          <w:szCs w:val="22"/>
          <w:lang w:val="lt-LT"/>
        </w:rPr>
      </w:pPr>
      <w:bookmarkStart w:id="0" w:name="_GoBack"/>
      <w:bookmarkEnd w:id="0"/>
      <w:r w:rsidRPr="00695968">
        <w:rPr>
          <w:bCs/>
          <w:sz w:val="22"/>
          <w:szCs w:val="22"/>
          <w:lang w:val="lt-LT"/>
        </w:rPr>
        <w:t>TSD</w:t>
      </w:r>
      <w:r w:rsidRPr="00E34E99">
        <w:rPr>
          <w:bCs/>
          <w:sz w:val="22"/>
          <w:szCs w:val="22"/>
          <w:lang w:val="lt-LT"/>
        </w:rPr>
        <w:t>-</w:t>
      </w:r>
      <w:r w:rsidR="009B4E25">
        <w:rPr>
          <w:bCs/>
          <w:sz w:val="22"/>
          <w:szCs w:val="22"/>
          <w:lang w:val="lt-LT"/>
        </w:rPr>
        <w:t>575</w:t>
      </w:r>
      <w:r w:rsidRPr="00E34E99">
        <w:rPr>
          <w:bCs/>
          <w:sz w:val="22"/>
          <w:szCs w:val="22"/>
          <w:lang w:val="lt-LT"/>
        </w:rPr>
        <w:t>, VPP-</w:t>
      </w:r>
      <w:r w:rsidR="001C7AF6">
        <w:rPr>
          <w:bCs/>
          <w:sz w:val="22"/>
          <w:szCs w:val="22"/>
          <w:lang w:val="lt-LT"/>
        </w:rPr>
        <w:t>2449</w:t>
      </w:r>
    </w:p>
    <w:p w14:paraId="15236D5E" w14:textId="77777777" w:rsidR="00514DF0" w:rsidRPr="001902DD" w:rsidRDefault="00514DF0" w:rsidP="00BC0767">
      <w:pPr>
        <w:jc w:val="center"/>
        <w:rPr>
          <w:b/>
          <w:lang w:val="lt-LT"/>
        </w:rPr>
      </w:pPr>
    </w:p>
    <w:p w14:paraId="0B276E8B" w14:textId="77777777" w:rsidR="000150D3" w:rsidRPr="001902DD" w:rsidRDefault="00CE6638" w:rsidP="00BC0767">
      <w:pPr>
        <w:jc w:val="center"/>
        <w:rPr>
          <w:b/>
          <w:lang w:val="lt-LT"/>
        </w:rPr>
      </w:pPr>
      <w:r w:rsidRPr="001902DD">
        <w:rPr>
          <w:b/>
          <w:lang w:val="lt-LT"/>
        </w:rPr>
        <w:t>Jėgos instrument</w:t>
      </w:r>
      <w:r w:rsidR="000D4DC8">
        <w:rPr>
          <w:b/>
          <w:lang w:val="lt-LT"/>
        </w:rPr>
        <w:t>o</w:t>
      </w:r>
      <w:r w:rsidR="001C7AF6">
        <w:rPr>
          <w:b/>
          <w:lang w:val="lt-LT"/>
        </w:rPr>
        <w:t xml:space="preserve"> </w:t>
      </w:r>
      <w:r w:rsidR="00EA146E">
        <w:rPr>
          <w:b/>
          <w:lang w:val="lt-LT"/>
        </w:rPr>
        <w:t>priedų</w:t>
      </w:r>
      <w:r w:rsidR="00616331" w:rsidRPr="001902DD">
        <w:rPr>
          <w:b/>
          <w:lang w:val="lt-LT"/>
        </w:rPr>
        <w:t xml:space="preserve"> techninė specifikacija</w:t>
      </w:r>
    </w:p>
    <w:p w14:paraId="02C8713D" w14:textId="77777777" w:rsidR="00E57655" w:rsidRDefault="00E57655">
      <w:pPr>
        <w:rPr>
          <w:sz w:val="22"/>
          <w:szCs w:val="22"/>
          <w:lang w:val="lt-LT"/>
        </w:rPr>
      </w:pPr>
    </w:p>
    <w:p w14:paraId="1284796A" w14:textId="77777777" w:rsidR="00C23610" w:rsidRDefault="006F3D1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B30F88">
        <w:rPr>
          <w:b/>
          <w:bCs/>
          <w:sz w:val="22"/>
          <w:szCs w:val="22"/>
        </w:rPr>
        <w:t xml:space="preserve"> pirkimo dalis. </w:t>
      </w:r>
      <w:r>
        <w:rPr>
          <w:b/>
          <w:bCs/>
          <w:sz w:val="22"/>
          <w:szCs w:val="22"/>
        </w:rPr>
        <w:t>Kranialinis perforatorius</w:t>
      </w:r>
      <w:r w:rsidRPr="00B30F88">
        <w:rPr>
          <w:b/>
          <w:bCs/>
          <w:sz w:val="22"/>
          <w:szCs w:val="22"/>
        </w:rPr>
        <w:t xml:space="preserve"> </w:t>
      </w: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3493"/>
        <w:gridCol w:w="3311"/>
      </w:tblGrid>
      <w:tr w:rsidR="006F3D14" w:rsidRPr="001902DD" w14:paraId="66012A05" w14:textId="77777777" w:rsidTr="003E1B75">
        <w:trPr>
          <w:trHeight w:val="70"/>
        </w:trPr>
        <w:tc>
          <w:tcPr>
            <w:tcW w:w="675" w:type="dxa"/>
          </w:tcPr>
          <w:p w14:paraId="7F329804" w14:textId="77777777" w:rsidR="006F3D14" w:rsidRPr="001902DD" w:rsidRDefault="006F3D14" w:rsidP="0048075E">
            <w:pPr>
              <w:ind w:left="-142" w:right="-108"/>
              <w:jc w:val="center"/>
              <w:rPr>
                <w:b/>
                <w:sz w:val="22"/>
                <w:szCs w:val="22"/>
                <w:lang w:val="lt-LT"/>
              </w:rPr>
            </w:pPr>
            <w:r w:rsidRPr="001902DD">
              <w:rPr>
                <w:b/>
                <w:sz w:val="22"/>
                <w:szCs w:val="22"/>
                <w:lang w:val="lt-LT"/>
              </w:rPr>
              <w:t>Eil.</w:t>
            </w:r>
          </w:p>
          <w:p w14:paraId="52FEE0B7" w14:textId="77777777" w:rsidR="006F3D14" w:rsidRPr="001902DD" w:rsidRDefault="006F3D14" w:rsidP="0048075E">
            <w:pPr>
              <w:ind w:left="-142" w:right="-108"/>
              <w:jc w:val="center"/>
              <w:rPr>
                <w:b/>
                <w:sz w:val="22"/>
                <w:szCs w:val="22"/>
                <w:lang w:val="lt-LT"/>
              </w:rPr>
            </w:pPr>
            <w:r w:rsidRPr="001902DD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2127" w:type="dxa"/>
          </w:tcPr>
          <w:p w14:paraId="16FFB1B6" w14:textId="77777777" w:rsidR="006F3D14" w:rsidRPr="001902DD" w:rsidRDefault="006F3D14" w:rsidP="0048075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1902DD">
              <w:rPr>
                <w:b/>
                <w:sz w:val="22"/>
                <w:szCs w:val="22"/>
                <w:lang w:val="lt-LT"/>
              </w:rPr>
              <w:t>Pavadinimas (specifikacija)</w:t>
            </w:r>
          </w:p>
        </w:tc>
        <w:tc>
          <w:tcPr>
            <w:tcW w:w="3493" w:type="dxa"/>
          </w:tcPr>
          <w:p w14:paraId="6A5155CD" w14:textId="77777777" w:rsidR="006F3D14" w:rsidRPr="001902DD" w:rsidRDefault="006F3D14" w:rsidP="0048075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1902DD">
              <w:rPr>
                <w:b/>
                <w:sz w:val="22"/>
                <w:szCs w:val="22"/>
                <w:lang w:val="lt-LT"/>
              </w:rPr>
              <w:t>Reikalaujama parametro reikšmė</w:t>
            </w:r>
          </w:p>
        </w:tc>
        <w:tc>
          <w:tcPr>
            <w:tcW w:w="3311" w:type="dxa"/>
          </w:tcPr>
          <w:p w14:paraId="4D558CA3" w14:textId="77777777" w:rsidR="006F3D14" w:rsidRPr="001902DD" w:rsidRDefault="006F3D14" w:rsidP="0048075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1902DD">
              <w:rPr>
                <w:b/>
                <w:sz w:val="22"/>
                <w:szCs w:val="22"/>
                <w:lang w:val="lt-LT"/>
              </w:rPr>
              <w:t>Siūloma parametro reikšmė</w:t>
            </w:r>
          </w:p>
        </w:tc>
      </w:tr>
      <w:tr w:rsidR="001A117E" w:rsidRPr="00E87A47" w14:paraId="676CD532" w14:textId="77777777" w:rsidTr="003E1B75">
        <w:trPr>
          <w:trHeight w:val="891"/>
        </w:trPr>
        <w:tc>
          <w:tcPr>
            <w:tcW w:w="675" w:type="dxa"/>
          </w:tcPr>
          <w:p w14:paraId="55B5F5BB" w14:textId="77777777" w:rsidR="001A117E" w:rsidRDefault="00C23610" w:rsidP="001A117E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br/>
            </w:r>
            <w:r w:rsidR="001A117E">
              <w:rPr>
                <w:sz w:val="22"/>
                <w:szCs w:val="22"/>
                <w:lang w:val="lt-LT"/>
              </w:rPr>
              <w:t>7.</w:t>
            </w:r>
          </w:p>
        </w:tc>
        <w:tc>
          <w:tcPr>
            <w:tcW w:w="2127" w:type="dxa"/>
          </w:tcPr>
          <w:p w14:paraId="40A0E0B3" w14:textId="77777777" w:rsidR="001A117E" w:rsidRDefault="001A117E" w:rsidP="001A117E">
            <w:pPr>
              <w:rPr>
                <w:snapToGrid w:val="0"/>
                <w:color w:val="000000"/>
                <w:sz w:val="22"/>
                <w:szCs w:val="22"/>
                <w:lang w:eastAsia="de-DE"/>
              </w:rPr>
            </w:pPr>
            <w:r w:rsidRPr="001902DD">
              <w:rPr>
                <w:snapToGrid w:val="0"/>
                <w:color w:val="000000"/>
                <w:sz w:val="22"/>
                <w:szCs w:val="22"/>
                <w:lang w:eastAsia="de-DE"/>
              </w:rPr>
              <w:t>Kranialinis perforatorius</w:t>
            </w:r>
          </w:p>
          <w:p w14:paraId="76D8FDBA" w14:textId="77777777" w:rsidR="001A117E" w:rsidRPr="001902DD" w:rsidRDefault="001A117E" w:rsidP="001A117E">
            <w:pPr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(orientacinis kiekis – 40 vnt.)</w:t>
            </w:r>
          </w:p>
        </w:tc>
        <w:tc>
          <w:tcPr>
            <w:tcW w:w="3493" w:type="dxa"/>
          </w:tcPr>
          <w:p w14:paraId="7D8ACC71" w14:textId="77777777" w:rsidR="00DD31D4" w:rsidRDefault="00AB3088" w:rsidP="001A117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D31D4">
              <w:rPr>
                <w:sz w:val="22"/>
                <w:szCs w:val="22"/>
              </w:rPr>
              <w:t xml:space="preserve"> </w:t>
            </w:r>
            <w:r w:rsidR="00DD31D4" w:rsidRPr="000747BA">
              <w:rPr>
                <w:sz w:val="22"/>
              </w:rPr>
              <w:t>Techniškai suderinamas su gamintojo „</w:t>
            </w:r>
            <w:r w:rsidR="00DD31D4" w:rsidRPr="000747BA">
              <w:rPr>
                <w:noProof/>
                <w:sz w:val="22"/>
              </w:rPr>
              <w:t>Medtronic“ jėgos instrumentu „Midas Rex“;</w:t>
            </w:r>
            <w:r>
              <w:rPr>
                <w:sz w:val="22"/>
                <w:szCs w:val="22"/>
              </w:rPr>
              <w:t xml:space="preserve"> </w:t>
            </w:r>
          </w:p>
          <w:p w14:paraId="50D1FF44" w14:textId="77777777" w:rsidR="00AB3088" w:rsidRDefault="00DD31D4" w:rsidP="001A117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1A117E">
              <w:rPr>
                <w:sz w:val="22"/>
                <w:szCs w:val="22"/>
              </w:rPr>
              <w:t>Vienkartinio naudojimo</w:t>
            </w:r>
            <w:r w:rsidR="00AB3088">
              <w:rPr>
                <w:sz w:val="22"/>
                <w:szCs w:val="22"/>
              </w:rPr>
              <w:t>;</w:t>
            </w:r>
          </w:p>
          <w:p w14:paraId="233AA30E" w14:textId="77777777" w:rsidR="001A117E" w:rsidRPr="001902DD" w:rsidRDefault="00DD31D4" w:rsidP="001A117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B3088">
              <w:rPr>
                <w:sz w:val="22"/>
                <w:szCs w:val="22"/>
              </w:rPr>
              <w:t>. D</w:t>
            </w:r>
            <w:r w:rsidR="001A117E" w:rsidRPr="001902DD">
              <w:rPr>
                <w:sz w:val="22"/>
                <w:szCs w:val="22"/>
              </w:rPr>
              <w:t>viejų skirtingo diametro grąžtų sistema su automatinio gręžimo sustabdymo mechanizmu (labiau atsikišusiam į priekį centriniam mažesnio diametro grąžtui pragręžus kaukolę ir išorinio grąžto atžvilgiu pajudėjus į priekį, abu grąžtai nustoja suktis);</w:t>
            </w:r>
          </w:p>
          <w:p w14:paraId="1B8E1147" w14:textId="77777777" w:rsidR="001A117E" w:rsidRPr="001902DD" w:rsidRDefault="00DD31D4" w:rsidP="001A117E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B3088" w:rsidRPr="00AB3088">
              <w:rPr>
                <w:sz w:val="22"/>
                <w:szCs w:val="22"/>
              </w:rPr>
              <w:t xml:space="preserve">. </w:t>
            </w:r>
            <w:r w:rsidR="001A117E" w:rsidRPr="00AB3088">
              <w:rPr>
                <w:sz w:val="22"/>
                <w:szCs w:val="22"/>
              </w:rPr>
              <w:t>Grąžtų diametrai: išorinio − 14±1 mm, vidinio</w:t>
            </w:r>
            <w:r w:rsidR="001A117E" w:rsidRPr="005E1C57">
              <w:rPr>
                <w:sz w:val="22"/>
                <w:szCs w:val="22"/>
              </w:rPr>
              <w:t xml:space="preserve"> – 11±1 mm.</w:t>
            </w:r>
          </w:p>
          <w:p w14:paraId="34398552" w14:textId="77777777" w:rsidR="001A117E" w:rsidRPr="001902DD" w:rsidRDefault="001A117E" w:rsidP="001A117E">
            <w:pPr>
              <w:rPr>
                <w:color w:val="FF0000"/>
                <w:sz w:val="6"/>
                <w:szCs w:val="6"/>
              </w:rPr>
            </w:pPr>
          </w:p>
          <w:p w14:paraId="1DBC5AEE" w14:textId="77777777" w:rsidR="001A117E" w:rsidRPr="001902DD" w:rsidRDefault="001A117E" w:rsidP="001A117E">
            <w:pPr>
              <w:rPr>
                <w:sz w:val="22"/>
                <w:szCs w:val="22"/>
              </w:rPr>
            </w:pPr>
            <w:r w:rsidRPr="001902DD">
              <w:rPr>
                <w:i/>
                <w:sz w:val="22"/>
                <w:szCs w:val="22"/>
              </w:rPr>
              <w:t xml:space="preserve">(firmos </w:t>
            </w:r>
            <w:r w:rsidRPr="001A117E">
              <w:rPr>
                <w:i/>
                <w:noProof/>
                <w:sz w:val="22"/>
                <w:szCs w:val="22"/>
                <w:lang w:val="lt-LT"/>
              </w:rPr>
              <w:t xml:space="preserve">„Medtronic“ </w:t>
            </w:r>
            <w:r w:rsidRPr="001A117E">
              <w:rPr>
                <w:i/>
                <w:noProof/>
                <w:snapToGrid w:val="0"/>
                <w:color w:val="000000"/>
                <w:sz w:val="22"/>
                <w:szCs w:val="22"/>
                <w:lang w:val="lt-LT" w:eastAsia="de-DE"/>
              </w:rPr>
              <w:t>kranialinis perforatorius</w:t>
            </w:r>
            <w:r w:rsidRPr="001A117E">
              <w:rPr>
                <w:i/>
                <w:noProof/>
                <w:sz w:val="22"/>
                <w:szCs w:val="22"/>
                <w:lang w:val="lt-LT"/>
              </w:rPr>
              <w:t>, katalogo</w:t>
            </w:r>
            <w:r w:rsidRPr="001902DD">
              <w:rPr>
                <w:i/>
                <w:sz w:val="22"/>
                <w:szCs w:val="22"/>
                <w:lang w:val="lt-LT"/>
              </w:rPr>
              <w:t xml:space="preserve"> nr. </w:t>
            </w:r>
            <w:r w:rsidRPr="001902DD">
              <w:rPr>
                <w:i/>
                <w:sz w:val="22"/>
                <w:szCs w:val="22"/>
              </w:rPr>
              <w:t>DM0010FAA</w:t>
            </w:r>
          </w:p>
          <w:p w14:paraId="5DF92284" w14:textId="77777777" w:rsidR="001A117E" w:rsidRPr="001902DD" w:rsidRDefault="001A117E" w:rsidP="001A117E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1902DD">
              <w:rPr>
                <w:i/>
                <w:sz w:val="22"/>
                <w:szCs w:val="22"/>
                <w:lang w:val="lt-LT"/>
              </w:rPr>
              <w:t xml:space="preserve"> arba lygiavertis</w:t>
            </w:r>
            <w:r w:rsidRPr="001902DD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3311" w:type="dxa"/>
          </w:tcPr>
          <w:p w14:paraId="7955BDBC" w14:textId="08110CF5" w:rsidR="003E1B75" w:rsidRPr="003E1B75" w:rsidRDefault="003E1B75" w:rsidP="003E1B75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3E1B75">
              <w:rPr>
                <w:color w:val="000000"/>
                <w:sz w:val="22"/>
                <w:szCs w:val="22"/>
                <w:lang w:val="lt-LT" w:eastAsia="lt-LT"/>
              </w:rPr>
              <w:t xml:space="preserve">1. Techniškai suderinamas su gamintojo „Medtronic“ jėgos instrumentu „Midas Rex“;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Hudson tipo jungtis.</w:t>
            </w:r>
          </w:p>
          <w:p w14:paraId="695CBE0C" w14:textId="5EFDD6DA" w:rsidR="003E1B75" w:rsidRPr="003E1B75" w:rsidRDefault="003E1B75" w:rsidP="003E1B75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3E1B75">
              <w:rPr>
                <w:color w:val="000000"/>
                <w:sz w:val="22"/>
                <w:szCs w:val="22"/>
                <w:lang w:val="lt-LT" w:eastAsia="lt-LT"/>
              </w:rPr>
              <w:t>2. Vienkartinio naudojimo;</w:t>
            </w:r>
          </w:p>
          <w:p w14:paraId="25F3C0BB" w14:textId="46897384" w:rsidR="003E1B75" w:rsidRPr="003E1B75" w:rsidRDefault="003E1B75" w:rsidP="003E1B75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3E1B75">
              <w:rPr>
                <w:color w:val="000000"/>
                <w:sz w:val="22"/>
                <w:szCs w:val="22"/>
                <w:lang w:val="lt-LT" w:eastAsia="lt-LT"/>
              </w:rPr>
              <w:t>3. Dviejų skirtingo diametro grąžtų sistema su automatinio gręžimo sustabdymo mechanizmu (labiau atsikišusiam į priekį centriniam mažesnio diametro grąžtui pragręžus kaukolę ir išorinio grąžto atžvilgiu pajudėjus į priekį, abu grąžtai nustoja suktis);</w:t>
            </w:r>
          </w:p>
          <w:p w14:paraId="1E80ECCF" w14:textId="77777777" w:rsidR="003E1B75" w:rsidRDefault="003E1B75" w:rsidP="003E1B75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3E1B75">
              <w:rPr>
                <w:color w:val="000000"/>
                <w:sz w:val="22"/>
                <w:szCs w:val="22"/>
                <w:lang w:val="lt-LT" w:eastAsia="lt-LT"/>
              </w:rPr>
              <w:t xml:space="preserve">4. Grąžtų diametrai: </w:t>
            </w:r>
          </w:p>
          <w:p w14:paraId="13358EC4" w14:textId="3F3C7EAF" w:rsidR="003E1B75" w:rsidRPr="003E1B75" w:rsidRDefault="003E1B75" w:rsidP="003E1B75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3E1B75">
              <w:rPr>
                <w:color w:val="000000"/>
                <w:sz w:val="22"/>
                <w:szCs w:val="22"/>
                <w:lang w:val="lt-LT" w:eastAsia="lt-LT"/>
              </w:rPr>
              <w:t>Išorinio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 xml:space="preserve"> -</w:t>
            </w:r>
            <w:r w:rsidRPr="003E1B75">
              <w:rPr>
                <w:color w:val="000000"/>
                <w:sz w:val="22"/>
                <w:szCs w:val="22"/>
                <w:lang w:val="lt-LT" w:eastAsia="lt-LT"/>
              </w:rPr>
              <w:t xml:space="preserve"> 14 mm, vidinio– 11 mm.</w:t>
            </w:r>
          </w:p>
          <w:p w14:paraId="08B2BDF6" w14:textId="77777777" w:rsidR="003E1B75" w:rsidRPr="003E1B75" w:rsidRDefault="003E1B75" w:rsidP="003E1B75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39AE1BCA" w14:textId="0ED4E3D5" w:rsidR="001A117E" w:rsidRPr="001902DD" w:rsidRDefault="001A117E" w:rsidP="003E1B75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</w:tbl>
    <w:p w14:paraId="553BBD93" w14:textId="77777777" w:rsidR="006F3D14" w:rsidRDefault="006F3D14"/>
    <w:p w14:paraId="07F85989" w14:textId="77777777" w:rsidR="00B02D0B" w:rsidRPr="005D187A" w:rsidRDefault="000C7EB6" w:rsidP="00B02D0B">
      <w:pPr>
        <w:spacing w:before="120" w:after="120"/>
        <w:rPr>
          <w:b/>
          <w:noProof/>
          <w:sz w:val="22"/>
          <w:szCs w:val="22"/>
          <w:lang w:val="lt-LT" w:eastAsia="lt-LT"/>
        </w:rPr>
      </w:pPr>
      <w:r w:rsidRPr="005D187A">
        <w:rPr>
          <w:b/>
          <w:noProof/>
          <w:sz w:val="22"/>
          <w:szCs w:val="22"/>
          <w:lang w:val="lt-LT" w:eastAsia="lt-LT"/>
        </w:rPr>
        <w:t>P</w:t>
      </w:r>
      <w:r w:rsidR="00AB3CF6" w:rsidRPr="005D187A">
        <w:rPr>
          <w:b/>
          <w:noProof/>
          <w:sz w:val="22"/>
          <w:szCs w:val="22"/>
          <w:lang w:val="lt-LT" w:eastAsia="lt-LT"/>
        </w:rPr>
        <w:t>astabos, papildomi reikalavimai:</w:t>
      </w:r>
    </w:p>
    <w:p w14:paraId="5D8F968A" w14:textId="77777777" w:rsidR="00D02100" w:rsidRPr="005D187A" w:rsidRDefault="00AB3CF6" w:rsidP="00D02100">
      <w:pPr>
        <w:numPr>
          <w:ilvl w:val="0"/>
          <w:numId w:val="5"/>
        </w:numPr>
        <w:tabs>
          <w:tab w:val="clear" w:pos="720"/>
          <w:tab w:val="num" w:pos="426"/>
        </w:tabs>
        <w:ind w:left="284" w:hanging="284"/>
        <w:jc w:val="both"/>
        <w:rPr>
          <w:sz w:val="22"/>
          <w:szCs w:val="22"/>
        </w:rPr>
      </w:pPr>
      <w:r w:rsidRPr="005D187A">
        <w:rPr>
          <w:noProof/>
          <w:sz w:val="22"/>
          <w:szCs w:val="22"/>
          <w:lang w:val="lt-LT"/>
        </w:rPr>
        <w:t>Lentelėje nurodyt</w:t>
      </w:r>
      <w:r w:rsidR="00DD486B" w:rsidRPr="005D187A">
        <w:rPr>
          <w:noProof/>
          <w:sz w:val="22"/>
          <w:szCs w:val="22"/>
          <w:lang w:val="lt-LT"/>
        </w:rPr>
        <w:t>as</w:t>
      </w:r>
      <w:r w:rsidRPr="005D187A">
        <w:rPr>
          <w:noProof/>
          <w:sz w:val="22"/>
          <w:szCs w:val="22"/>
          <w:lang w:val="lt-LT"/>
        </w:rPr>
        <w:t xml:space="preserve"> firm</w:t>
      </w:r>
      <w:r w:rsidR="00DD486B" w:rsidRPr="005D187A">
        <w:rPr>
          <w:noProof/>
          <w:sz w:val="22"/>
          <w:szCs w:val="22"/>
          <w:lang w:val="lt-LT"/>
        </w:rPr>
        <w:t>os pavadinimas</w:t>
      </w:r>
      <w:r w:rsidR="00DD3199" w:rsidRPr="005D187A">
        <w:rPr>
          <w:noProof/>
          <w:sz w:val="22"/>
          <w:szCs w:val="22"/>
          <w:lang w:val="lt-LT"/>
        </w:rPr>
        <w:t xml:space="preserve"> ir </w:t>
      </w:r>
      <w:r w:rsidRPr="005D187A">
        <w:rPr>
          <w:noProof/>
          <w:sz w:val="22"/>
          <w:szCs w:val="22"/>
          <w:lang w:val="lt-LT"/>
        </w:rPr>
        <w:t>kataloginiai numeriai jokios</w:t>
      </w:r>
      <w:r w:rsidRPr="005D187A">
        <w:rPr>
          <w:sz w:val="22"/>
          <w:szCs w:val="22"/>
          <w:lang w:val="lt-LT"/>
        </w:rPr>
        <w:t xml:space="preserve"> komercinės reikšmės neturi, tik nurodo perkamų </w:t>
      </w:r>
      <w:r w:rsidR="000149D0" w:rsidRPr="005D187A">
        <w:rPr>
          <w:sz w:val="22"/>
          <w:szCs w:val="22"/>
          <w:lang w:val="lt-LT"/>
        </w:rPr>
        <w:t xml:space="preserve">jėgos instrumento </w:t>
      </w:r>
      <w:r w:rsidR="00DD486B" w:rsidRPr="005D187A">
        <w:rPr>
          <w:sz w:val="22"/>
          <w:szCs w:val="22"/>
          <w:lang w:val="lt-LT"/>
        </w:rPr>
        <w:t>priedų</w:t>
      </w:r>
      <w:r w:rsidRPr="005D187A">
        <w:rPr>
          <w:sz w:val="22"/>
          <w:szCs w:val="22"/>
          <w:lang w:val="lt-LT"/>
        </w:rPr>
        <w:t xml:space="preserve"> technines charakteristikas aprašančius informacijos šaltinius. Gali būti siūlomi nurodyt</w:t>
      </w:r>
      <w:r w:rsidR="00DD486B" w:rsidRPr="005D187A">
        <w:rPr>
          <w:sz w:val="22"/>
          <w:szCs w:val="22"/>
          <w:lang w:val="lt-LT"/>
        </w:rPr>
        <w:t>o</w:t>
      </w:r>
      <w:r w:rsidRPr="005D187A">
        <w:rPr>
          <w:sz w:val="22"/>
          <w:szCs w:val="22"/>
          <w:lang w:val="lt-LT"/>
        </w:rPr>
        <w:t xml:space="preserve"> gamintoj</w:t>
      </w:r>
      <w:r w:rsidR="00DD486B" w:rsidRPr="005D187A">
        <w:rPr>
          <w:sz w:val="22"/>
          <w:szCs w:val="22"/>
          <w:lang w:val="lt-LT"/>
        </w:rPr>
        <w:t>o</w:t>
      </w:r>
      <w:r w:rsidRPr="005D187A">
        <w:rPr>
          <w:sz w:val="22"/>
          <w:szCs w:val="22"/>
          <w:lang w:val="lt-LT"/>
        </w:rPr>
        <w:t xml:space="preserve"> konkrečiais katalogo numeriais įvardinti </w:t>
      </w:r>
      <w:r w:rsidR="00DD486B" w:rsidRPr="005D187A">
        <w:rPr>
          <w:sz w:val="22"/>
          <w:szCs w:val="22"/>
        </w:rPr>
        <w:t>priedai</w:t>
      </w:r>
      <w:r w:rsidRPr="005D187A">
        <w:rPr>
          <w:sz w:val="22"/>
          <w:szCs w:val="22"/>
          <w:lang w:val="lt-LT"/>
        </w:rPr>
        <w:t xml:space="preserve"> arba jiems lygiaver</w:t>
      </w:r>
      <w:r w:rsidR="00363704" w:rsidRPr="005D187A">
        <w:rPr>
          <w:sz w:val="22"/>
          <w:szCs w:val="22"/>
          <w:lang w:val="lt-LT"/>
        </w:rPr>
        <w:t>tūs</w:t>
      </w:r>
      <w:r w:rsidRPr="005D187A">
        <w:rPr>
          <w:sz w:val="22"/>
          <w:szCs w:val="22"/>
          <w:lang w:val="lt-LT"/>
        </w:rPr>
        <w:t>, atitinkantys lentelėje pateiktus reikalavimus</w:t>
      </w:r>
      <w:r w:rsidR="00363704" w:rsidRPr="005D187A">
        <w:rPr>
          <w:sz w:val="22"/>
          <w:szCs w:val="22"/>
          <w:lang w:val="lt-LT"/>
        </w:rPr>
        <w:t>, kitų firmų gaminiai</w:t>
      </w:r>
      <w:r w:rsidRPr="005D187A">
        <w:rPr>
          <w:sz w:val="22"/>
          <w:szCs w:val="22"/>
          <w:lang w:val="lt-LT"/>
        </w:rPr>
        <w:t>.</w:t>
      </w:r>
    </w:p>
    <w:p w14:paraId="688F07B1" w14:textId="77777777" w:rsidR="00E07B6C" w:rsidRPr="005D187A" w:rsidRDefault="00E07B6C" w:rsidP="00D02100">
      <w:pPr>
        <w:numPr>
          <w:ilvl w:val="0"/>
          <w:numId w:val="5"/>
        </w:numPr>
        <w:tabs>
          <w:tab w:val="clear" w:pos="720"/>
          <w:tab w:val="num" w:pos="426"/>
        </w:tabs>
        <w:ind w:left="284" w:hanging="284"/>
        <w:jc w:val="both"/>
        <w:rPr>
          <w:sz w:val="22"/>
          <w:szCs w:val="22"/>
        </w:rPr>
      </w:pPr>
      <w:r w:rsidRPr="005D187A">
        <w:rPr>
          <w:sz w:val="22"/>
          <w:szCs w:val="22"/>
          <w:lang w:val="lt-LT"/>
        </w:rPr>
        <w:t xml:space="preserve">Būtinas siūlomų </w:t>
      </w:r>
      <w:r w:rsidR="00EA146E" w:rsidRPr="005D187A">
        <w:rPr>
          <w:sz w:val="22"/>
          <w:szCs w:val="22"/>
          <w:lang w:val="lt-LT"/>
        </w:rPr>
        <w:t>jėgos instrumento</w:t>
      </w:r>
      <w:r w:rsidR="00D02100" w:rsidRPr="005D187A">
        <w:rPr>
          <w:sz w:val="22"/>
          <w:szCs w:val="22"/>
          <w:lang w:val="lt-LT"/>
        </w:rPr>
        <w:t xml:space="preserve"> priedų</w:t>
      </w:r>
      <w:r w:rsidRPr="005D187A">
        <w:rPr>
          <w:sz w:val="22"/>
          <w:szCs w:val="22"/>
          <w:lang w:val="lt-LT"/>
        </w:rPr>
        <w:t xml:space="preserve"> žymėjimas CE ženklu (</w:t>
      </w:r>
      <w:r w:rsidRPr="005D187A">
        <w:rPr>
          <w:b/>
          <w:sz w:val="22"/>
          <w:szCs w:val="22"/>
          <w:lang w:val="lt-LT"/>
        </w:rPr>
        <w:t xml:space="preserve">kartu su pasiūlymu konkursui privaloma pateikti </w:t>
      </w:r>
      <w:r w:rsidR="008E6700" w:rsidRPr="005D187A">
        <w:rPr>
          <w:b/>
          <w:sz w:val="22"/>
          <w:szCs w:val="22"/>
          <w:lang w:val="lt-LT"/>
        </w:rPr>
        <w:t xml:space="preserve">galiojančio </w:t>
      </w:r>
      <w:r w:rsidRPr="005D187A">
        <w:rPr>
          <w:b/>
          <w:sz w:val="22"/>
          <w:szCs w:val="22"/>
          <w:lang w:val="lt-LT"/>
        </w:rPr>
        <w:t>CE sertifikato arba EB atitikties deklaracijos kopiją)</w:t>
      </w:r>
      <w:r w:rsidRPr="005D187A">
        <w:rPr>
          <w:sz w:val="22"/>
          <w:szCs w:val="22"/>
          <w:lang w:val="lt-LT"/>
        </w:rPr>
        <w:t>.</w:t>
      </w:r>
    </w:p>
    <w:p w14:paraId="52271027" w14:textId="77777777" w:rsidR="0001621E" w:rsidRPr="005D187A" w:rsidRDefault="0001621E" w:rsidP="0001621E">
      <w:pPr>
        <w:numPr>
          <w:ilvl w:val="0"/>
          <w:numId w:val="5"/>
        </w:numPr>
        <w:tabs>
          <w:tab w:val="clear" w:pos="720"/>
          <w:tab w:val="num" w:pos="426"/>
        </w:tabs>
        <w:ind w:left="284" w:hanging="284"/>
        <w:jc w:val="both"/>
        <w:rPr>
          <w:sz w:val="22"/>
          <w:szCs w:val="22"/>
        </w:rPr>
      </w:pPr>
      <w:r w:rsidRPr="005D187A">
        <w:rPr>
          <w:sz w:val="22"/>
          <w:szCs w:val="22"/>
          <w:lang w:val="lt-LT"/>
        </w:rPr>
        <w:t>Viešojo pirkimo komisijai pareikalavus, įvertinimui turi būti pateikti siūlomų jėgos instrumento priedų pavyzdžiai.</w:t>
      </w:r>
    </w:p>
    <w:p w14:paraId="3FA395DD" w14:textId="77777777" w:rsidR="00200F60" w:rsidRPr="005D187A" w:rsidRDefault="00200F60" w:rsidP="00200F60">
      <w:pPr>
        <w:jc w:val="both"/>
        <w:rPr>
          <w:szCs w:val="22"/>
        </w:rPr>
      </w:pPr>
    </w:p>
    <w:p w14:paraId="01B91622" w14:textId="77777777" w:rsidR="00200F60" w:rsidRPr="005D187A" w:rsidRDefault="00200F60" w:rsidP="00200F60">
      <w:pPr>
        <w:jc w:val="both"/>
        <w:rPr>
          <w:sz w:val="20"/>
          <w:szCs w:val="22"/>
        </w:rPr>
      </w:pPr>
    </w:p>
    <w:p w14:paraId="6E433043" w14:textId="77777777" w:rsidR="003A5504" w:rsidRDefault="003A5504" w:rsidP="009F13D5">
      <w:pPr>
        <w:ind w:right="-1"/>
        <w:rPr>
          <w:sz w:val="20"/>
          <w:szCs w:val="22"/>
          <w:lang w:val="lt-LT"/>
        </w:rPr>
      </w:pPr>
    </w:p>
    <w:p w14:paraId="229F6125" w14:textId="77777777" w:rsidR="003A5504" w:rsidRDefault="003A5504" w:rsidP="009F13D5">
      <w:pPr>
        <w:ind w:right="-1"/>
        <w:rPr>
          <w:sz w:val="20"/>
          <w:szCs w:val="22"/>
          <w:lang w:val="lt-LT"/>
        </w:rPr>
      </w:pPr>
    </w:p>
    <w:p w14:paraId="575E8402" w14:textId="77777777" w:rsidR="003A5504" w:rsidRDefault="003A5504" w:rsidP="009F13D5">
      <w:pPr>
        <w:ind w:right="-1"/>
        <w:rPr>
          <w:sz w:val="20"/>
          <w:szCs w:val="22"/>
          <w:lang w:val="lt-LT"/>
        </w:rPr>
      </w:pPr>
    </w:p>
    <w:p w14:paraId="5FFB2A13" w14:textId="77777777" w:rsidR="003A5504" w:rsidRDefault="003A5504" w:rsidP="009F13D5">
      <w:pPr>
        <w:ind w:right="-1"/>
        <w:rPr>
          <w:sz w:val="20"/>
          <w:szCs w:val="22"/>
          <w:lang w:val="lt-LT"/>
        </w:rPr>
      </w:pPr>
    </w:p>
    <w:p w14:paraId="418A0394" w14:textId="77777777" w:rsidR="00974E8C" w:rsidRDefault="00974E8C" w:rsidP="009F13D5">
      <w:pPr>
        <w:ind w:right="-1"/>
        <w:rPr>
          <w:sz w:val="20"/>
          <w:szCs w:val="22"/>
          <w:lang w:val="lt-LT"/>
        </w:rPr>
      </w:pPr>
    </w:p>
    <w:p w14:paraId="66B81516" w14:textId="77777777" w:rsidR="00974E8C" w:rsidRDefault="00974E8C" w:rsidP="009F13D5">
      <w:pPr>
        <w:ind w:right="-1"/>
        <w:rPr>
          <w:sz w:val="20"/>
          <w:szCs w:val="22"/>
          <w:lang w:val="lt-LT"/>
        </w:rPr>
      </w:pPr>
    </w:p>
    <w:p w14:paraId="3F0DE268" w14:textId="77777777" w:rsidR="00974E8C" w:rsidRPr="00A2665C" w:rsidRDefault="00974E8C" w:rsidP="009F13D5">
      <w:pPr>
        <w:ind w:right="-1"/>
        <w:rPr>
          <w:sz w:val="20"/>
          <w:szCs w:val="22"/>
          <w:lang w:val="lt-LT"/>
        </w:rPr>
      </w:pPr>
    </w:p>
    <w:sectPr w:rsidR="00974E8C" w:rsidRPr="00A2665C" w:rsidSect="001A2B84">
      <w:footerReference w:type="default" r:id="rId11"/>
      <w:pgSz w:w="11906" w:h="16838"/>
      <w:pgMar w:top="709" w:right="567" w:bottom="1021" w:left="1701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914E9B" w14:textId="77777777" w:rsidR="00C53B7C" w:rsidRDefault="00C53B7C" w:rsidP="00B30CAE">
      <w:r>
        <w:separator/>
      </w:r>
    </w:p>
  </w:endnote>
  <w:endnote w:type="continuationSeparator" w:id="0">
    <w:p w14:paraId="2FDCD6FF" w14:textId="77777777" w:rsidR="00C53B7C" w:rsidRDefault="00C53B7C" w:rsidP="00B3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1169104"/>
      <w:docPartObj>
        <w:docPartGallery w:val="Page Numbers (Bottom of Page)"/>
        <w:docPartUnique/>
      </w:docPartObj>
    </w:sdtPr>
    <w:sdtEndPr/>
    <w:sdtContent>
      <w:p w14:paraId="2C0F153D" w14:textId="77777777" w:rsidR="00707A20" w:rsidRDefault="001562F8">
        <w:pPr>
          <w:pStyle w:val="Footer"/>
          <w:jc w:val="right"/>
        </w:pPr>
        <w:r>
          <w:fldChar w:fldCharType="begin"/>
        </w:r>
        <w:r w:rsidR="00707A20">
          <w:instrText>PAGE   \* MERGEFORMAT</w:instrText>
        </w:r>
        <w:r>
          <w:fldChar w:fldCharType="separate"/>
        </w:r>
        <w:r w:rsidR="00D90DAF" w:rsidRPr="00D90DAF">
          <w:rPr>
            <w:noProof/>
            <w:lang w:val="lt-LT"/>
          </w:rPr>
          <w:t>1</w:t>
        </w:r>
        <w:r>
          <w:fldChar w:fldCharType="end"/>
        </w:r>
      </w:p>
    </w:sdtContent>
  </w:sdt>
  <w:p w14:paraId="59AE7CD5" w14:textId="77777777" w:rsidR="00707A20" w:rsidRDefault="00707A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8DDDDE" w14:textId="77777777" w:rsidR="00C53B7C" w:rsidRDefault="00C53B7C" w:rsidP="00B30CAE">
      <w:r>
        <w:separator/>
      </w:r>
    </w:p>
  </w:footnote>
  <w:footnote w:type="continuationSeparator" w:id="0">
    <w:p w14:paraId="0F138A3F" w14:textId="77777777" w:rsidR="00C53B7C" w:rsidRDefault="00C53B7C" w:rsidP="00B30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2741E"/>
    <w:multiLevelType w:val="hybridMultilevel"/>
    <w:tmpl w:val="2CD66B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65CD7"/>
    <w:multiLevelType w:val="hybridMultilevel"/>
    <w:tmpl w:val="A1746020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557" w:hanging="360"/>
      </w:pPr>
    </w:lvl>
    <w:lvl w:ilvl="2" w:tplc="0427001B" w:tentative="1">
      <w:start w:val="1"/>
      <w:numFmt w:val="lowerRoman"/>
      <w:lvlText w:val="%3."/>
      <w:lvlJc w:val="right"/>
      <w:pPr>
        <w:ind w:left="2277" w:hanging="180"/>
      </w:pPr>
    </w:lvl>
    <w:lvl w:ilvl="3" w:tplc="0427000F" w:tentative="1">
      <w:start w:val="1"/>
      <w:numFmt w:val="decimal"/>
      <w:lvlText w:val="%4."/>
      <w:lvlJc w:val="left"/>
      <w:pPr>
        <w:ind w:left="2997" w:hanging="360"/>
      </w:pPr>
    </w:lvl>
    <w:lvl w:ilvl="4" w:tplc="04270019" w:tentative="1">
      <w:start w:val="1"/>
      <w:numFmt w:val="lowerLetter"/>
      <w:lvlText w:val="%5."/>
      <w:lvlJc w:val="left"/>
      <w:pPr>
        <w:ind w:left="3717" w:hanging="360"/>
      </w:pPr>
    </w:lvl>
    <w:lvl w:ilvl="5" w:tplc="0427001B" w:tentative="1">
      <w:start w:val="1"/>
      <w:numFmt w:val="lowerRoman"/>
      <w:lvlText w:val="%6."/>
      <w:lvlJc w:val="right"/>
      <w:pPr>
        <w:ind w:left="4437" w:hanging="180"/>
      </w:pPr>
    </w:lvl>
    <w:lvl w:ilvl="6" w:tplc="0427000F" w:tentative="1">
      <w:start w:val="1"/>
      <w:numFmt w:val="decimal"/>
      <w:lvlText w:val="%7."/>
      <w:lvlJc w:val="left"/>
      <w:pPr>
        <w:ind w:left="5157" w:hanging="360"/>
      </w:pPr>
    </w:lvl>
    <w:lvl w:ilvl="7" w:tplc="04270019" w:tentative="1">
      <w:start w:val="1"/>
      <w:numFmt w:val="lowerLetter"/>
      <w:lvlText w:val="%8."/>
      <w:lvlJc w:val="left"/>
      <w:pPr>
        <w:ind w:left="5877" w:hanging="360"/>
      </w:pPr>
    </w:lvl>
    <w:lvl w:ilvl="8" w:tplc="0427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2" w15:restartNumberingAfterBreak="0">
    <w:nsid w:val="409B42DC"/>
    <w:multiLevelType w:val="hybridMultilevel"/>
    <w:tmpl w:val="7592F2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22EC6"/>
    <w:multiLevelType w:val="hybridMultilevel"/>
    <w:tmpl w:val="F454DE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01D3B"/>
    <w:multiLevelType w:val="hybridMultilevel"/>
    <w:tmpl w:val="B630CD8E"/>
    <w:lvl w:ilvl="0" w:tplc="6C08FB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B116BA"/>
    <w:multiLevelType w:val="hybridMultilevel"/>
    <w:tmpl w:val="C30676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06F88"/>
    <w:multiLevelType w:val="hybridMultilevel"/>
    <w:tmpl w:val="36D053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5668A6"/>
    <w:multiLevelType w:val="hybridMultilevel"/>
    <w:tmpl w:val="0486ED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417BA"/>
    <w:multiLevelType w:val="hybridMultilevel"/>
    <w:tmpl w:val="D02A99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406E0"/>
    <w:multiLevelType w:val="hybridMultilevel"/>
    <w:tmpl w:val="762AA22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49537E"/>
    <w:multiLevelType w:val="hybridMultilevel"/>
    <w:tmpl w:val="C7B891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C281D"/>
    <w:multiLevelType w:val="hybridMultilevel"/>
    <w:tmpl w:val="52A6FD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9"/>
  </w:num>
  <w:num w:numId="5">
    <w:abstractNumId w:val="11"/>
  </w:num>
  <w:num w:numId="6">
    <w:abstractNumId w:val="0"/>
  </w:num>
  <w:num w:numId="7">
    <w:abstractNumId w:val="8"/>
  </w:num>
  <w:num w:numId="8">
    <w:abstractNumId w:val="5"/>
  </w:num>
  <w:num w:numId="9">
    <w:abstractNumId w:val="3"/>
  </w:num>
  <w:num w:numId="10">
    <w:abstractNumId w:val="6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55"/>
    <w:rsid w:val="000011DB"/>
    <w:rsid w:val="000016A0"/>
    <w:rsid w:val="000026C5"/>
    <w:rsid w:val="00005703"/>
    <w:rsid w:val="00006684"/>
    <w:rsid w:val="000149D0"/>
    <w:rsid w:val="000150D3"/>
    <w:rsid w:val="0001621E"/>
    <w:rsid w:val="00026645"/>
    <w:rsid w:val="0003018A"/>
    <w:rsid w:val="00032DDC"/>
    <w:rsid w:val="00036506"/>
    <w:rsid w:val="00040DA8"/>
    <w:rsid w:val="000414C3"/>
    <w:rsid w:val="00041D5A"/>
    <w:rsid w:val="0005283A"/>
    <w:rsid w:val="0006199A"/>
    <w:rsid w:val="00061AA4"/>
    <w:rsid w:val="00064172"/>
    <w:rsid w:val="0007198F"/>
    <w:rsid w:val="000728F4"/>
    <w:rsid w:val="00073141"/>
    <w:rsid w:val="000747BA"/>
    <w:rsid w:val="00082F74"/>
    <w:rsid w:val="00085368"/>
    <w:rsid w:val="0009075F"/>
    <w:rsid w:val="000924C6"/>
    <w:rsid w:val="000956D7"/>
    <w:rsid w:val="00096AD4"/>
    <w:rsid w:val="00097BC2"/>
    <w:rsid w:val="000A29BF"/>
    <w:rsid w:val="000B22C9"/>
    <w:rsid w:val="000B2979"/>
    <w:rsid w:val="000B5602"/>
    <w:rsid w:val="000B5A17"/>
    <w:rsid w:val="000B79E3"/>
    <w:rsid w:val="000C7EB6"/>
    <w:rsid w:val="000D4DC8"/>
    <w:rsid w:val="000E1BDF"/>
    <w:rsid w:val="000E460E"/>
    <w:rsid w:val="000E6D58"/>
    <w:rsid w:val="000E717B"/>
    <w:rsid w:val="000E75A2"/>
    <w:rsid w:val="000F19E9"/>
    <w:rsid w:val="000F7BAD"/>
    <w:rsid w:val="000F7BB9"/>
    <w:rsid w:val="001006A6"/>
    <w:rsid w:val="00101B37"/>
    <w:rsid w:val="00106194"/>
    <w:rsid w:val="00107744"/>
    <w:rsid w:val="0010793C"/>
    <w:rsid w:val="00107E54"/>
    <w:rsid w:val="00112BD1"/>
    <w:rsid w:val="001149E5"/>
    <w:rsid w:val="00117AA9"/>
    <w:rsid w:val="00123733"/>
    <w:rsid w:val="00126752"/>
    <w:rsid w:val="00133D2A"/>
    <w:rsid w:val="00134F5B"/>
    <w:rsid w:val="0013686D"/>
    <w:rsid w:val="00140ECC"/>
    <w:rsid w:val="00141C04"/>
    <w:rsid w:val="00142CFB"/>
    <w:rsid w:val="00150599"/>
    <w:rsid w:val="00152C96"/>
    <w:rsid w:val="0015473D"/>
    <w:rsid w:val="00154E1C"/>
    <w:rsid w:val="001562F8"/>
    <w:rsid w:val="0016161E"/>
    <w:rsid w:val="00161A05"/>
    <w:rsid w:val="00165CE5"/>
    <w:rsid w:val="00166EB8"/>
    <w:rsid w:val="00170C22"/>
    <w:rsid w:val="00170E1E"/>
    <w:rsid w:val="0017319F"/>
    <w:rsid w:val="00183070"/>
    <w:rsid w:val="001870E3"/>
    <w:rsid w:val="0018745A"/>
    <w:rsid w:val="0019016D"/>
    <w:rsid w:val="001902DD"/>
    <w:rsid w:val="001914C1"/>
    <w:rsid w:val="00196F39"/>
    <w:rsid w:val="001973C9"/>
    <w:rsid w:val="00197A3C"/>
    <w:rsid w:val="001A0D53"/>
    <w:rsid w:val="001A117E"/>
    <w:rsid w:val="001A1B2A"/>
    <w:rsid w:val="001A2B84"/>
    <w:rsid w:val="001A78B4"/>
    <w:rsid w:val="001A7FDF"/>
    <w:rsid w:val="001B072B"/>
    <w:rsid w:val="001B3263"/>
    <w:rsid w:val="001B3716"/>
    <w:rsid w:val="001C0384"/>
    <w:rsid w:val="001C1B7D"/>
    <w:rsid w:val="001C7AF6"/>
    <w:rsid w:val="001D2D09"/>
    <w:rsid w:val="001D3946"/>
    <w:rsid w:val="001E49BE"/>
    <w:rsid w:val="001E5342"/>
    <w:rsid w:val="001F04E6"/>
    <w:rsid w:val="001F23B7"/>
    <w:rsid w:val="001F7B56"/>
    <w:rsid w:val="00200F60"/>
    <w:rsid w:val="00203F01"/>
    <w:rsid w:val="00212810"/>
    <w:rsid w:val="002130B3"/>
    <w:rsid w:val="00214F02"/>
    <w:rsid w:val="0022165E"/>
    <w:rsid w:val="00223D57"/>
    <w:rsid w:val="00224957"/>
    <w:rsid w:val="00224D4F"/>
    <w:rsid w:val="00227FFC"/>
    <w:rsid w:val="0025191D"/>
    <w:rsid w:val="0025293C"/>
    <w:rsid w:val="00253875"/>
    <w:rsid w:val="0025656F"/>
    <w:rsid w:val="00261CCD"/>
    <w:rsid w:val="00266582"/>
    <w:rsid w:val="00272C89"/>
    <w:rsid w:val="00277C4F"/>
    <w:rsid w:val="002811B7"/>
    <w:rsid w:val="002836E6"/>
    <w:rsid w:val="0028405B"/>
    <w:rsid w:val="0029267E"/>
    <w:rsid w:val="00292EBF"/>
    <w:rsid w:val="00292EFC"/>
    <w:rsid w:val="00293154"/>
    <w:rsid w:val="00295B1D"/>
    <w:rsid w:val="00295B56"/>
    <w:rsid w:val="00296EB8"/>
    <w:rsid w:val="002A06D0"/>
    <w:rsid w:val="002A2ED2"/>
    <w:rsid w:val="002A3AE6"/>
    <w:rsid w:val="002A64AC"/>
    <w:rsid w:val="002A664F"/>
    <w:rsid w:val="002B30EB"/>
    <w:rsid w:val="002B3967"/>
    <w:rsid w:val="002B7D86"/>
    <w:rsid w:val="002C1899"/>
    <w:rsid w:val="002D327A"/>
    <w:rsid w:val="002D4E27"/>
    <w:rsid w:val="002D5CD2"/>
    <w:rsid w:val="002E06C2"/>
    <w:rsid w:val="002E0908"/>
    <w:rsid w:val="002E3798"/>
    <w:rsid w:val="002E3D4D"/>
    <w:rsid w:val="00301AB8"/>
    <w:rsid w:val="00302310"/>
    <w:rsid w:val="00305221"/>
    <w:rsid w:val="0030652C"/>
    <w:rsid w:val="00310C32"/>
    <w:rsid w:val="00311C1E"/>
    <w:rsid w:val="00314A2A"/>
    <w:rsid w:val="00315F14"/>
    <w:rsid w:val="00320864"/>
    <w:rsid w:val="00327E90"/>
    <w:rsid w:val="003316ED"/>
    <w:rsid w:val="00332390"/>
    <w:rsid w:val="003348D1"/>
    <w:rsid w:val="003356DE"/>
    <w:rsid w:val="00337F61"/>
    <w:rsid w:val="003402D7"/>
    <w:rsid w:val="00346D29"/>
    <w:rsid w:val="0034769E"/>
    <w:rsid w:val="0035045F"/>
    <w:rsid w:val="0035089E"/>
    <w:rsid w:val="00354D7E"/>
    <w:rsid w:val="00354F97"/>
    <w:rsid w:val="00356226"/>
    <w:rsid w:val="003631BD"/>
    <w:rsid w:val="003634A2"/>
    <w:rsid w:val="00363704"/>
    <w:rsid w:val="00366375"/>
    <w:rsid w:val="003666DF"/>
    <w:rsid w:val="0037032F"/>
    <w:rsid w:val="00370576"/>
    <w:rsid w:val="00370E3E"/>
    <w:rsid w:val="00371A8F"/>
    <w:rsid w:val="0037472F"/>
    <w:rsid w:val="00375929"/>
    <w:rsid w:val="00375F04"/>
    <w:rsid w:val="00381C3B"/>
    <w:rsid w:val="00390E31"/>
    <w:rsid w:val="00392FDB"/>
    <w:rsid w:val="003944D2"/>
    <w:rsid w:val="0039582C"/>
    <w:rsid w:val="00395ED1"/>
    <w:rsid w:val="003A163D"/>
    <w:rsid w:val="003A423B"/>
    <w:rsid w:val="003A5504"/>
    <w:rsid w:val="003A5650"/>
    <w:rsid w:val="003A5CFE"/>
    <w:rsid w:val="003B2481"/>
    <w:rsid w:val="003C398B"/>
    <w:rsid w:val="003C3FF7"/>
    <w:rsid w:val="003D0133"/>
    <w:rsid w:val="003E1B75"/>
    <w:rsid w:val="003E4E7E"/>
    <w:rsid w:val="003E5682"/>
    <w:rsid w:val="003E6C8B"/>
    <w:rsid w:val="003E76E0"/>
    <w:rsid w:val="003F2B01"/>
    <w:rsid w:val="004005BF"/>
    <w:rsid w:val="004008FF"/>
    <w:rsid w:val="00402130"/>
    <w:rsid w:val="00412336"/>
    <w:rsid w:val="004141B0"/>
    <w:rsid w:val="00414456"/>
    <w:rsid w:val="00416DD9"/>
    <w:rsid w:val="004176BC"/>
    <w:rsid w:val="004202E4"/>
    <w:rsid w:val="00422C36"/>
    <w:rsid w:val="004329FC"/>
    <w:rsid w:val="00434596"/>
    <w:rsid w:val="00437997"/>
    <w:rsid w:val="00437CBA"/>
    <w:rsid w:val="00443269"/>
    <w:rsid w:val="004435E3"/>
    <w:rsid w:val="00443AF1"/>
    <w:rsid w:val="00443D6B"/>
    <w:rsid w:val="00446DF0"/>
    <w:rsid w:val="00450B62"/>
    <w:rsid w:val="00452CC1"/>
    <w:rsid w:val="00453FBF"/>
    <w:rsid w:val="00457AB8"/>
    <w:rsid w:val="00461843"/>
    <w:rsid w:val="00462601"/>
    <w:rsid w:val="00464F53"/>
    <w:rsid w:val="00465353"/>
    <w:rsid w:val="004716AA"/>
    <w:rsid w:val="00472871"/>
    <w:rsid w:val="00484810"/>
    <w:rsid w:val="00484CE4"/>
    <w:rsid w:val="00486B59"/>
    <w:rsid w:val="0049343F"/>
    <w:rsid w:val="00495B6A"/>
    <w:rsid w:val="00497862"/>
    <w:rsid w:val="004A0393"/>
    <w:rsid w:val="004B374F"/>
    <w:rsid w:val="004B4AC6"/>
    <w:rsid w:val="004B7E2C"/>
    <w:rsid w:val="004C00A2"/>
    <w:rsid w:val="004C1549"/>
    <w:rsid w:val="004C53BC"/>
    <w:rsid w:val="004C5C19"/>
    <w:rsid w:val="004C5C85"/>
    <w:rsid w:val="004C77CD"/>
    <w:rsid w:val="004D5727"/>
    <w:rsid w:val="004D65DF"/>
    <w:rsid w:val="004D6966"/>
    <w:rsid w:val="004D7A52"/>
    <w:rsid w:val="004E3406"/>
    <w:rsid w:val="004E3721"/>
    <w:rsid w:val="004E5396"/>
    <w:rsid w:val="004E6125"/>
    <w:rsid w:val="004E63E3"/>
    <w:rsid w:val="004F32E8"/>
    <w:rsid w:val="004F3A5C"/>
    <w:rsid w:val="004F405B"/>
    <w:rsid w:val="005010CD"/>
    <w:rsid w:val="00505276"/>
    <w:rsid w:val="005058ED"/>
    <w:rsid w:val="00507E86"/>
    <w:rsid w:val="00512C45"/>
    <w:rsid w:val="0051340F"/>
    <w:rsid w:val="00513849"/>
    <w:rsid w:val="00514DF0"/>
    <w:rsid w:val="00522D75"/>
    <w:rsid w:val="00530900"/>
    <w:rsid w:val="0053103D"/>
    <w:rsid w:val="00540330"/>
    <w:rsid w:val="005440C4"/>
    <w:rsid w:val="005500B2"/>
    <w:rsid w:val="0055325C"/>
    <w:rsid w:val="00553AB5"/>
    <w:rsid w:val="005552CA"/>
    <w:rsid w:val="0055755B"/>
    <w:rsid w:val="00561317"/>
    <w:rsid w:val="00565258"/>
    <w:rsid w:val="00565A94"/>
    <w:rsid w:val="005669DE"/>
    <w:rsid w:val="00566E69"/>
    <w:rsid w:val="005761C7"/>
    <w:rsid w:val="005808B2"/>
    <w:rsid w:val="00583898"/>
    <w:rsid w:val="00585AF5"/>
    <w:rsid w:val="00585EAD"/>
    <w:rsid w:val="00587685"/>
    <w:rsid w:val="00587C8D"/>
    <w:rsid w:val="005909C1"/>
    <w:rsid w:val="0059595E"/>
    <w:rsid w:val="00597951"/>
    <w:rsid w:val="005A0DE7"/>
    <w:rsid w:val="005A38CC"/>
    <w:rsid w:val="005A4318"/>
    <w:rsid w:val="005A598A"/>
    <w:rsid w:val="005B086D"/>
    <w:rsid w:val="005B0F07"/>
    <w:rsid w:val="005B135D"/>
    <w:rsid w:val="005B1A39"/>
    <w:rsid w:val="005B550A"/>
    <w:rsid w:val="005B7EA5"/>
    <w:rsid w:val="005C4E2E"/>
    <w:rsid w:val="005C5B11"/>
    <w:rsid w:val="005C6489"/>
    <w:rsid w:val="005C686E"/>
    <w:rsid w:val="005D024E"/>
    <w:rsid w:val="005D187A"/>
    <w:rsid w:val="005D2657"/>
    <w:rsid w:val="005D644F"/>
    <w:rsid w:val="005E1C57"/>
    <w:rsid w:val="005E2603"/>
    <w:rsid w:val="005E7703"/>
    <w:rsid w:val="005E7A3E"/>
    <w:rsid w:val="00603239"/>
    <w:rsid w:val="006045B4"/>
    <w:rsid w:val="00604DD9"/>
    <w:rsid w:val="00604E93"/>
    <w:rsid w:val="00604F9C"/>
    <w:rsid w:val="00615150"/>
    <w:rsid w:val="00616331"/>
    <w:rsid w:val="006203D8"/>
    <w:rsid w:val="00621B9D"/>
    <w:rsid w:val="00621C21"/>
    <w:rsid w:val="00622D62"/>
    <w:rsid w:val="00627179"/>
    <w:rsid w:val="0063113B"/>
    <w:rsid w:val="006328CD"/>
    <w:rsid w:val="006352E0"/>
    <w:rsid w:val="006354B2"/>
    <w:rsid w:val="00636192"/>
    <w:rsid w:val="00636556"/>
    <w:rsid w:val="00636AD9"/>
    <w:rsid w:val="00637746"/>
    <w:rsid w:val="00640928"/>
    <w:rsid w:val="00647489"/>
    <w:rsid w:val="00661A44"/>
    <w:rsid w:val="00663D51"/>
    <w:rsid w:val="006666E5"/>
    <w:rsid w:val="00676E2B"/>
    <w:rsid w:val="00677C7B"/>
    <w:rsid w:val="00681F59"/>
    <w:rsid w:val="006825E2"/>
    <w:rsid w:val="00686111"/>
    <w:rsid w:val="00690987"/>
    <w:rsid w:val="00690A93"/>
    <w:rsid w:val="006933DD"/>
    <w:rsid w:val="00693AB4"/>
    <w:rsid w:val="00693C2C"/>
    <w:rsid w:val="00695968"/>
    <w:rsid w:val="00695D31"/>
    <w:rsid w:val="00697DB1"/>
    <w:rsid w:val="006B0999"/>
    <w:rsid w:val="006B0A24"/>
    <w:rsid w:val="006B441D"/>
    <w:rsid w:val="006B60E8"/>
    <w:rsid w:val="006B64AC"/>
    <w:rsid w:val="006B75A4"/>
    <w:rsid w:val="006C20F1"/>
    <w:rsid w:val="006C2872"/>
    <w:rsid w:val="006C4F9D"/>
    <w:rsid w:val="006C5A61"/>
    <w:rsid w:val="006C780C"/>
    <w:rsid w:val="006D0E7C"/>
    <w:rsid w:val="006D2350"/>
    <w:rsid w:val="006D30CC"/>
    <w:rsid w:val="006D4B20"/>
    <w:rsid w:val="006D7ECA"/>
    <w:rsid w:val="006E07A9"/>
    <w:rsid w:val="006E240B"/>
    <w:rsid w:val="006E4E18"/>
    <w:rsid w:val="006F0E2F"/>
    <w:rsid w:val="006F1F9F"/>
    <w:rsid w:val="006F2445"/>
    <w:rsid w:val="006F3D14"/>
    <w:rsid w:val="006F625C"/>
    <w:rsid w:val="00702F1F"/>
    <w:rsid w:val="00705825"/>
    <w:rsid w:val="007078D4"/>
    <w:rsid w:val="00707A20"/>
    <w:rsid w:val="0071645D"/>
    <w:rsid w:val="00724821"/>
    <w:rsid w:val="00725854"/>
    <w:rsid w:val="00727AE7"/>
    <w:rsid w:val="007307EE"/>
    <w:rsid w:val="00732720"/>
    <w:rsid w:val="00734ED6"/>
    <w:rsid w:val="00737FA7"/>
    <w:rsid w:val="00740214"/>
    <w:rsid w:val="00745314"/>
    <w:rsid w:val="00747FB4"/>
    <w:rsid w:val="007516AE"/>
    <w:rsid w:val="00753417"/>
    <w:rsid w:val="00753649"/>
    <w:rsid w:val="00753AAA"/>
    <w:rsid w:val="007559D3"/>
    <w:rsid w:val="007566C9"/>
    <w:rsid w:val="0075670C"/>
    <w:rsid w:val="00771650"/>
    <w:rsid w:val="007739FE"/>
    <w:rsid w:val="00774EDE"/>
    <w:rsid w:val="007807D9"/>
    <w:rsid w:val="0078168A"/>
    <w:rsid w:val="0078199E"/>
    <w:rsid w:val="00781A8B"/>
    <w:rsid w:val="00784439"/>
    <w:rsid w:val="007871E6"/>
    <w:rsid w:val="00790F91"/>
    <w:rsid w:val="007913D8"/>
    <w:rsid w:val="00791980"/>
    <w:rsid w:val="00792E40"/>
    <w:rsid w:val="007A4674"/>
    <w:rsid w:val="007A5B8B"/>
    <w:rsid w:val="007A7825"/>
    <w:rsid w:val="007A79D0"/>
    <w:rsid w:val="007B003C"/>
    <w:rsid w:val="007B0266"/>
    <w:rsid w:val="007B07DD"/>
    <w:rsid w:val="007B0B40"/>
    <w:rsid w:val="007B2FD2"/>
    <w:rsid w:val="007B5526"/>
    <w:rsid w:val="007C00AC"/>
    <w:rsid w:val="007C3B15"/>
    <w:rsid w:val="007D0913"/>
    <w:rsid w:val="007D20F2"/>
    <w:rsid w:val="007D2820"/>
    <w:rsid w:val="007D3B90"/>
    <w:rsid w:val="007D489D"/>
    <w:rsid w:val="007D5E29"/>
    <w:rsid w:val="007D7A89"/>
    <w:rsid w:val="007E0F9A"/>
    <w:rsid w:val="007E3D4C"/>
    <w:rsid w:val="007E5B05"/>
    <w:rsid w:val="007F610C"/>
    <w:rsid w:val="007F7141"/>
    <w:rsid w:val="007F7662"/>
    <w:rsid w:val="007F76D8"/>
    <w:rsid w:val="008017CA"/>
    <w:rsid w:val="00812411"/>
    <w:rsid w:val="00813FF6"/>
    <w:rsid w:val="00814048"/>
    <w:rsid w:val="008146AD"/>
    <w:rsid w:val="00815300"/>
    <w:rsid w:val="008177E8"/>
    <w:rsid w:val="008265ED"/>
    <w:rsid w:val="00830F57"/>
    <w:rsid w:val="00831A88"/>
    <w:rsid w:val="00832659"/>
    <w:rsid w:val="00843046"/>
    <w:rsid w:val="0084318D"/>
    <w:rsid w:val="00843636"/>
    <w:rsid w:val="00852A89"/>
    <w:rsid w:val="00853FD6"/>
    <w:rsid w:val="00863712"/>
    <w:rsid w:val="00863C46"/>
    <w:rsid w:val="00865B70"/>
    <w:rsid w:val="00867AE3"/>
    <w:rsid w:val="0087293B"/>
    <w:rsid w:val="008742C6"/>
    <w:rsid w:val="00876E14"/>
    <w:rsid w:val="0088190D"/>
    <w:rsid w:val="00891DD9"/>
    <w:rsid w:val="00892E49"/>
    <w:rsid w:val="00893CEA"/>
    <w:rsid w:val="00893E4E"/>
    <w:rsid w:val="008A07E7"/>
    <w:rsid w:val="008A106A"/>
    <w:rsid w:val="008A3553"/>
    <w:rsid w:val="008A56D4"/>
    <w:rsid w:val="008A671D"/>
    <w:rsid w:val="008B0067"/>
    <w:rsid w:val="008B24E7"/>
    <w:rsid w:val="008B3BC8"/>
    <w:rsid w:val="008C0FED"/>
    <w:rsid w:val="008C15B0"/>
    <w:rsid w:val="008C3926"/>
    <w:rsid w:val="008C3D45"/>
    <w:rsid w:val="008D0D05"/>
    <w:rsid w:val="008D15EF"/>
    <w:rsid w:val="008D1AF6"/>
    <w:rsid w:val="008D5C1E"/>
    <w:rsid w:val="008D7F7E"/>
    <w:rsid w:val="008E31FB"/>
    <w:rsid w:val="008E3D63"/>
    <w:rsid w:val="008E5AEE"/>
    <w:rsid w:val="008E6700"/>
    <w:rsid w:val="008E76B2"/>
    <w:rsid w:val="008F06DD"/>
    <w:rsid w:val="008F0B16"/>
    <w:rsid w:val="008F0C3A"/>
    <w:rsid w:val="008F45AC"/>
    <w:rsid w:val="008F45E1"/>
    <w:rsid w:val="008F6779"/>
    <w:rsid w:val="00903F6D"/>
    <w:rsid w:val="009046A8"/>
    <w:rsid w:val="009066BF"/>
    <w:rsid w:val="00911158"/>
    <w:rsid w:val="0091366B"/>
    <w:rsid w:val="00914352"/>
    <w:rsid w:val="00915AFB"/>
    <w:rsid w:val="009175CD"/>
    <w:rsid w:val="00925127"/>
    <w:rsid w:val="0093602A"/>
    <w:rsid w:val="00936A94"/>
    <w:rsid w:val="00941505"/>
    <w:rsid w:val="0094326D"/>
    <w:rsid w:val="00955D2D"/>
    <w:rsid w:val="009703D8"/>
    <w:rsid w:val="00974E8C"/>
    <w:rsid w:val="00975A4C"/>
    <w:rsid w:val="00975BF2"/>
    <w:rsid w:val="00980555"/>
    <w:rsid w:val="00981866"/>
    <w:rsid w:val="009854CB"/>
    <w:rsid w:val="00986410"/>
    <w:rsid w:val="009914EC"/>
    <w:rsid w:val="00997D95"/>
    <w:rsid w:val="009A34CC"/>
    <w:rsid w:val="009A3D1B"/>
    <w:rsid w:val="009A456E"/>
    <w:rsid w:val="009A71A8"/>
    <w:rsid w:val="009B17B2"/>
    <w:rsid w:val="009B4729"/>
    <w:rsid w:val="009B4E25"/>
    <w:rsid w:val="009C0244"/>
    <w:rsid w:val="009C24A0"/>
    <w:rsid w:val="009C5309"/>
    <w:rsid w:val="009D27BB"/>
    <w:rsid w:val="009D466A"/>
    <w:rsid w:val="009D4AE1"/>
    <w:rsid w:val="009D566F"/>
    <w:rsid w:val="009E293A"/>
    <w:rsid w:val="009F0367"/>
    <w:rsid w:val="009F09E7"/>
    <w:rsid w:val="009F13D5"/>
    <w:rsid w:val="009F4607"/>
    <w:rsid w:val="009F467F"/>
    <w:rsid w:val="009F5E97"/>
    <w:rsid w:val="009F641E"/>
    <w:rsid w:val="009F706E"/>
    <w:rsid w:val="00A00759"/>
    <w:rsid w:val="00A022CE"/>
    <w:rsid w:val="00A136F9"/>
    <w:rsid w:val="00A16D6E"/>
    <w:rsid w:val="00A17050"/>
    <w:rsid w:val="00A2665C"/>
    <w:rsid w:val="00A30F8B"/>
    <w:rsid w:val="00A31862"/>
    <w:rsid w:val="00A33025"/>
    <w:rsid w:val="00A3513A"/>
    <w:rsid w:val="00A36A6C"/>
    <w:rsid w:val="00A372B8"/>
    <w:rsid w:val="00A37712"/>
    <w:rsid w:val="00A513B4"/>
    <w:rsid w:val="00A527F3"/>
    <w:rsid w:val="00A60B6D"/>
    <w:rsid w:val="00A60CAA"/>
    <w:rsid w:val="00A60CEF"/>
    <w:rsid w:val="00A60E23"/>
    <w:rsid w:val="00A62C72"/>
    <w:rsid w:val="00A67FAC"/>
    <w:rsid w:val="00A701B0"/>
    <w:rsid w:val="00A702B9"/>
    <w:rsid w:val="00A70F50"/>
    <w:rsid w:val="00A71503"/>
    <w:rsid w:val="00A72844"/>
    <w:rsid w:val="00A75A51"/>
    <w:rsid w:val="00A75B1F"/>
    <w:rsid w:val="00A75D7D"/>
    <w:rsid w:val="00A77BB1"/>
    <w:rsid w:val="00A83A72"/>
    <w:rsid w:val="00A83DC1"/>
    <w:rsid w:val="00AA5E6D"/>
    <w:rsid w:val="00AB09D7"/>
    <w:rsid w:val="00AB1250"/>
    <w:rsid w:val="00AB14CD"/>
    <w:rsid w:val="00AB3088"/>
    <w:rsid w:val="00AB3CF6"/>
    <w:rsid w:val="00AB3E01"/>
    <w:rsid w:val="00AB4F4A"/>
    <w:rsid w:val="00AB63D1"/>
    <w:rsid w:val="00AB6C2F"/>
    <w:rsid w:val="00AB6CE0"/>
    <w:rsid w:val="00AB7C91"/>
    <w:rsid w:val="00AC4166"/>
    <w:rsid w:val="00AC72B1"/>
    <w:rsid w:val="00AD2F29"/>
    <w:rsid w:val="00AD4566"/>
    <w:rsid w:val="00AD54BC"/>
    <w:rsid w:val="00AD5C68"/>
    <w:rsid w:val="00AE13B0"/>
    <w:rsid w:val="00AE4FA2"/>
    <w:rsid w:val="00AE7109"/>
    <w:rsid w:val="00AF1733"/>
    <w:rsid w:val="00AF360B"/>
    <w:rsid w:val="00AF6CCA"/>
    <w:rsid w:val="00B02D0B"/>
    <w:rsid w:val="00B02E9C"/>
    <w:rsid w:val="00B03D28"/>
    <w:rsid w:val="00B04627"/>
    <w:rsid w:val="00B06175"/>
    <w:rsid w:val="00B07D6D"/>
    <w:rsid w:val="00B10F28"/>
    <w:rsid w:val="00B11076"/>
    <w:rsid w:val="00B15A3E"/>
    <w:rsid w:val="00B2267E"/>
    <w:rsid w:val="00B30CAE"/>
    <w:rsid w:val="00B31003"/>
    <w:rsid w:val="00B3256B"/>
    <w:rsid w:val="00B40257"/>
    <w:rsid w:val="00B40977"/>
    <w:rsid w:val="00B4352E"/>
    <w:rsid w:val="00B45110"/>
    <w:rsid w:val="00B459D5"/>
    <w:rsid w:val="00B45D9F"/>
    <w:rsid w:val="00B47AAF"/>
    <w:rsid w:val="00B54E5C"/>
    <w:rsid w:val="00B56CE1"/>
    <w:rsid w:val="00B62075"/>
    <w:rsid w:val="00B709AA"/>
    <w:rsid w:val="00B721E7"/>
    <w:rsid w:val="00B76613"/>
    <w:rsid w:val="00B76F1C"/>
    <w:rsid w:val="00B869E8"/>
    <w:rsid w:val="00B901B3"/>
    <w:rsid w:val="00B91966"/>
    <w:rsid w:val="00B95E25"/>
    <w:rsid w:val="00B96DF7"/>
    <w:rsid w:val="00BA1228"/>
    <w:rsid w:val="00BA18F9"/>
    <w:rsid w:val="00BA1930"/>
    <w:rsid w:val="00BA4C03"/>
    <w:rsid w:val="00BA5444"/>
    <w:rsid w:val="00BB700F"/>
    <w:rsid w:val="00BC0767"/>
    <w:rsid w:val="00BC1059"/>
    <w:rsid w:val="00BC224C"/>
    <w:rsid w:val="00BC435A"/>
    <w:rsid w:val="00BC5BDB"/>
    <w:rsid w:val="00BD0BA1"/>
    <w:rsid w:val="00BD1FCB"/>
    <w:rsid w:val="00BD7060"/>
    <w:rsid w:val="00BE096F"/>
    <w:rsid w:val="00BE1DDC"/>
    <w:rsid w:val="00BE37E0"/>
    <w:rsid w:val="00BE401A"/>
    <w:rsid w:val="00BE4FA3"/>
    <w:rsid w:val="00BE728B"/>
    <w:rsid w:val="00BE7FF7"/>
    <w:rsid w:val="00BF1AB5"/>
    <w:rsid w:val="00BF1B68"/>
    <w:rsid w:val="00BF3522"/>
    <w:rsid w:val="00BF3B17"/>
    <w:rsid w:val="00BF4907"/>
    <w:rsid w:val="00C046D9"/>
    <w:rsid w:val="00C04973"/>
    <w:rsid w:val="00C0556E"/>
    <w:rsid w:val="00C066F9"/>
    <w:rsid w:val="00C10875"/>
    <w:rsid w:val="00C11DBE"/>
    <w:rsid w:val="00C12655"/>
    <w:rsid w:val="00C140B7"/>
    <w:rsid w:val="00C14621"/>
    <w:rsid w:val="00C168C6"/>
    <w:rsid w:val="00C17C57"/>
    <w:rsid w:val="00C207C8"/>
    <w:rsid w:val="00C23610"/>
    <w:rsid w:val="00C240F0"/>
    <w:rsid w:val="00C241E7"/>
    <w:rsid w:val="00C274BF"/>
    <w:rsid w:val="00C309BD"/>
    <w:rsid w:val="00C32315"/>
    <w:rsid w:val="00C3476A"/>
    <w:rsid w:val="00C41DB4"/>
    <w:rsid w:val="00C43631"/>
    <w:rsid w:val="00C46BD9"/>
    <w:rsid w:val="00C46E1A"/>
    <w:rsid w:val="00C508B0"/>
    <w:rsid w:val="00C52C5A"/>
    <w:rsid w:val="00C5321F"/>
    <w:rsid w:val="00C53B7C"/>
    <w:rsid w:val="00C57A2E"/>
    <w:rsid w:val="00C623CD"/>
    <w:rsid w:val="00C62D24"/>
    <w:rsid w:val="00C63D9B"/>
    <w:rsid w:val="00C64B44"/>
    <w:rsid w:val="00C655E2"/>
    <w:rsid w:val="00C72403"/>
    <w:rsid w:val="00C741C2"/>
    <w:rsid w:val="00C74980"/>
    <w:rsid w:val="00C77781"/>
    <w:rsid w:val="00C83127"/>
    <w:rsid w:val="00C9160A"/>
    <w:rsid w:val="00C91CA7"/>
    <w:rsid w:val="00CA0F78"/>
    <w:rsid w:val="00CA13BE"/>
    <w:rsid w:val="00CA1805"/>
    <w:rsid w:val="00CA2521"/>
    <w:rsid w:val="00CA41CD"/>
    <w:rsid w:val="00CA78A3"/>
    <w:rsid w:val="00CB3B84"/>
    <w:rsid w:val="00CB4921"/>
    <w:rsid w:val="00CB49E0"/>
    <w:rsid w:val="00CB512D"/>
    <w:rsid w:val="00CB6A6F"/>
    <w:rsid w:val="00CC71D5"/>
    <w:rsid w:val="00CD53EF"/>
    <w:rsid w:val="00CD6B5B"/>
    <w:rsid w:val="00CE6638"/>
    <w:rsid w:val="00CF5A45"/>
    <w:rsid w:val="00CF5C82"/>
    <w:rsid w:val="00CF6DE4"/>
    <w:rsid w:val="00D01D06"/>
    <w:rsid w:val="00D02100"/>
    <w:rsid w:val="00D0260D"/>
    <w:rsid w:val="00D036E1"/>
    <w:rsid w:val="00D05C0F"/>
    <w:rsid w:val="00D11CB5"/>
    <w:rsid w:val="00D120C4"/>
    <w:rsid w:val="00D12D32"/>
    <w:rsid w:val="00D134CE"/>
    <w:rsid w:val="00D1502A"/>
    <w:rsid w:val="00D1730D"/>
    <w:rsid w:val="00D17345"/>
    <w:rsid w:val="00D240CF"/>
    <w:rsid w:val="00D24BE2"/>
    <w:rsid w:val="00D25D2A"/>
    <w:rsid w:val="00D27A58"/>
    <w:rsid w:val="00D30394"/>
    <w:rsid w:val="00D326DB"/>
    <w:rsid w:val="00D33C5C"/>
    <w:rsid w:val="00D37E24"/>
    <w:rsid w:val="00D412CB"/>
    <w:rsid w:val="00D41B1A"/>
    <w:rsid w:val="00D4505E"/>
    <w:rsid w:val="00D474FF"/>
    <w:rsid w:val="00D475CF"/>
    <w:rsid w:val="00D51520"/>
    <w:rsid w:val="00D53668"/>
    <w:rsid w:val="00D53BB5"/>
    <w:rsid w:val="00D55BE4"/>
    <w:rsid w:val="00D55CE7"/>
    <w:rsid w:val="00D57286"/>
    <w:rsid w:val="00D600CE"/>
    <w:rsid w:val="00D673D0"/>
    <w:rsid w:val="00D80A05"/>
    <w:rsid w:val="00D82176"/>
    <w:rsid w:val="00D831B4"/>
    <w:rsid w:val="00D90DAF"/>
    <w:rsid w:val="00D93A67"/>
    <w:rsid w:val="00D93FE6"/>
    <w:rsid w:val="00D95B16"/>
    <w:rsid w:val="00D95C8E"/>
    <w:rsid w:val="00DA10DC"/>
    <w:rsid w:val="00DA4C5A"/>
    <w:rsid w:val="00DA4D19"/>
    <w:rsid w:val="00DA5FCF"/>
    <w:rsid w:val="00DA7533"/>
    <w:rsid w:val="00DA7CB0"/>
    <w:rsid w:val="00DB14D0"/>
    <w:rsid w:val="00DB3E26"/>
    <w:rsid w:val="00DB451A"/>
    <w:rsid w:val="00DB49D8"/>
    <w:rsid w:val="00DB6DC3"/>
    <w:rsid w:val="00DC1C91"/>
    <w:rsid w:val="00DC3331"/>
    <w:rsid w:val="00DC68A9"/>
    <w:rsid w:val="00DC7C50"/>
    <w:rsid w:val="00DD0D29"/>
    <w:rsid w:val="00DD3199"/>
    <w:rsid w:val="00DD31D4"/>
    <w:rsid w:val="00DD41EC"/>
    <w:rsid w:val="00DD486B"/>
    <w:rsid w:val="00DD4A9C"/>
    <w:rsid w:val="00DE1D5C"/>
    <w:rsid w:val="00DE2971"/>
    <w:rsid w:val="00DE2CE7"/>
    <w:rsid w:val="00DF08AD"/>
    <w:rsid w:val="00DF3E3B"/>
    <w:rsid w:val="00DF4388"/>
    <w:rsid w:val="00DF7D60"/>
    <w:rsid w:val="00E01007"/>
    <w:rsid w:val="00E01885"/>
    <w:rsid w:val="00E022E9"/>
    <w:rsid w:val="00E02E7A"/>
    <w:rsid w:val="00E031CC"/>
    <w:rsid w:val="00E03384"/>
    <w:rsid w:val="00E05942"/>
    <w:rsid w:val="00E05BF0"/>
    <w:rsid w:val="00E07B6C"/>
    <w:rsid w:val="00E10F95"/>
    <w:rsid w:val="00E113EC"/>
    <w:rsid w:val="00E1445F"/>
    <w:rsid w:val="00E17F0E"/>
    <w:rsid w:val="00E20828"/>
    <w:rsid w:val="00E20F13"/>
    <w:rsid w:val="00E22303"/>
    <w:rsid w:val="00E22A66"/>
    <w:rsid w:val="00E22F28"/>
    <w:rsid w:val="00E24944"/>
    <w:rsid w:val="00E24D55"/>
    <w:rsid w:val="00E268B9"/>
    <w:rsid w:val="00E30587"/>
    <w:rsid w:val="00E30B50"/>
    <w:rsid w:val="00E31348"/>
    <w:rsid w:val="00E32ADD"/>
    <w:rsid w:val="00E34E99"/>
    <w:rsid w:val="00E36C4F"/>
    <w:rsid w:val="00E377D2"/>
    <w:rsid w:val="00E41CC9"/>
    <w:rsid w:val="00E41D1D"/>
    <w:rsid w:val="00E42FE1"/>
    <w:rsid w:val="00E4362B"/>
    <w:rsid w:val="00E447F7"/>
    <w:rsid w:val="00E46C34"/>
    <w:rsid w:val="00E47B55"/>
    <w:rsid w:val="00E50C59"/>
    <w:rsid w:val="00E5369A"/>
    <w:rsid w:val="00E54AD2"/>
    <w:rsid w:val="00E57655"/>
    <w:rsid w:val="00E65910"/>
    <w:rsid w:val="00E726BD"/>
    <w:rsid w:val="00E822BA"/>
    <w:rsid w:val="00E87A47"/>
    <w:rsid w:val="00E87FA8"/>
    <w:rsid w:val="00E90218"/>
    <w:rsid w:val="00E90781"/>
    <w:rsid w:val="00E91891"/>
    <w:rsid w:val="00E920BB"/>
    <w:rsid w:val="00E9525E"/>
    <w:rsid w:val="00EA0683"/>
    <w:rsid w:val="00EA146E"/>
    <w:rsid w:val="00EA589A"/>
    <w:rsid w:val="00EB0330"/>
    <w:rsid w:val="00EB2AA3"/>
    <w:rsid w:val="00EB2D93"/>
    <w:rsid w:val="00EC2BC0"/>
    <w:rsid w:val="00ED0DF4"/>
    <w:rsid w:val="00ED675F"/>
    <w:rsid w:val="00EE7F0D"/>
    <w:rsid w:val="00EF30FD"/>
    <w:rsid w:val="00EF318C"/>
    <w:rsid w:val="00EF3830"/>
    <w:rsid w:val="00EF4D27"/>
    <w:rsid w:val="00EF73D6"/>
    <w:rsid w:val="00F01495"/>
    <w:rsid w:val="00F015EB"/>
    <w:rsid w:val="00F0258E"/>
    <w:rsid w:val="00F025F5"/>
    <w:rsid w:val="00F03EF3"/>
    <w:rsid w:val="00F042E8"/>
    <w:rsid w:val="00F05DD8"/>
    <w:rsid w:val="00F1197C"/>
    <w:rsid w:val="00F16978"/>
    <w:rsid w:val="00F2569C"/>
    <w:rsid w:val="00F33386"/>
    <w:rsid w:val="00F341EA"/>
    <w:rsid w:val="00F35AB7"/>
    <w:rsid w:val="00F36E48"/>
    <w:rsid w:val="00F378F9"/>
    <w:rsid w:val="00F41017"/>
    <w:rsid w:val="00F43B49"/>
    <w:rsid w:val="00F447FF"/>
    <w:rsid w:val="00F471BD"/>
    <w:rsid w:val="00F47E31"/>
    <w:rsid w:val="00F5293A"/>
    <w:rsid w:val="00F53DA8"/>
    <w:rsid w:val="00F53DBC"/>
    <w:rsid w:val="00F54B61"/>
    <w:rsid w:val="00F56D3F"/>
    <w:rsid w:val="00F60EFC"/>
    <w:rsid w:val="00F61A6B"/>
    <w:rsid w:val="00F65760"/>
    <w:rsid w:val="00F65F5F"/>
    <w:rsid w:val="00F66202"/>
    <w:rsid w:val="00F71B24"/>
    <w:rsid w:val="00F71E70"/>
    <w:rsid w:val="00F81CF2"/>
    <w:rsid w:val="00F82548"/>
    <w:rsid w:val="00F82B79"/>
    <w:rsid w:val="00F8310E"/>
    <w:rsid w:val="00F8615E"/>
    <w:rsid w:val="00F9035E"/>
    <w:rsid w:val="00F90AB2"/>
    <w:rsid w:val="00F9293D"/>
    <w:rsid w:val="00F94C93"/>
    <w:rsid w:val="00F9529E"/>
    <w:rsid w:val="00FA03A2"/>
    <w:rsid w:val="00FA6ACB"/>
    <w:rsid w:val="00FB1A01"/>
    <w:rsid w:val="00FB1FB1"/>
    <w:rsid w:val="00FC247F"/>
    <w:rsid w:val="00FC354F"/>
    <w:rsid w:val="00FC5D08"/>
    <w:rsid w:val="00FD464C"/>
    <w:rsid w:val="00FD55E9"/>
    <w:rsid w:val="00FD6BBD"/>
    <w:rsid w:val="00FE7428"/>
    <w:rsid w:val="00FF0716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E65CB6"/>
  <w15:docId w15:val="{191962E2-67C7-4B67-804A-78321EDD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0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7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71A8F"/>
    <w:rPr>
      <w:i/>
      <w:iCs/>
    </w:rPr>
  </w:style>
  <w:style w:type="paragraph" w:styleId="ListParagraph">
    <w:name w:val="List Paragraph"/>
    <w:basedOn w:val="Normal"/>
    <w:uiPriority w:val="34"/>
    <w:qFormat/>
    <w:rsid w:val="00E24D5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F46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46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30CA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B30C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0CA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CAE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74E8C"/>
    <w:pPr>
      <w:spacing w:after="120"/>
    </w:pPr>
    <w:rPr>
      <w:noProof/>
      <w:lang w:val="lt-LT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74E8C"/>
    <w:rPr>
      <w:noProof/>
      <w:sz w:val="24"/>
      <w:szCs w:val="24"/>
      <w:lang w:val="lt-LT" w:eastAsia="en-US"/>
    </w:rPr>
  </w:style>
  <w:style w:type="paragraph" w:customStyle="1" w:styleId="Default">
    <w:name w:val="Default"/>
    <w:rsid w:val="003A5504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styleId="NormalWeb">
    <w:name w:val="Normal (Web)"/>
    <w:basedOn w:val="Normal"/>
    <w:uiPriority w:val="99"/>
    <w:unhideWhenUsed/>
    <w:rsid w:val="00200F60"/>
    <w:rPr>
      <w:rFonts w:eastAsiaTheme="minorHAnsi"/>
      <w:lang w:val="lt-LT" w:eastAsia="lt-LT"/>
    </w:rPr>
  </w:style>
  <w:style w:type="character" w:styleId="Strong">
    <w:name w:val="Strong"/>
    <w:basedOn w:val="DefaultParagraphFont"/>
    <w:uiPriority w:val="22"/>
    <w:qFormat/>
    <w:rsid w:val="00200F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8EF6F-360D-45BE-B275-DE54A50D58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3BB6A2-D31A-45D2-801A-C85861985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695E96-505D-4161-83B2-E82342D5ED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86A123-4F64-4166-91A0-0100E26DA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Irmina Bendinskaitė</dc:creator>
  <cp:lastModifiedBy>Lina Glebė</cp:lastModifiedBy>
  <cp:revision>2</cp:revision>
  <cp:lastPrinted>2020-02-11T09:57:00Z</cp:lastPrinted>
  <dcterms:created xsi:type="dcterms:W3CDTF">2023-10-18T12:05:00Z</dcterms:created>
  <dcterms:modified xsi:type="dcterms:W3CDTF">2023-10-18T12:05:00Z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