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7F11" w14:textId="244BEA4A" w:rsidR="00561108" w:rsidRPr="00E42D88" w:rsidRDefault="002119A2" w:rsidP="002119A2">
      <w:pPr>
        <w:pStyle w:val="Subtitle"/>
        <w:spacing w:before="60" w:after="60"/>
        <w:ind w:right="-1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E42D88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E42D88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59E0CD99" w14:textId="7E52DE5A" w:rsidR="00561108" w:rsidRPr="00BC3B9C" w:rsidRDefault="008C0B8A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sz w:val="22"/>
          <w:szCs w:val="22"/>
          <w:u w:val="none"/>
          <w:lang w:val="lt-LT"/>
        </w:rPr>
      </w:pPr>
      <w:r>
        <w:rPr>
          <w:rFonts w:asciiTheme="minorHAnsi" w:hAnsiTheme="minorHAnsi" w:cstheme="minorHAnsi"/>
          <w:b/>
          <w:sz w:val="22"/>
          <w:szCs w:val="22"/>
          <w:u w:val="none"/>
          <w:lang w:val="lt-LT"/>
        </w:rPr>
        <w:t>SPECIALIZUOTŲ MOKYMŲ</w:t>
      </w:r>
      <w:r w:rsidR="00BC3B9C" w:rsidRPr="00BC3B9C">
        <w:rPr>
          <w:rFonts w:asciiTheme="minorHAnsi" w:hAnsiTheme="minorHAnsi" w:cstheme="minorHAnsi"/>
          <w:b/>
          <w:sz w:val="22"/>
          <w:szCs w:val="22"/>
          <w:u w:val="none"/>
          <w:lang w:val="lt-LT"/>
        </w:rPr>
        <w:t xml:space="preserve"> PASLAUGŲ</w:t>
      </w:r>
      <w:r w:rsidR="0004690B" w:rsidRPr="00BC3B9C">
        <w:rPr>
          <w:rFonts w:asciiTheme="minorHAnsi" w:hAnsiTheme="minorHAnsi" w:cstheme="minorHAnsi"/>
          <w:b/>
          <w:sz w:val="22"/>
          <w:szCs w:val="22"/>
          <w:u w:val="none"/>
          <w:lang w:val="lt-LT"/>
        </w:rPr>
        <w:t xml:space="preserve"> PIRKIMUI</w:t>
      </w:r>
    </w:p>
    <w:p w14:paraId="3D034CF3" w14:textId="77777777" w:rsidR="0004690B" w:rsidRPr="00E42D88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68058935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62EA4" w14:textId="77777777" w:rsidR="00C043F1" w:rsidRPr="005C3D64" w:rsidRDefault="00C043F1" w:rsidP="00696646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5B4" w14:textId="276466BD" w:rsidR="00C043F1" w:rsidRPr="005C3D64" w:rsidRDefault="005A7445" w:rsidP="0069664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Entry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North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Point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AB</w:t>
            </w:r>
          </w:p>
        </w:tc>
      </w:tr>
      <w:tr w:rsidR="00C043F1" w:rsidRPr="005C3D64" w14:paraId="4D2F5187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DA8E5" w14:textId="77777777" w:rsidR="00C043F1" w:rsidRPr="005C3D64" w:rsidRDefault="00C043F1" w:rsidP="00696646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F96" w14:textId="6447C8A1" w:rsidR="00C043F1" w:rsidRPr="005C3D64" w:rsidRDefault="005A7445" w:rsidP="0069664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Not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applicable</w:t>
            </w:r>
            <w:proofErr w:type="spellEnd"/>
          </w:p>
        </w:tc>
      </w:tr>
      <w:tr w:rsidR="00C043F1" w:rsidRPr="005C3D64" w14:paraId="47508120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4F2614" w14:textId="77777777" w:rsidR="00C043F1" w:rsidRPr="005C3D64" w:rsidRDefault="00C043F1" w:rsidP="00696646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64A" w14:textId="237F5AE1" w:rsidR="00C043F1" w:rsidRPr="005C3D64" w:rsidRDefault="00C043F1" w:rsidP="0069664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1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4A21ACC1" w14:textId="5639FCBC" w:rsidR="00DB4857" w:rsidRPr="00BC3B9C" w:rsidRDefault="00DB4857" w:rsidP="00DB485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  <w:lang w:val="en-US"/>
        </w:rPr>
      </w:pP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Patvirtiname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,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kad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esame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susipažinę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su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2016 m.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balandžio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27 d. Europos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Parlamento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Tarybos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reglamento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(ES) 2016/679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dėl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fizinių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asmenų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apsaugos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tvarkant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asmens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duomenis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dėl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laisvo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tokių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duomenų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judėjimo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kuriuo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panaikinama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Direktyva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95/46/EB (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Bendrasis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duomenų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apsaugos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reglamentas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)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nuostatomis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taikome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technines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organizacines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priemones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skirtas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Bendrojo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duomenų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apsaugos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reglamento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reikalavimų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atitikčiai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įgyvendinti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. </w:t>
      </w:r>
    </w:p>
    <w:p w14:paraId="167311E6" w14:textId="77777777" w:rsidR="00EE31F1" w:rsidRDefault="00DB4857" w:rsidP="00EA48F9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  <w:lang w:val="en-US"/>
        </w:rPr>
      </w:pP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Jeigu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teikiant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paslaugas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(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įskaitant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visus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paslaugos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teikimo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etapus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) bus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poreikis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susipažinti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kitaip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tvarkyti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Jūsų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įmonės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valdomus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asmens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duomenis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,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apie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tai Jus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iš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anksto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informuosime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ir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sudarysime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atskirą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susitarimą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dėl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asmens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duomenų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tvarkymo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 </w:t>
      </w:r>
      <w:proofErr w:type="spellStart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>sąlygų</w:t>
      </w:r>
      <w:proofErr w:type="spellEnd"/>
      <w:r w:rsidRPr="00BC3B9C">
        <w:rPr>
          <w:rFonts w:asciiTheme="minorHAnsi" w:eastAsiaTheme="minorHAnsi" w:hAnsiTheme="minorHAnsi" w:cs="Helv"/>
          <w:sz w:val="22"/>
          <w:szCs w:val="22"/>
          <w:lang w:val="en-US"/>
        </w:rPr>
        <w:t xml:space="preserve">. </w:t>
      </w:r>
    </w:p>
    <w:p w14:paraId="5C6E6197" w14:textId="178B6596" w:rsidR="00C754A4" w:rsidRDefault="00C754A4" w:rsidP="00C754A4">
      <w:pPr>
        <w:spacing w:before="60" w:after="60"/>
        <w:jc w:val="both"/>
        <w:rPr>
          <w:rFonts w:ascii="Calibri" w:hAnsi="Calibri"/>
          <w:sz w:val="22"/>
          <w:szCs w:val="22"/>
        </w:rPr>
      </w:pPr>
      <w:r w:rsidRPr="00C754A4">
        <w:rPr>
          <w:rFonts w:ascii="Calibri" w:hAnsi="Calibri"/>
          <w:bCs/>
          <w:sz w:val="22"/>
          <w:szCs w:val="22"/>
        </w:rPr>
        <w:t>Patvirtiname,</w:t>
      </w:r>
      <w:r>
        <w:rPr>
          <w:rFonts w:ascii="Calibri" w:hAnsi="Calibri"/>
          <w:sz w:val="22"/>
          <w:szCs w:val="22"/>
        </w:rPr>
        <w:t xml:space="preserve"> kad susipažinome su AB ,,Oro navigacija“ Antikorupcijos politika</w:t>
      </w:r>
      <w:r w:rsidR="00B33BD1">
        <w:rPr>
          <w:rFonts w:ascii="Calibri" w:hAnsi="Calibri"/>
          <w:sz w:val="22"/>
          <w:szCs w:val="22"/>
        </w:rPr>
        <w:t xml:space="preserve"> (4 priedas)</w:t>
      </w:r>
      <w:r>
        <w:rPr>
          <w:rFonts w:ascii="Calibri" w:hAnsi="Calibri"/>
          <w:sz w:val="22"/>
          <w:szCs w:val="22"/>
        </w:rPr>
        <w:t>, Veiklos partnerių elgesio kodeksu</w:t>
      </w:r>
      <w:r w:rsidR="00B33BD1">
        <w:rPr>
          <w:rFonts w:ascii="Calibri" w:hAnsi="Calibri"/>
          <w:sz w:val="22"/>
          <w:szCs w:val="22"/>
        </w:rPr>
        <w:t xml:space="preserve"> (</w:t>
      </w:r>
      <w:r w:rsidR="003534DA">
        <w:rPr>
          <w:rFonts w:ascii="Calibri" w:hAnsi="Calibri"/>
          <w:sz w:val="22"/>
          <w:szCs w:val="22"/>
        </w:rPr>
        <w:t>5</w:t>
      </w:r>
      <w:r w:rsidR="00B33BD1">
        <w:rPr>
          <w:rFonts w:ascii="Calibri" w:hAnsi="Calibri"/>
          <w:sz w:val="22"/>
          <w:szCs w:val="22"/>
        </w:rPr>
        <w:t xml:space="preserve"> priedas)</w:t>
      </w:r>
      <w:r>
        <w:rPr>
          <w:rFonts w:ascii="Calibri" w:hAnsi="Calibri"/>
          <w:sz w:val="22"/>
          <w:szCs w:val="22"/>
        </w:rPr>
        <w:t xml:space="preserve"> ir įsipareigojame nepažeisti jų nuostatų.</w:t>
      </w:r>
    </w:p>
    <w:p w14:paraId="5782CB83" w14:textId="32F71FC3" w:rsidR="00C754A4" w:rsidRPr="00EA48F9" w:rsidRDefault="00C754A4" w:rsidP="00EA48F9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  <w:lang w:val="en-US"/>
        </w:rPr>
        <w:sectPr w:rsidR="00C754A4" w:rsidRPr="00EA48F9">
          <w:pgSz w:w="11906" w:h="16838"/>
          <w:pgMar w:top="1409" w:right="567" w:bottom="1134" w:left="1701" w:header="624" w:footer="714" w:gutter="0"/>
          <w:cols w:space="720"/>
        </w:sectPr>
      </w:pPr>
    </w:p>
    <w:p w14:paraId="4FC65780" w14:textId="4BF62E28" w:rsidR="00561108" w:rsidRPr="00E42D88" w:rsidRDefault="00561108" w:rsidP="00BD55A7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lastRenderedPageBreak/>
        <w:t xml:space="preserve">PASIŪLYMO KAINA </w:t>
      </w:r>
    </w:p>
    <w:p w14:paraId="0717AD75" w14:textId="6C11027B" w:rsidR="00561108" w:rsidRPr="00E42D88" w:rsidRDefault="00561108" w:rsidP="00BD55A7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Pasiūlymo kaina nurodom</w:t>
      </w:r>
      <w:r w:rsidR="0026048B">
        <w:rPr>
          <w:rFonts w:asciiTheme="minorHAnsi" w:hAnsiTheme="minorHAnsi"/>
          <w:sz w:val="22"/>
          <w:szCs w:val="22"/>
        </w:rPr>
        <w:t>a</w:t>
      </w:r>
      <w:r w:rsidRPr="00E42D88">
        <w:rPr>
          <w:rFonts w:asciiTheme="minorHAnsi" w:hAnsiTheme="minorHAnsi"/>
          <w:sz w:val="22"/>
          <w:szCs w:val="22"/>
        </w:rPr>
        <w:t xml:space="preserve"> eurais. </w:t>
      </w:r>
    </w:p>
    <w:p w14:paraId="1305DE6D" w14:textId="04AF1646" w:rsidR="00EE31F1" w:rsidRPr="00DE19DD" w:rsidRDefault="00561108" w:rsidP="009452B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E19DD">
        <w:rPr>
          <w:rFonts w:asciiTheme="minorHAnsi" w:hAnsiTheme="minorHAnsi"/>
          <w:sz w:val="22"/>
          <w:szCs w:val="22"/>
        </w:rPr>
        <w:t xml:space="preserve">Pasiūlymo kaina </w:t>
      </w:r>
      <w:r w:rsidR="007A05A7" w:rsidRPr="00DE19DD">
        <w:rPr>
          <w:rFonts w:asciiTheme="minorHAnsi" w:hAnsiTheme="minorHAnsi"/>
          <w:sz w:val="22"/>
          <w:szCs w:val="22"/>
        </w:rPr>
        <w:t>nurodom</w:t>
      </w:r>
      <w:r w:rsidR="0026048B">
        <w:rPr>
          <w:rFonts w:asciiTheme="minorHAnsi" w:hAnsiTheme="minorHAnsi"/>
          <w:sz w:val="22"/>
          <w:szCs w:val="22"/>
        </w:rPr>
        <w:t>a</w:t>
      </w:r>
      <w:r w:rsidR="007A05A7" w:rsidRPr="00DE19DD">
        <w:rPr>
          <w:rFonts w:asciiTheme="minorHAnsi" w:hAnsiTheme="minorHAnsi"/>
          <w:sz w:val="22"/>
          <w:szCs w:val="22"/>
        </w:rPr>
        <w:t xml:space="preserve"> užpildant </w:t>
      </w:r>
      <w:r w:rsidR="004F6F4B" w:rsidRPr="00DE19DD">
        <w:rPr>
          <w:rFonts w:asciiTheme="minorHAnsi" w:hAnsiTheme="minorHAnsi"/>
          <w:sz w:val="22"/>
          <w:szCs w:val="22"/>
        </w:rPr>
        <w:t>1 lentelę</w:t>
      </w:r>
      <w:r w:rsidR="0067140F" w:rsidRPr="00DE19DD">
        <w:rPr>
          <w:rFonts w:asciiTheme="minorHAnsi" w:hAnsiTheme="minorHAnsi"/>
          <w:sz w:val="22"/>
          <w:szCs w:val="22"/>
        </w:rPr>
        <w:t>.</w:t>
      </w:r>
    </w:p>
    <w:p w14:paraId="721F2E78" w14:textId="345DFE58" w:rsidR="00DE19DD" w:rsidRPr="00622A32" w:rsidRDefault="003C13DF" w:rsidP="0026048B">
      <w:pPr>
        <w:spacing w:before="60" w:after="60"/>
        <w:ind w:firstLine="567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67140F">
        <w:rPr>
          <w:rFonts w:asciiTheme="minorHAnsi" w:hAnsiTheme="minorHAnsi"/>
          <w:color w:val="000000"/>
          <w:sz w:val="22"/>
          <w:szCs w:val="22"/>
        </w:rPr>
        <w:t>Visos tiekėjo išlaidos, sus</w:t>
      </w:r>
      <w:r w:rsidR="00805B73" w:rsidRPr="0067140F">
        <w:rPr>
          <w:rFonts w:asciiTheme="minorHAnsi" w:hAnsiTheme="minorHAnsi"/>
          <w:color w:val="000000"/>
          <w:sz w:val="22"/>
          <w:szCs w:val="22"/>
        </w:rPr>
        <w:t xml:space="preserve">ijusios su </w:t>
      </w:r>
      <w:r w:rsidR="0067140F" w:rsidRPr="0067140F">
        <w:rPr>
          <w:rFonts w:asciiTheme="minorHAnsi" w:hAnsiTheme="minorHAnsi"/>
          <w:color w:val="000000"/>
          <w:sz w:val="22"/>
          <w:szCs w:val="22"/>
        </w:rPr>
        <w:t>paslaugų teikimu</w:t>
      </w:r>
      <w:r w:rsidR="0026048B">
        <w:rPr>
          <w:rFonts w:asciiTheme="minorHAnsi" w:hAnsiTheme="minorHAnsi"/>
          <w:color w:val="000000"/>
          <w:sz w:val="22"/>
          <w:szCs w:val="22"/>
        </w:rPr>
        <w:t>,</w:t>
      </w:r>
      <w:r w:rsidRPr="0067140F">
        <w:rPr>
          <w:rFonts w:asciiTheme="minorHAnsi" w:hAnsiTheme="minorHAnsi"/>
          <w:color w:val="000000"/>
          <w:sz w:val="22"/>
          <w:szCs w:val="22"/>
        </w:rPr>
        <w:t xml:space="preserve"> turi būti įskaičiuotos į </w:t>
      </w:r>
      <w:r w:rsidR="0026048B">
        <w:rPr>
          <w:rFonts w:asciiTheme="minorHAnsi" w:hAnsiTheme="minorHAnsi"/>
          <w:color w:val="000000"/>
          <w:sz w:val="22"/>
          <w:szCs w:val="22"/>
        </w:rPr>
        <w:t>įkainius</w:t>
      </w:r>
      <w:r w:rsidRPr="0067140F">
        <w:rPr>
          <w:rFonts w:asciiTheme="minorHAnsi" w:hAnsiTheme="minorHAnsi"/>
          <w:color w:val="000000"/>
          <w:sz w:val="22"/>
          <w:szCs w:val="22"/>
        </w:rPr>
        <w:t>.</w:t>
      </w:r>
    </w:p>
    <w:p w14:paraId="6BAB07A9" w14:textId="1DCE5023" w:rsidR="00EE31F1" w:rsidRPr="00E42D88" w:rsidRDefault="004F6F4B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4F6F4B">
        <w:rPr>
          <w:rFonts w:asciiTheme="minorHAnsi" w:hAnsiTheme="minorHAnsi"/>
          <w:b/>
          <w:sz w:val="22"/>
          <w:szCs w:val="22"/>
        </w:rPr>
        <w:t>1</w:t>
      </w:r>
      <w:r w:rsidR="00EE31F1" w:rsidRPr="004F6F4B">
        <w:rPr>
          <w:rFonts w:asciiTheme="minorHAnsi" w:hAnsiTheme="minorHAnsi"/>
          <w:b/>
          <w:sz w:val="22"/>
          <w:szCs w:val="22"/>
        </w:rPr>
        <w:t xml:space="preserve"> lentelė.</w:t>
      </w:r>
      <w:r w:rsidR="00EE31F1" w:rsidRPr="00E42D88">
        <w:rPr>
          <w:rFonts w:asciiTheme="minorHAnsi" w:hAnsiTheme="minorHAnsi"/>
          <w:sz w:val="22"/>
          <w:szCs w:val="22"/>
        </w:rPr>
        <w:t xml:space="preserve"> </w:t>
      </w:r>
      <w:r w:rsidR="0026048B">
        <w:rPr>
          <w:rFonts w:asciiTheme="minorHAnsi" w:hAnsiTheme="minorHAnsi"/>
          <w:b/>
          <w:sz w:val="22"/>
          <w:szCs w:val="22"/>
        </w:rPr>
        <w:t>P</w:t>
      </w:r>
      <w:r w:rsidR="0047509C" w:rsidRPr="0074123B">
        <w:rPr>
          <w:rFonts w:asciiTheme="minorHAnsi" w:hAnsiTheme="minorHAnsi"/>
          <w:b/>
          <w:sz w:val="22"/>
          <w:szCs w:val="22"/>
        </w:rPr>
        <w:t>asiūlymo kaina</w:t>
      </w:r>
    </w:p>
    <w:tbl>
      <w:tblPr>
        <w:tblStyle w:val="TableGrid1"/>
        <w:tblW w:w="101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8"/>
        <w:gridCol w:w="4267"/>
        <w:gridCol w:w="2268"/>
        <w:gridCol w:w="3070"/>
      </w:tblGrid>
      <w:tr w:rsidR="008C0B8A" w:rsidRPr="00BA23E9" w14:paraId="51C00311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1FA8E424" w14:textId="77777777" w:rsidR="008C0B8A" w:rsidRPr="00BC3B9C" w:rsidRDefault="008C0B8A" w:rsidP="00BC3B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3B9C">
              <w:rPr>
                <w:rFonts w:ascii="Calibri" w:hAnsi="Calibri" w:cs="Calibri"/>
                <w:b/>
                <w:sz w:val="22"/>
                <w:szCs w:val="22"/>
              </w:rPr>
              <w:t>Eil. Nr.</w:t>
            </w:r>
          </w:p>
        </w:tc>
        <w:tc>
          <w:tcPr>
            <w:tcW w:w="4267" w:type="dxa"/>
            <w:vAlign w:val="center"/>
          </w:tcPr>
          <w:p w14:paraId="2D44FCE4" w14:textId="4A818A91" w:rsidR="008C0B8A" w:rsidRPr="00BC3B9C" w:rsidRDefault="008C0B8A" w:rsidP="00BC3B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23E9">
              <w:rPr>
                <w:rFonts w:ascii="Calibri" w:hAnsi="Calibri" w:cs="Calibri"/>
                <w:b/>
                <w:sz w:val="22"/>
                <w:szCs w:val="22"/>
              </w:rPr>
              <w:t>Paslaugos</w:t>
            </w:r>
          </w:p>
        </w:tc>
        <w:tc>
          <w:tcPr>
            <w:tcW w:w="2268" w:type="dxa"/>
            <w:vAlign w:val="center"/>
          </w:tcPr>
          <w:p w14:paraId="4AA67910" w14:textId="5ED1246C" w:rsidR="008C0B8A" w:rsidRPr="00BC3B9C" w:rsidRDefault="00D75ADE" w:rsidP="009A2A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Paslaugų teikimo vieta</w:t>
            </w:r>
          </w:p>
        </w:tc>
        <w:tc>
          <w:tcPr>
            <w:tcW w:w="3070" w:type="dxa"/>
            <w:vAlign w:val="center"/>
          </w:tcPr>
          <w:p w14:paraId="1E7DF739" w14:textId="00BE9A28" w:rsidR="008C0B8A" w:rsidRPr="00BC3B9C" w:rsidRDefault="00024207" w:rsidP="00BC3B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Vieno darbuotojo kursų įkainis</w:t>
            </w:r>
            <w:r w:rsidR="008C0B8A" w:rsidRPr="00BC3B9C">
              <w:rPr>
                <w:rFonts w:ascii="Calibri" w:hAnsi="Calibri" w:cs="Calibri"/>
                <w:b/>
                <w:sz w:val="22"/>
                <w:szCs w:val="22"/>
              </w:rPr>
              <w:t>*, EUR be PVM</w:t>
            </w:r>
          </w:p>
        </w:tc>
      </w:tr>
      <w:tr w:rsidR="008C0B8A" w:rsidRPr="00BA23E9" w14:paraId="3CB2E7DD" w14:textId="77777777" w:rsidTr="00D75ADE">
        <w:trPr>
          <w:trHeight w:val="261"/>
        </w:trPr>
        <w:tc>
          <w:tcPr>
            <w:tcW w:w="548" w:type="dxa"/>
            <w:vAlign w:val="center"/>
          </w:tcPr>
          <w:p w14:paraId="4E4284E2" w14:textId="77777777" w:rsidR="008C0B8A" w:rsidRPr="00BC3B9C" w:rsidRDefault="008C0B8A" w:rsidP="00BC3B9C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BC3B9C">
              <w:rPr>
                <w:rFonts w:ascii="Calibri" w:hAnsi="Calibri" w:cs="Calibri"/>
                <w:i/>
                <w:sz w:val="22"/>
                <w:szCs w:val="22"/>
              </w:rPr>
              <w:t>A</w:t>
            </w:r>
          </w:p>
        </w:tc>
        <w:tc>
          <w:tcPr>
            <w:tcW w:w="4267" w:type="dxa"/>
            <w:vAlign w:val="center"/>
          </w:tcPr>
          <w:p w14:paraId="68F0A68B" w14:textId="4AF0D117" w:rsidR="008C0B8A" w:rsidRPr="00BC3B9C" w:rsidRDefault="0020536F" w:rsidP="00BC3B9C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</w:t>
            </w:r>
          </w:p>
        </w:tc>
        <w:tc>
          <w:tcPr>
            <w:tcW w:w="2268" w:type="dxa"/>
            <w:vAlign w:val="center"/>
          </w:tcPr>
          <w:p w14:paraId="73321788" w14:textId="6B754729" w:rsidR="008C0B8A" w:rsidRPr="00BC3B9C" w:rsidRDefault="0020536F" w:rsidP="00BC3B9C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070" w:type="dxa"/>
            <w:vAlign w:val="center"/>
          </w:tcPr>
          <w:p w14:paraId="5364F2C1" w14:textId="358FC601" w:rsidR="008C0B8A" w:rsidRPr="00BC3B9C" w:rsidRDefault="0020536F" w:rsidP="00BC3B9C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</w:t>
            </w:r>
          </w:p>
        </w:tc>
      </w:tr>
      <w:tr w:rsidR="008C0B8A" w:rsidRPr="00BA23E9" w14:paraId="41379A26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3675DC15" w14:textId="77777777" w:rsidR="008C0B8A" w:rsidRPr="00BC3B9C" w:rsidRDefault="008C0B8A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67" w:type="dxa"/>
          </w:tcPr>
          <w:p w14:paraId="6288E074" w14:textId="1120A80A" w:rsidR="008C0B8A" w:rsidRPr="00BC3B9C" w:rsidRDefault="00FB4089" w:rsidP="00FB40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>5 darbo dienų trukmės OJTI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38179F47" w14:textId="4400A657" w:rsidR="008C0B8A" w:rsidRPr="00BC3B9C" w:rsidRDefault="00D75ADE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457E2880" w14:textId="67CE27ED" w:rsidR="008C0B8A" w:rsidRPr="005A7445" w:rsidRDefault="008C0B8A" w:rsidP="00024207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</w:p>
        </w:tc>
      </w:tr>
      <w:tr w:rsidR="008C0B8A" w:rsidRPr="00BA23E9" w14:paraId="52AC9C7C" w14:textId="77777777" w:rsidTr="00D75ADE">
        <w:trPr>
          <w:trHeight w:val="522"/>
        </w:trPr>
        <w:tc>
          <w:tcPr>
            <w:tcW w:w="548" w:type="dxa"/>
            <w:vAlign w:val="center"/>
          </w:tcPr>
          <w:p w14:paraId="0D218AC2" w14:textId="77777777" w:rsidR="008C0B8A" w:rsidRPr="00BC3B9C" w:rsidRDefault="008C0B8A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67" w:type="dxa"/>
          </w:tcPr>
          <w:p w14:paraId="5AD4FDFB" w14:textId="6FA3F088" w:rsidR="008C0B8A" w:rsidRPr="00BC3B9C" w:rsidRDefault="00FB4089" w:rsidP="00FB40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>5 darbo dienų trukmės OJTI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3820674B" w14:textId="15C2DCF9" w:rsidR="008C0B8A" w:rsidRPr="00BC3B9C" w:rsidRDefault="00D75ADE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66B02F62" w14:textId="6ADEA628" w:rsidR="008C0B8A" w:rsidRPr="00BC3B9C" w:rsidRDefault="008C0B8A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6BE7BD2D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42FC17D0" w14:textId="77777777" w:rsidR="008C0B8A" w:rsidRPr="00BC3B9C" w:rsidRDefault="008C0B8A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267" w:type="dxa"/>
          </w:tcPr>
          <w:p w14:paraId="5C2A6D70" w14:textId="1898FFBC" w:rsidR="008C0B8A" w:rsidRPr="00BC3B9C" w:rsidRDefault="00FB4089" w:rsidP="00BC3B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2 darbo dienų OJTI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62B54A96" w14:textId="6DACC89C" w:rsidR="008C0B8A" w:rsidRPr="00BC3B9C" w:rsidRDefault="00D75ADE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5568D5FE" w14:textId="7A993E6B" w:rsidR="008C0B8A" w:rsidRPr="00BC3B9C" w:rsidRDefault="008C0B8A" w:rsidP="00BC3B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4A2C025C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3451677A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267" w:type="dxa"/>
          </w:tcPr>
          <w:p w14:paraId="31FB7E2D" w14:textId="1DD75F52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2 darbo dienų OJTI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1824496F" w14:textId="26DD962F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0875CA60" w14:textId="63FC92AB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54F39B90" w14:textId="77777777" w:rsidTr="00D75ADE">
        <w:trPr>
          <w:trHeight w:val="522"/>
        </w:trPr>
        <w:tc>
          <w:tcPr>
            <w:tcW w:w="548" w:type="dxa"/>
            <w:vAlign w:val="center"/>
          </w:tcPr>
          <w:p w14:paraId="15635027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267" w:type="dxa"/>
          </w:tcPr>
          <w:p w14:paraId="1E069BA5" w14:textId="6EF35C3E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3 darbo dienų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7E8DDA9C" w14:textId="2A0FD407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0B7BA347" w14:textId="6B939770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480405C1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20A3B450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267" w:type="dxa"/>
          </w:tcPr>
          <w:p w14:paraId="4349221A" w14:textId="0926B4B5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3 darbo dienų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67AE0C65" w14:textId="6F836C24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6C39DF26" w14:textId="1825A46B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100ACF26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5D5D95AE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267" w:type="dxa"/>
          </w:tcPr>
          <w:p w14:paraId="6A441983" w14:textId="2CEF32BC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2 darbo dienų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5193A69B" w14:textId="5DE7C9AF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39CBB9C5" w14:textId="772152BE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34B6B8A6" w14:textId="77777777" w:rsidTr="00D75ADE">
        <w:trPr>
          <w:trHeight w:val="522"/>
        </w:trPr>
        <w:tc>
          <w:tcPr>
            <w:tcW w:w="548" w:type="dxa"/>
            <w:vAlign w:val="center"/>
          </w:tcPr>
          <w:p w14:paraId="09B9B0B6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267" w:type="dxa"/>
          </w:tcPr>
          <w:p w14:paraId="33BCE9AB" w14:textId="6F7A2BDD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2 darbo dienų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715D1DC2" w14:textId="03549EF6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2531C2E7" w14:textId="547033DD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01BD5317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60D69A89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267" w:type="dxa"/>
          </w:tcPr>
          <w:p w14:paraId="23F36422" w14:textId="3CF1A7C2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5 darbo dienų ASSEP OJTI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and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4B552CCA" w14:textId="15E4534C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3602ADD2" w14:textId="6F82946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0B8A" w:rsidRPr="00BA23E9" w14:paraId="2E98C7B1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57293EAB" w14:textId="77777777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B9C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4267" w:type="dxa"/>
          </w:tcPr>
          <w:p w14:paraId="6456117E" w14:textId="1DBD9BAA" w:rsidR="008C0B8A" w:rsidRPr="00BC3B9C" w:rsidRDefault="00FB4089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sz w:val="22"/>
                <w:szCs w:val="22"/>
              </w:rPr>
              <w:t xml:space="preserve">5 darbo dienų ASSEP OJTI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and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4089"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 w:rsidRPr="00FB4089">
              <w:rPr>
                <w:rFonts w:ascii="Calibri" w:hAnsi="Calibri" w:cs="Calibri"/>
                <w:sz w:val="22"/>
                <w:szCs w:val="22"/>
              </w:rPr>
              <w:t xml:space="preserve"> mokym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ai </w:t>
            </w:r>
          </w:p>
        </w:tc>
        <w:tc>
          <w:tcPr>
            <w:tcW w:w="2268" w:type="dxa"/>
            <w:vAlign w:val="center"/>
          </w:tcPr>
          <w:p w14:paraId="54EA0AC7" w14:textId="504E2683" w:rsidR="008C0B8A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31CF4B21" w14:textId="7F841B91" w:rsidR="008C0B8A" w:rsidRPr="00BC3B9C" w:rsidRDefault="008C0B8A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5ADE" w:rsidRPr="00BA23E9" w14:paraId="1E14C4FA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16CA3ECA" w14:textId="656E3E45" w:rsidR="00D75ADE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4267" w:type="dxa"/>
          </w:tcPr>
          <w:p w14:paraId="67D79C14" w14:textId="1A34DD20" w:rsidR="00D75ADE" w:rsidRPr="00FB4089" w:rsidRDefault="0020536F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darbo dienos ATSEP OJTI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mokymai</w:t>
            </w:r>
          </w:p>
        </w:tc>
        <w:tc>
          <w:tcPr>
            <w:tcW w:w="2268" w:type="dxa"/>
            <w:vAlign w:val="center"/>
          </w:tcPr>
          <w:p w14:paraId="558B9D28" w14:textId="68E17991" w:rsidR="00D75ADE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6818E4F7" w14:textId="0A22761A" w:rsidR="00D75ADE" w:rsidRPr="00BE606D" w:rsidRDefault="00D75ADE" w:rsidP="00CC447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75ADE" w:rsidRPr="00BA23E9" w14:paraId="6B9D41EF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1DD57E38" w14:textId="2DEE1898" w:rsidR="00D75ADE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4267" w:type="dxa"/>
          </w:tcPr>
          <w:p w14:paraId="2257E431" w14:textId="03C9BAE0" w:rsidR="00D75ADE" w:rsidRPr="00FB4089" w:rsidRDefault="0020536F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darbo dienos ATSEP OJTI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mokymai</w:t>
            </w:r>
          </w:p>
        </w:tc>
        <w:tc>
          <w:tcPr>
            <w:tcW w:w="2268" w:type="dxa"/>
            <w:vAlign w:val="center"/>
          </w:tcPr>
          <w:p w14:paraId="20D9E7F8" w14:textId="61285305" w:rsidR="00D75ADE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62A4E976" w14:textId="671970A0" w:rsidR="00D75ADE" w:rsidRPr="00BE606D" w:rsidRDefault="00D75ADE" w:rsidP="00CC447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75ADE" w:rsidRPr="00BA23E9" w14:paraId="4D50C24F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0AF76783" w14:textId="712BB569" w:rsidR="00D75ADE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4267" w:type="dxa"/>
          </w:tcPr>
          <w:p w14:paraId="504ABF77" w14:textId="40231CCF" w:rsidR="00D75ADE" w:rsidRPr="00FB4089" w:rsidRDefault="0020536F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darbo dienos ATSEP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mokymai</w:t>
            </w:r>
          </w:p>
        </w:tc>
        <w:tc>
          <w:tcPr>
            <w:tcW w:w="2268" w:type="dxa"/>
            <w:vAlign w:val="center"/>
          </w:tcPr>
          <w:p w14:paraId="5EA01EE1" w14:textId="2D01AB29" w:rsidR="00D75ADE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089">
              <w:rPr>
                <w:rFonts w:ascii="Calibri" w:hAnsi="Calibri" w:cs="Calibri"/>
                <w:b/>
                <w:sz w:val="22"/>
                <w:szCs w:val="22"/>
              </w:rPr>
              <w:t>Paslaugų teikėjo patalpose</w:t>
            </w:r>
          </w:p>
        </w:tc>
        <w:tc>
          <w:tcPr>
            <w:tcW w:w="3070" w:type="dxa"/>
            <w:vAlign w:val="center"/>
          </w:tcPr>
          <w:p w14:paraId="3FCD9819" w14:textId="56029845" w:rsidR="00D75ADE" w:rsidRPr="00BE606D" w:rsidRDefault="00D75ADE" w:rsidP="00CC447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D75ADE" w:rsidRPr="00BA23E9" w14:paraId="111DB8BC" w14:textId="77777777" w:rsidTr="00D75ADE">
        <w:trPr>
          <w:trHeight w:val="534"/>
        </w:trPr>
        <w:tc>
          <w:tcPr>
            <w:tcW w:w="548" w:type="dxa"/>
            <w:vAlign w:val="center"/>
          </w:tcPr>
          <w:p w14:paraId="2E3B38A0" w14:textId="0533D72E" w:rsidR="00D75ADE" w:rsidRPr="00BC3B9C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4267" w:type="dxa"/>
          </w:tcPr>
          <w:p w14:paraId="30F8297E" w14:textId="251BA646" w:rsidR="00D75ADE" w:rsidRPr="00FB4089" w:rsidRDefault="0020536F" w:rsidP="00CC44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darbo dienos ATSEP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Assessor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mokymai</w:t>
            </w:r>
          </w:p>
        </w:tc>
        <w:tc>
          <w:tcPr>
            <w:tcW w:w="2268" w:type="dxa"/>
            <w:vAlign w:val="center"/>
          </w:tcPr>
          <w:p w14:paraId="3B5C98AC" w14:textId="6305C214" w:rsidR="00D75ADE" w:rsidRDefault="00D75ADE" w:rsidP="00CC44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FB4089">
              <w:rPr>
                <w:rFonts w:ascii="Calibri" w:hAnsi="Calibri" w:cs="Calibri"/>
                <w:b/>
                <w:sz w:val="22"/>
                <w:szCs w:val="22"/>
              </w:rPr>
              <w:t xml:space="preserve">uotoliniu būdu, </w:t>
            </w:r>
            <w:proofErr w:type="spellStart"/>
            <w:r w:rsidRPr="00FB4089">
              <w:rPr>
                <w:rFonts w:ascii="Calibri" w:hAnsi="Calibri" w:cs="Calibri"/>
                <w:b/>
                <w:sz w:val="22"/>
                <w:szCs w:val="22"/>
              </w:rPr>
              <w:t>online</w:t>
            </w:r>
            <w:proofErr w:type="spellEnd"/>
          </w:p>
        </w:tc>
        <w:tc>
          <w:tcPr>
            <w:tcW w:w="3070" w:type="dxa"/>
            <w:vAlign w:val="center"/>
          </w:tcPr>
          <w:p w14:paraId="6A59C66A" w14:textId="3C98695B" w:rsidR="00D75ADE" w:rsidRPr="00BE606D" w:rsidRDefault="00D75ADE" w:rsidP="00CC447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B4089" w:rsidRPr="00BA23E9" w14:paraId="03A1CBA4" w14:textId="6A7277C6" w:rsidTr="00D75ADE">
        <w:trPr>
          <w:trHeight w:val="261"/>
        </w:trPr>
        <w:tc>
          <w:tcPr>
            <w:tcW w:w="548" w:type="dxa"/>
          </w:tcPr>
          <w:p w14:paraId="1227601B" w14:textId="7391CBCF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5" w:type="dxa"/>
            <w:gridSpan w:val="2"/>
          </w:tcPr>
          <w:p w14:paraId="3837CD44" w14:textId="4FFC32EA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BC3B9C">
              <w:rPr>
                <w:rFonts w:ascii="Calibri" w:hAnsi="Calibri" w:cs="Calibri"/>
                <w:b/>
                <w:sz w:val="22"/>
                <w:szCs w:val="22"/>
              </w:rPr>
              <w:t>asiūlymo kaina, EUR be PVM</w:t>
            </w:r>
          </w:p>
        </w:tc>
        <w:tc>
          <w:tcPr>
            <w:tcW w:w="3070" w:type="dxa"/>
          </w:tcPr>
          <w:p w14:paraId="4469D54D" w14:textId="36C89F69" w:rsidR="00FB4089" w:rsidRPr="00BC3B9C" w:rsidRDefault="005A7445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33 000</w:t>
            </w:r>
          </w:p>
        </w:tc>
      </w:tr>
      <w:tr w:rsidR="00FB4089" w:rsidRPr="00BA23E9" w14:paraId="0344A3F7" w14:textId="073A47EA" w:rsidTr="00D75ADE">
        <w:trPr>
          <w:trHeight w:val="261"/>
        </w:trPr>
        <w:tc>
          <w:tcPr>
            <w:tcW w:w="548" w:type="dxa"/>
          </w:tcPr>
          <w:p w14:paraId="2A5AFBBB" w14:textId="2015C16F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5" w:type="dxa"/>
            <w:gridSpan w:val="2"/>
          </w:tcPr>
          <w:p w14:paraId="255296F5" w14:textId="193A1F31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C3B9C">
              <w:rPr>
                <w:rFonts w:ascii="Calibri" w:hAnsi="Calibri" w:cs="Calibri"/>
                <w:b/>
                <w:sz w:val="22"/>
                <w:szCs w:val="22"/>
              </w:rPr>
              <w:t>PVM (jei taikoma)</w:t>
            </w:r>
          </w:p>
        </w:tc>
        <w:tc>
          <w:tcPr>
            <w:tcW w:w="3070" w:type="dxa"/>
          </w:tcPr>
          <w:p w14:paraId="61E592C7" w14:textId="569767D2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B4089" w:rsidRPr="00BA23E9" w14:paraId="3DC80ECB" w14:textId="55822924" w:rsidTr="00D75ADE">
        <w:trPr>
          <w:trHeight w:val="261"/>
        </w:trPr>
        <w:tc>
          <w:tcPr>
            <w:tcW w:w="548" w:type="dxa"/>
          </w:tcPr>
          <w:p w14:paraId="13D2ADDF" w14:textId="023865EA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5" w:type="dxa"/>
            <w:gridSpan w:val="2"/>
          </w:tcPr>
          <w:p w14:paraId="24152C88" w14:textId="65CB48A8" w:rsidR="00FB4089" w:rsidRPr="00BC3B9C" w:rsidRDefault="00FB4089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BC3B9C">
              <w:rPr>
                <w:rFonts w:ascii="Calibri" w:hAnsi="Calibri" w:cs="Calibri"/>
                <w:b/>
                <w:sz w:val="22"/>
                <w:szCs w:val="22"/>
              </w:rPr>
              <w:t>asiūlymo kaina, EUR su PVM</w:t>
            </w:r>
          </w:p>
        </w:tc>
        <w:tc>
          <w:tcPr>
            <w:tcW w:w="3070" w:type="dxa"/>
          </w:tcPr>
          <w:p w14:paraId="7D7124F6" w14:textId="2B053E54" w:rsidR="00FB4089" w:rsidRPr="00BC3B9C" w:rsidRDefault="005A7445" w:rsidP="00FB408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33 000</w:t>
            </w:r>
          </w:p>
        </w:tc>
      </w:tr>
    </w:tbl>
    <w:p w14:paraId="27CFCB6A" w14:textId="46CD55DE" w:rsidR="00917587" w:rsidRDefault="008C0B8A" w:rsidP="0086366E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17587">
        <w:rPr>
          <w:rFonts w:asciiTheme="minorHAnsi" w:hAnsiTheme="minorHAnsi" w:cstheme="minorHAnsi"/>
          <w:sz w:val="22"/>
          <w:szCs w:val="22"/>
        </w:rPr>
        <w:t>*</w:t>
      </w:r>
      <w:r w:rsidR="00917587" w:rsidRPr="00917587">
        <w:rPr>
          <w:rFonts w:asciiTheme="minorHAnsi" w:hAnsiTheme="minorHAnsi" w:cstheme="minorHAnsi"/>
          <w:sz w:val="22"/>
          <w:szCs w:val="22"/>
        </w:rPr>
        <w:t xml:space="preserve">Paslaugos bus perkamos tik pagal poreikį, neviršijant </w:t>
      </w:r>
      <w:r w:rsidR="00D75ADE">
        <w:rPr>
          <w:rFonts w:asciiTheme="minorHAnsi" w:hAnsiTheme="minorHAnsi" w:cstheme="minorHAnsi"/>
          <w:sz w:val="22"/>
          <w:szCs w:val="22"/>
        </w:rPr>
        <w:t>5</w:t>
      </w:r>
      <w:r w:rsidR="00917587" w:rsidRPr="00917587">
        <w:rPr>
          <w:rFonts w:asciiTheme="minorHAnsi" w:hAnsiTheme="minorHAnsi" w:cstheme="minorHAnsi"/>
          <w:sz w:val="22"/>
          <w:szCs w:val="22"/>
        </w:rPr>
        <w:t>0 000 EUR be PVM. Pirkėjas mokės tik už faktiškai suteiktas Paslaugas pagal įkainius (</w:t>
      </w:r>
      <w:r w:rsidR="0020536F">
        <w:rPr>
          <w:rFonts w:asciiTheme="minorHAnsi" w:hAnsiTheme="minorHAnsi" w:cstheme="minorHAnsi"/>
          <w:sz w:val="22"/>
          <w:szCs w:val="22"/>
        </w:rPr>
        <w:t>D</w:t>
      </w:r>
      <w:r w:rsidR="00917587" w:rsidRPr="00917587">
        <w:rPr>
          <w:rFonts w:asciiTheme="minorHAnsi" w:hAnsiTheme="minorHAnsi" w:cstheme="minorHAnsi"/>
          <w:sz w:val="22"/>
          <w:szCs w:val="22"/>
        </w:rPr>
        <w:t xml:space="preserve"> stulpelis), nurodytus lentelėje.</w:t>
      </w:r>
    </w:p>
    <w:p w14:paraId="5823E7EC" w14:textId="77777777" w:rsidR="00917587" w:rsidRPr="00917587" w:rsidRDefault="00917587" w:rsidP="0086366E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ACA2FBF" w14:textId="1BBCF483" w:rsidR="00561108" w:rsidRPr="00E42D88" w:rsidRDefault="00561108" w:rsidP="00BD55A7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46875445" w:rsidR="00561108" w:rsidRPr="00E42D88" w:rsidRDefault="00561108" w:rsidP="00917587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iCs/>
          <w:sz w:val="22"/>
          <w:szCs w:val="22"/>
          <w:lang w:val="lt-LT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8C0B8A">
        <w:rPr>
          <w:rFonts w:asciiTheme="minorHAnsi" w:hAnsiTheme="minorHAnsi"/>
          <w:b/>
          <w:sz w:val="22"/>
          <w:szCs w:val="22"/>
          <w:lang w:val="lt-LT"/>
        </w:rPr>
        <w:t>2</w:t>
      </w:r>
      <w:r w:rsidR="001C45F2">
        <w:rPr>
          <w:rFonts w:asciiTheme="minorHAnsi" w:hAnsiTheme="minorHAnsi"/>
          <w:b/>
          <w:sz w:val="22"/>
          <w:szCs w:val="22"/>
          <w:lang w:val="lt-LT"/>
        </w:rPr>
        <w:t xml:space="preserve"> mėnesius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pirminių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5388E6C0" w14:textId="77777777" w:rsidR="005A7445" w:rsidRDefault="005A7445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sectPr w:rsidR="005A7445" w:rsidSect="0019119C">
      <w:pgSz w:w="11906" w:h="16838"/>
      <w:pgMar w:top="1138" w:right="72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0507" w14:textId="77777777" w:rsidR="00E96A13" w:rsidRDefault="00E96A13" w:rsidP="00561108">
      <w:r>
        <w:separator/>
      </w:r>
    </w:p>
  </w:endnote>
  <w:endnote w:type="continuationSeparator" w:id="0">
    <w:p w14:paraId="5A8C1615" w14:textId="77777777" w:rsidR="00E96A13" w:rsidRDefault="00E96A13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C788" w14:textId="77777777" w:rsidR="00E96A13" w:rsidRDefault="00E96A13" w:rsidP="00561108">
      <w:r>
        <w:separator/>
      </w:r>
    </w:p>
  </w:footnote>
  <w:footnote w:type="continuationSeparator" w:id="0">
    <w:p w14:paraId="31486392" w14:textId="77777777" w:rsidR="00E96A13" w:rsidRDefault="00E96A13" w:rsidP="0056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8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12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634548">
    <w:abstractNumId w:val="3"/>
  </w:num>
  <w:num w:numId="4" w16cid:durableId="673264471">
    <w:abstractNumId w:val="0"/>
  </w:num>
  <w:num w:numId="5" w16cid:durableId="815031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756993">
    <w:abstractNumId w:val="5"/>
  </w:num>
  <w:num w:numId="7" w16cid:durableId="68402217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219B"/>
    <w:rsid w:val="000033B4"/>
    <w:rsid w:val="000138F8"/>
    <w:rsid w:val="00024207"/>
    <w:rsid w:val="00035271"/>
    <w:rsid w:val="0003643E"/>
    <w:rsid w:val="0004223E"/>
    <w:rsid w:val="00045C77"/>
    <w:rsid w:val="0004690B"/>
    <w:rsid w:val="0005351E"/>
    <w:rsid w:val="00061F30"/>
    <w:rsid w:val="000630E0"/>
    <w:rsid w:val="00070778"/>
    <w:rsid w:val="000752F1"/>
    <w:rsid w:val="00086008"/>
    <w:rsid w:val="000B0493"/>
    <w:rsid w:val="000C025D"/>
    <w:rsid w:val="000C3395"/>
    <w:rsid w:val="000D0721"/>
    <w:rsid w:val="000D60B0"/>
    <w:rsid w:val="000E22CD"/>
    <w:rsid w:val="000E46D8"/>
    <w:rsid w:val="000E715C"/>
    <w:rsid w:val="000E7D4A"/>
    <w:rsid w:val="000F6A4B"/>
    <w:rsid w:val="0010739C"/>
    <w:rsid w:val="00133763"/>
    <w:rsid w:val="001445AF"/>
    <w:rsid w:val="00146AFC"/>
    <w:rsid w:val="001521E6"/>
    <w:rsid w:val="001552CA"/>
    <w:rsid w:val="00162BD4"/>
    <w:rsid w:val="00175B23"/>
    <w:rsid w:val="00187A7D"/>
    <w:rsid w:val="0019119C"/>
    <w:rsid w:val="00192FC7"/>
    <w:rsid w:val="001B11D5"/>
    <w:rsid w:val="001B2590"/>
    <w:rsid w:val="001C4026"/>
    <w:rsid w:val="001C45F2"/>
    <w:rsid w:val="001D4041"/>
    <w:rsid w:val="001E2FC1"/>
    <w:rsid w:val="00202928"/>
    <w:rsid w:val="0020536F"/>
    <w:rsid w:val="002068A6"/>
    <w:rsid w:val="002119A2"/>
    <w:rsid w:val="00223164"/>
    <w:rsid w:val="0022447F"/>
    <w:rsid w:val="00242F22"/>
    <w:rsid w:val="002536EE"/>
    <w:rsid w:val="00254134"/>
    <w:rsid w:val="0026048B"/>
    <w:rsid w:val="00262E79"/>
    <w:rsid w:val="00264E77"/>
    <w:rsid w:val="00284032"/>
    <w:rsid w:val="00285647"/>
    <w:rsid w:val="002873CC"/>
    <w:rsid w:val="002B2153"/>
    <w:rsid w:val="002B5CF4"/>
    <w:rsid w:val="002C435F"/>
    <w:rsid w:val="002D217A"/>
    <w:rsid w:val="002D3B63"/>
    <w:rsid w:val="002E3A09"/>
    <w:rsid w:val="002E5DCF"/>
    <w:rsid w:val="00311326"/>
    <w:rsid w:val="003169BC"/>
    <w:rsid w:val="00316E50"/>
    <w:rsid w:val="00336F0F"/>
    <w:rsid w:val="00344CDE"/>
    <w:rsid w:val="00350D15"/>
    <w:rsid w:val="003515B0"/>
    <w:rsid w:val="003534DA"/>
    <w:rsid w:val="003816FE"/>
    <w:rsid w:val="003835D2"/>
    <w:rsid w:val="00387B51"/>
    <w:rsid w:val="003934EC"/>
    <w:rsid w:val="003B4A18"/>
    <w:rsid w:val="003C0E62"/>
    <w:rsid w:val="003C13DF"/>
    <w:rsid w:val="003C27B4"/>
    <w:rsid w:val="003C4C3F"/>
    <w:rsid w:val="003D0D15"/>
    <w:rsid w:val="003D795F"/>
    <w:rsid w:val="003E488B"/>
    <w:rsid w:val="00402BA0"/>
    <w:rsid w:val="00403D9A"/>
    <w:rsid w:val="00407E7F"/>
    <w:rsid w:val="00412C5F"/>
    <w:rsid w:val="00417F94"/>
    <w:rsid w:val="004322E7"/>
    <w:rsid w:val="00432DBF"/>
    <w:rsid w:val="0043354E"/>
    <w:rsid w:val="00451E88"/>
    <w:rsid w:val="0047509C"/>
    <w:rsid w:val="00493DB4"/>
    <w:rsid w:val="00497EF0"/>
    <w:rsid w:val="004E1A9B"/>
    <w:rsid w:val="004F6F4B"/>
    <w:rsid w:val="0050653C"/>
    <w:rsid w:val="005072B1"/>
    <w:rsid w:val="005129BE"/>
    <w:rsid w:val="00533421"/>
    <w:rsid w:val="005344C1"/>
    <w:rsid w:val="00540C0D"/>
    <w:rsid w:val="0054703E"/>
    <w:rsid w:val="00561108"/>
    <w:rsid w:val="00584E18"/>
    <w:rsid w:val="00590F8D"/>
    <w:rsid w:val="005A0FF5"/>
    <w:rsid w:val="005A7445"/>
    <w:rsid w:val="005A7686"/>
    <w:rsid w:val="005B0F89"/>
    <w:rsid w:val="005B2F1C"/>
    <w:rsid w:val="005B758D"/>
    <w:rsid w:val="005C4E05"/>
    <w:rsid w:val="005D1F4B"/>
    <w:rsid w:val="005D248F"/>
    <w:rsid w:val="005D4A03"/>
    <w:rsid w:val="005F3FD2"/>
    <w:rsid w:val="005F6899"/>
    <w:rsid w:val="00622A32"/>
    <w:rsid w:val="00624DDA"/>
    <w:rsid w:val="00636495"/>
    <w:rsid w:val="00637987"/>
    <w:rsid w:val="00651AA4"/>
    <w:rsid w:val="0067140F"/>
    <w:rsid w:val="006751ED"/>
    <w:rsid w:val="00685804"/>
    <w:rsid w:val="006D0163"/>
    <w:rsid w:val="006D75D7"/>
    <w:rsid w:val="006D79CA"/>
    <w:rsid w:val="006E2E90"/>
    <w:rsid w:val="006F122B"/>
    <w:rsid w:val="006F2A79"/>
    <w:rsid w:val="00705351"/>
    <w:rsid w:val="007164DB"/>
    <w:rsid w:val="00717506"/>
    <w:rsid w:val="00717D01"/>
    <w:rsid w:val="00726EED"/>
    <w:rsid w:val="00727CD7"/>
    <w:rsid w:val="0073525E"/>
    <w:rsid w:val="007361CC"/>
    <w:rsid w:val="007377F2"/>
    <w:rsid w:val="0074123B"/>
    <w:rsid w:val="00747A71"/>
    <w:rsid w:val="00752643"/>
    <w:rsid w:val="00752973"/>
    <w:rsid w:val="007530C6"/>
    <w:rsid w:val="00764D24"/>
    <w:rsid w:val="00767A5A"/>
    <w:rsid w:val="007765A0"/>
    <w:rsid w:val="00786195"/>
    <w:rsid w:val="00787248"/>
    <w:rsid w:val="007914B5"/>
    <w:rsid w:val="007A05A7"/>
    <w:rsid w:val="007C3BB9"/>
    <w:rsid w:val="007D36B5"/>
    <w:rsid w:val="007D39E1"/>
    <w:rsid w:val="00801C2E"/>
    <w:rsid w:val="008021B2"/>
    <w:rsid w:val="00805B73"/>
    <w:rsid w:val="00807AC6"/>
    <w:rsid w:val="00821A5A"/>
    <w:rsid w:val="00826C13"/>
    <w:rsid w:val="00833843"/>
    <w:rsid w:val="00835851"/>
    <w:rsid w:val="00837F86"/>
    <w:rsid w:val="0085213D"/>
    <w:rsid w:val="0086011E"/>
    <w:rsid w:val="008621F5"/>
    <w:rsid w:val="0086366E"/>
    <w:rsid w:val="008714F9"/>
    <w:rsid w:val="008838BB"/>
    <w:rsid w:val="0088766A"/>
    <w:rsid w:val="008A6815"/>
    <w:rsid w:val="008B397F"/>
    <w:rsid w:val="008B49DB"/>
    <w:rsid w:val="008C0B8A"/>
    <w:rsid w:val="008C4581"/>
    <w:rsid w:val="008D1510"/>
    <w:rsid w:val="009115ED"/>
    <w:rsid w:val="00916FC4"/>
    <w:rsid w:val="00917587"/>
    <w:rsid w:val="00942CF2"/>
    <w:rsid w:val="00957315"/>
    <w:rsid w:val="00960A41"/>
    <w:rsid w:val="009728E2"/>
    <w:rsid w:val="009736B1"/>
    <w:rsid w:val="009858A3"/>
    <w:rsid w:val="00993F66"/>
    <w:rsid w:val="009975EF"/>
    <w:rsid w:val="009A29B7"/>
    <w:rsid w:val="009A2A79"/>
    <w:rsid w:val="009B5431"/>
    <w:rsid w:val="009C34E6"/>
    <w:rsid w:val="009E6628"/>
    <w:rsid w:val="009E77C7"/>
    <w:rsid w:val="00A01ED7"/>
    <w:rsid w:val="00A1398C"/>
    <w:rsid w:val="00A16B03"/>
    <w:rsid w:val="00A31BCE"/>
    <w:rsid w:val="00A55AB0"/>
    <w:rsid w:val="00A61627"/>
    <w:rsid w:val="00A66C6A"/>
    <w:rsid w:val="00A715A2"/>
    <w:rsid w:val="00A768C4"/>
    <w:rsid w:val="00A871BF"/>
    <w:rsid w:val="00AA43DF"/>
    <w:rsid w:val="00AB38B1"/>
    <w:rsid w:val="00AC2A31"/>
    <w:rsid w:val="00AC546B"/>
    <w:rsid w:val="00AC62CA"/>
    <w:rsid w:val="00AC63BD"/>
    <w:rsid w:val="00AF47AA"/>
    <w:rsid w:val="00B00F58"/>
    <w:rsid w:val="00B0346D"/>
    <w:rsid w:val="00B03F3D"/>
    <w:rsid w:val="00B30236"/>
    <w:rsid w:val="00B303A3"/>
    <w:rsid w:val="00B33BD1"/>
    <w:rsid w:val="00B42CBE"/>
    <w:rsid w:val="00B46E42"/>
    <w:rsid w:val="00B54465"/>
    <w:rsid w:val="00B55841"/>
    <w:rsid w:val="00B625B8"/>
    <w:rsid w:val="00B73141"/>
    <w:rsid w:val="00B86437"/>
    <w:rsid w:val="00B874A4"/>
    <w:rsid w:val="00B932F3"/>
    <w:rsid w:val="00BA23E9"/>
    <w:rsid w:val="00BB1AFB"/>
    <w:rsid w:val="00BB7F85"/>
    <w:rsid w:val="00BC3B9C"/>
    <w:rsid w:val="00BD55A7"/>
    <w:rsid w:val="00BD619E"/>
    <w:rsid w:val="00BD632A"/>
    <w:rsid w:val="00BE0395"/>
    <w:rsid w:val="00BE606D"/>
    <w:rsid w:val="00BF2656"/>
    <w:rsid w:val="00BF6737"/>
    <w:rsid w:val="00C043F1"/>
    <w:rsid w:val="00C1069C"/>
    <w:rsid w:val="00C10886"/>
    <w:rsid w:val="00C151E9"/>
    <w:rsid w:val="00C26057"/>
    <w:rsid w:val="00C326AF"/>
    <w:rsid w:val="00C4621D"/>
    <w:rsid w:val="00C47794"/>
    <w:rsid w:val="00C61BF0"/>
    <w:rsid w:val="00C64DCC"/>
    <w:rsid w:val="00C754A4"/>
    <w:rsid w:val="00C80C65"/>
    <w:rsid w:val="00C813A7"/>
    <w:rsid w:val="00C91207"/>
    <w:rsid w:val="00C974D6"/>
    <w:rsid w:val="00CA415E"/>
    <w:rsid w:val="00CC4473"/>
    <w:rsid w:val="00CC4C89"/>
    <w:rsid w:val="00CE2AB9"/>
    <w:rsid w:val="00D229D6"/>
    <w:rsid w:val="00D25DEF"/>
    <w:rsid w:val="00D314E9"/>
    <w:rsid w:val="00D462E0"/>
    <w:rsid w:val="00D537C1"/>
    <w:rsid w:val="00D75ADE"/>
    <w:rsid w:val="00D7772D"/>
    <w:rsid w:val="00D77CD3"/>
    <w:rsid w:val="00DB4857"/>
    <w:rsid w:val="00DD0A4E"/>
    <w:rsid w:val="00DD6AC8"/>
    <w:rsid w:val="00DE19DD"/>
    <w:rsid w:val="00E03882"/>
    <w:rsid w:val="00E04E23"/>
    <w:rsid w:val="00E113BF"/>
    <w:rsid w:val="00E16B50"/>
    <w:rsid w:val="00E22269"/>
    <w:rsid w:val="00E42879"/>
    <w:rsid w:val="00E42D88"/>
    <w:rsid w:val="00E4574E"/>
    <w:rsid w:val="00E57E23"/>
    <w:rsid w:val="00E61CFA"/>
    <w:rsid w:val="00E73F9A"/>
    <w:rsid w:val="00E92764"/>
    <w:rsid w:val="00E965C4"/>
    <w:rsid w:val="00E96A13"/>
    <w:rsid w:val="00EA24A6"/>
    <w:rsid w:val="00EA48F9"/>
    <w:rsid w:val="00EB4BE4"/>
    <w:rsid w:val="00EE06C0"/>
    <w:rsid w:val="00EE31F1"/>
    <w:rsid w:val="00F01BA0"/>
    <w:rsid w:val="00F0547E"/>
    <w:rsid w:val="00F40B42"/>
    <w:rsid w:val="00F4731E"/>
    <w:rsid w:val="00F51485"/>
    <w:rsid w:val="00F67AAB"/>
    <w:rsid w:val="00F751E1"/>
    <w:rsid w:val="00F84F2B"/>
    <w:rsid w:val="00F879D2"/>
    <w:rsid w:val="00F90F77"/>
    <w:rsid w:val="00F95E85"/>
    <w:rsid w:val="00FA299C"/>
    <w:rsid w:val="00FB4089"/>
    <w:rsid w:val="00FB5841"/>
    <w:rsid w:val="00FC3A92"/>
    <w:rsid w:val="00FE4DAE"/>
    <w:rsid w:val="00FE79D4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table" w:customStyle="1" w:styleId="TableGrid1">
    <w:name w:val="Table Grid1"/>
    <w:basedOn w:val="TableNormal"/>
    <w:next w:val="TableGrid"/>
    <w:rsid w:val="00BC3B9C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4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8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604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8B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DC07-D119-4DDC-806C-114C201B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17</cp:revision>
  <cp:lastPrinted>2018-07-09T10:25:00Z</cp:lastPrinted>
  <dcterms:created xsi:type="dcterms:W3CDTF">2020-05-06T09:54:00Z</dcterms:created>
  <dcterms:modified xsi:type="dcterms:W3CDTF">2023-11-20T12:38:00Z</dcterms:modified>
</cp:coreProperties>
</file>