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07383B28" w:rsidR="00307C1E" w:rsidRPr="00FB45F6" w:rsidRDefault="006148B0" w:rsidP="00C26876">
            <w:pPr>
              <w:jc w:val="center"/>
              <w:rPr>
                <w:rFonts w:cstheme="minorHAnsi"/>
                <w:b/>
                <w:bCs/>
              </w:rPr>
            </w:pPr>
            <w:r w:rsidRPr="00FB45F6">
              <w:rPr>
                <w:rFonts w:cstheme="minorHAnsi"/>
                <w:b/>
                <w:bCs/>
              </w:rPr>
              <w:t>UAB „Lukrida“</w:t>
            </w: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6FC07FE0" w:rsidR="00813A94" w:rsidRDefault="00FB45F6" w:rsidP="00FB45F6">
            <w:pPr>
              <w:tabs>
                <w:tab w:val="left" w:pos="4185"/>
              </w:tabs>
              <w:rPr>
                <w:rFonts w:cstheme="minorHAnsi"/>
                <w:color w:val="000000"/>
              </w:rPr>
            </w:pPr>
            <w:r>
              <w:rPr>
                <w:rFonts w:cstheme="minorHAnsi"/>
                <w:color w:val="000000"/>
              </w:rPr>
              <w:tab/>
            </w: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2ACC854F" w14:textId="77777777" w:rsidR="003675DA" w:rsidRDefault="003675DA" w:rsidP="00C26876">
            <w:pPr>
              <w:jc w:val="center"/>
              <w:rPr>
                <w:rFonts w:cstheme="minorHAnsi"/>
                <w:color w:val="000000"/>
              </w:rPr>
            </w:pPr>
          </w:p>
          <w:p w14:paraId="7E0270C2" w14:textId="0322FEEB" w:rsidR="00FB45F6" w:rsidRDefault="00FB45F6" w:rsidP="00C26876">
            <w:pPr>
              <w:jc w:val="center"/>
              <w:rPr>
                <w:rFonts w:cstheme="minorHAnsi"/>
                <w:color w:val="000000"/>
              </w:rPr>
            </w:pPr>
            <w:r w:rsidRPr="00E362F0">
              <w:rPr>
                <w:rFonts w:cstheme="minorHAnsi"/>
              </w:rPr>
              <w:t>UAB „Lukrida“</w:t>
            </w: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638A2E3A" w14:textId="77777777" w:rsidR="003675DA" w:rsidRDefault="008420FB" w:rsidP="008420FB">
            <w:pPr>
              <w:tabs>
                <w:tab w:val="left" w:pos="3615"/>
              </w:tabs>
              <w:rPr>
                <w:rFonts w:cstheme="minorHAnsi"/>
                <w:color w:val="000000"/>
              </w:rPr>
            </w:pPr>
            <w:r>
              <w:rPr>
                <w:rFonts w:cstheme="minorHAnsi"/>
                <w:color w:val="000000"/>
              </w:rPr>
              <w:tab/>
            </w:r>
          </w:p>
          <w:p w14:paraId="3BF21015" w14:textId="176E7F05" w:rsidR="008420FB" w:rsidRPr="003675DA" w:rsidRDefault="008420FB" w:rsidP="008420FB">
            <w:pPr>
              <w:tabs>
                <w:tab w:val="left" w:pos="3615"/>
              </w:tabs>
              <w:rPr>
                <w:rFonts w:cstheme="minorHAnsi"/>
                <w:color w:val="000000"/>
              </w:rPr>
            </w:pPr>
            <w:r>
              <w:rPr>
                <w:rFonts w:eastAsia="Calibri" w:cstheme="minorHAnsi"/>
                <w:bCs/>
              </w:rPr>
              <w:t>E-2 Garo katilo Nr. 4 (toliau GK4) lakiųjų pelenų elektrostatinio filtro (toliau – ESF) hoperių vožtuvai 2 vnt. su pneumo pavaromis pirkime</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4C974204"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6325E7">
        <w:rPr>
          <w:rFonts w:cstheme="minorHAnsi"/>
          <w:color w:val="FF0000"/>
        </w:rPr>
        <w:t>Speciali</w:t>
      </w:r>
      <w:r w:rsidR="00F24F5D">
        <w:rPr>
          <w:rFonts w:cstheme="minorHAnsi"/>
          <w:color w:val="FF0000"/>
        </w:rPr>
        <w:t>osiose sąlygose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46F6A119"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0A9663FC" w:rsidR="00834B76" w:rsidRPr="00813A94" w:rsidRDefault="00834B76" w:rsidP="00834B76">
    <w:pPr>
      <w:spacing w:after="0" w:line="240" w:lineRule="auto"/>
      <w:jc w:val="both"/>
      <w:rPr>
        <w:rFonts w:cstheme="minorHAnsi"/>
        <w:b/>
        <w:bCs/>
      </w:rPr>
    </w:pPr>
    <w:r>
      <w:t>202</w:t>
    </w:r>
    <w:r w:rsidR="003D33E9">
      <w:t>5</w:t>
    </w:r>
    <w:r>
      <w:t xml:space="preserve"> m. </w:t>
    </w:r>
    <w:r>
      <w:tab/>
    </w:r>
    <w:r>
      <w:tab/>
    </w:r>
    <w:r>
      <w:tab/>
    </w:r>
    <w:r>
      <w:tab/>
    </w:r>
    <w:r>
      <w:tab/>
      <w:t xml:space="preserve">               </w:t>
    </w:r>
    <w:r w:rsidRPr="00813A94">
      <w:rPr>
        <w:rFonts w:cstheme="minorHAnsi"/>
        <w:b/>
        <w:bCs/>
      </w:rPr>
      <w:t xml:space="preserve">Priedas Nr. </w:t>
    </w:r>
    <w:r w:rsidR="003D33E9">
      <w:rPr>
        <w:rFonts w:cstheme="minorHAnsi"/>
        <w:b/>
        <w:bCs/>
      </w:rPr>
      <w:t>5</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014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44D33"/>
    <w:rsid w:val="002B42F1"/>
    <w:rsid w:val="00305315"/>
    <w:rsid w:val="003073A6"/>
    <w:rsid w:val="00307C1E"/>
    <w:rsid w:val="00311C8C"/>
    <w:rsid w:val="00334857"/>
    <w:rsid w:val="00353CFE"/>
    <w:rsid w:val="003675DA"/>
    <w:rsid w:val="00390B67"/>
    <w:rsid w:val="003A0E50"/>
    <w:rsid w:val="003D33E9"/>
    <w:rsid w:val="003F4FD0"/>
    <w:rsid w:val="00410B0F"/>
    <w:rsid w:val="00421072"/>
    <w:rsid w:val="00465131"/>
    <w:rsid w:val="00465F5E"/>
    <w:rsid w:val="00496C6C"/>
    <w:rsid w:val="004D5590"/>
    <w:rsid w:val="00513F10"/>
    <w:rsid w:val="005140EE"/>
    <w:rsid w:val="005363F9"/>
    <w:rsid w:val="00567E0A"/>
    <w:rsid w:val="00570C40"/>
    <w:rsid w:val="005B3561"/>
    <w:rsid w:val="005C54C0"/>
    <w:rsid w:val="005E703E"/>
    <w:rsid w:val="006148B0"/>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420FB"/>
    <w:rsid w:val="008A0588"/>
    <w:rsid w:val="008C44C4"/>
    <w:rsid w:val="008D2C52"/>
    <w:rsid w:val="008F21AD"/>
    <w:rsid w:val="008F77F1"/>
    <w:rsid w:val="0093670B"/>
    <w:rsid w:val="00944A9E"/>
    <w:rsid w:val="009669DA"/>
    <w:rsid w:val="009D4268"/>
    <w:rsid w:val="009F4514"/>
    <w:rsid w:val="00A41F35"/>
    <w:rsid w:val="00A54909"/>
    <w:rsid w:val="00B04FE6"/>
    <w:rsid w:val="00C025E7"/>
    <w:rsid w:val="00C04084"/>
    <w:rsid w:val="00C10BC5"/>
    <w:rsid w:val="00C26876"/>
    <w:rsid w:val="00C4250D"/>
    <w:rsid w:val="00C56DA2"/>
    <w:rsid w:val="00D969BA"/>
    <w:rsid w:val="00DB65D4"/>
    <w:rsid w:val="00E01DA1"/>
    <w:rsid w:val="00E5687C"/>
    <w:rsid w:val="00E80F03"/>
    <w:rsid w:val="00EC7764"/>
    <w:rsid w:val="00EE1A5C"/>
    <w:rsid w:val="00EF25CC"/>
    <w:rsid w:val="00F24F5D"/>
    <w:rsid w:val="00F43F32"/>
    <w:rsid w:val="00F54A03"/>
    <w:rsid w:val="00F95E67"/>
    <w:rsid w:val="00FB45F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3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753</Words>
  <Characters>4294</Characters>
  <Application>Microsoft Office Word</Application>
  <DocSecurity>0</DocSecurity>
  <Lines>35</Lines>
  <Paragraphs>10</Paragraphs>
  <ScaleCrop>false</ScaleCrop>
  <Company>AB Vilniaus silumos tinklai</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Simona Lebednykienė</cp:lastModifiedBy>
  <cp:revision>81</cp:revision>
  <dcterms:created xsi:type="dcterms:W3CDTF">2023-01-29T17:26:00Z</dcterms:created>
  <dcterms:modified xsi:type="dcterms:W3CDTF">2025-04-10T10:53:00Z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