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05C5967" w:rsidR="00085A74" w:rsidRPr="00D00AD9" w:rsidRDefault="00085A74" w:rsidP="004F6BF8">
      <w:pPr>
        <w:pStyle w:val="Sraopastraipa"/>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E33FF3">
        <w:rPr>
          <w:rFonts w:cs="Arial"/>
          <w:sz w:val="20"/>
          <w:szCs w:val="20"/>
        </w:rPr>
        <w:t>Verslo saugos</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5AA3646E" w:rsidR="00085A74" w:rsidRPr="00D00AD9" w:rsidRDefault="004F6BF8" w:rsidP="004F6BF8">
      <w:pPr>
        <w:pStyle w:val="Sraopastraipa"/>
        <w:numPr>
          <w:ilvl w:val="1"/>
          <w:numId w:val="1"/>
        </w:numPr>
        <w:tabs>
          <w:tab w:val="left" w:pos="426"/>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bookmarkStart w:id="0" w:name="_Hlk31698696"/>
      <w:sdt>
        <w:sdtPr>
          <w:id w:val="1799497722"/>
          <w:placeholder>
            <w:docPart w:val="32AA333970B34B62953FD2DFFDB31C98"/>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UAB Vilniaus kogeneracinė jėgainė" w:value="UAB Vilniaus kogeneracinė jėgainė"/>
            <w:listItem w:displayText="UAB „VĖJO GŪSIS“" w:value="UAB „VĖJO GŪSIS“"/>
            <w:listItem w:displayText="UAB „VĖJO VATAS“" w:value="UAB „VĖJO VATAS“"/>
            <w:listItem w:displayText="UAB „EURAKRAS“" w:value="UAB „EURAKRAS“"/>
            <w:listItem w:displayText="Nacionalinė Lietuvos elektros asociacija" w:value="Nacionalinė Lietuvos elektros asociacija"/>
          </w:dropDownList>
        </w:sdtPr>
        <w:sdtEndPr/>
        <w:sdtContent>
          <w:r w:rsidR="00A50F75">
            <w:t>AB „Ignitis gamyba”</w:t>
          </w:r>
        </w:sdtContent>
      </w:sdt>
      <w:bookmarkEnd w:id="0"/>
      <w:r w:rsidR="002D413F">
        <w:rPr>
          <w:rFonts w:cs="Arial"/>
          <w:sz w:val="20"/>
          <w:szCs w:val="20"/>
        </w:rPr>
        <w:t>.</w:t>
      </w:r>
      <w:r w:rsidR="001225A0">
        <w:rPr>
          <w:rFonts w:cs="Arial"/>
          <w:sz w:val="20"/>
          <w:szCs w:val="20"/>
        </w:rPr>
        <w:t xml:space="preserve"> </w:t>
      </w:r>
    </w:p>
    <w:p w14:paraId="637E3650" w14:textId="2E3659FE" w:rsidR="00085A74" w:rsidRPr="00D00AD9" w:rsidRDefault="00085A74" w:rsidP="004F6BF8">
      <w:pPr>
        <w:pStyle w:val="Sraopastraipa"/>
        <w:numPr>
          <w:ilvl w:val="1"/>
          <w:numId w:val="1"/>
        </w:numPr>
        <w:tabs>
          <w:tab w:val="left" w:pos="426"/>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4F6BF8">
      <w:pPr>
        <w:pStyle w:val="Sraopastraipa"/>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4F6BF8">
      <w:pPr>
        <w:pStyle w:val="Sraopastraipa"/>
        <w:numPr>
          <w:ilvl w:val="1"/>
          <w:numId w:val="1"/>
        </w:numPr>
        <w:tabs>
          <w:tab w:val="left" w:pos="426"/>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68022186" w:rsidR="004020B0" w:rsidRDefault="00430ED8" w:rsidP="00430ED8">
      <w:pPr>
        <w:pStyle w:val="Sraopastraipa"/>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A50F75">
        <w:rPr>
          <w:rFonts w:cs="Arial"/>
          <w:b/>
          <w:sz w:val="20"/>
          <w:szCs w:val="20"/>
        </w:rPr>
        <w:t>40 000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1BA42386" w:rsidR="004020B0" w:rsidRDefault="004020B0" w:rsidP="004020B0">
      <w:pPr>
        <w:pStyle w:val="Sraopastraipa"/>
        <w:numPr>
          <w:ilvl w:val="1"/>
          <w:numId w:val="1"/>
        </w:numPr>
        <w:tabs>
          <w:tab w:val="left" w:pos="426"/>
        </w:tabs>
        <w:spacing w:before="60" w:after="60"/>
        <w:ind w:left="0" w:firstLine="0"/>
        <w:jc w:val="both"/>
        <w:rPr>
          <w:rFonts w:cs="Arial"/>
          <w:bCs/>
          <w:sz w:val="20"/>
          <w:szCs w:val="20"/>
        </w:rPr>
      </w:pPr>
      <w:r w:rsidRPr="004020B0">
        <w:rPr>
          <w:rFonts w:cs="Arial"/>
          <w:bCs/>
          <w:sz w:val="20"/>
          <w:szCs w:val="20"/>
        </w:rPr>
        <w:t>Galutinė kaina, kurią Bendrovė sumokės Tiekėjui, priklausys vykdant sutartį nuo Pirkėjo pagal Bendrovės poreikį užsakytų (su Užsakovu suderintų) ir Tiekėjo faktiškai suteiktų Paslaugų kiekio (apimties), tačiau neviršijant maksimalios pirkimo (sutarties) vertės, nurodytos Techninės specifikacijos 3.1. punkte.</w:t>
      </w:r>
    </w:p>
    <w:p w14:paraId="02F37BF0" w14:textId="77777777" w:rsidR="004F6BF8" w:rsidRPr="004020B0" w:rsidRDefault="004F6BF8" w:rsidP="004F6BF8">
      <w:pPr>
        <w:pStyle w:val="Sraopastraipa"/>
        <w:tabs>
          <w:tab w:val="left" w:pos="426"/>
        </w:tabs>
        <w:spacing w:before="60" w:after="60"/>
        <w:ind w:left="0" w:firstLine="0"/>
        <w:jc w:val="both"/>
        <w:rPr>
          <w:rFonts w:cs="Arial"/>
          <w:bCs/>
          <w:sz w:val="20"/>
          <w:szCs w:val="20"/>
        </w:rPr>
      </w:pPr>
    </w:p>
    <w:p w14:paraId="57F2123B" w14:textId="5D54FC1F" w:rsidR="002B4BC7" w:rsidRDefault="00E33FF3" w:rsidP="00F60683">
      <w:pPr>
        <w:pStyle w:val="Sraopastraipa"/>
        <w:numPr>
          <w:ilvl w:val="1"/>
          <w:numId w:val="1"/>
        </w:numPr>
        <w:tabs>
          <w:tab w:val="left" w:pos="284"/>
        </w:tabs>
        <w:spacing w:before="60" w:after="60"/>
        <w:ind w:left="426" w:hanging="426"/>
        <w:jc w:val="both"/>
        <w:rPr>
          <w:rFonts w:cs="Arial"/>
          <w:b/>
          <w:bCs/>
          <w:sz w:val="20"/>
          <w:szCs w:val="20"/>
        </w:rPr>
      </w:pPr>
      <w:r>
        <w:rPr>
          <w:rFonts w:cs="Arial"/>
          <w:b/>
          <w:bCs/>
          <w:sz w:val="20"/>
          <w:szCs w:val="20"/>
        </w:rPr>
        <w:t>Verslo saugos</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4F6BF8">
        <w:trPr>
          <w:trHeight w:val="330"/>
        </w:trPr>
        <w:tc>
          <w:tcPr>
            <w:tcW w:w="500" w:type="dxa"/>
            <w:vAlign w:val="center"/>
          </w:tcPr>
          <w:p w14:paraId="5A6126A7" w14:textId="77777777" w:rsidR="000819AB" w:rsidRPr="00600808" w:rsidRDefault="000819AB" w:rsidP="004F6BF8">
            <w:pPr>
              <w:ind w:firstLine="0"/>
              <w:jc w:val="center"/>
              <w:rPr>
                <w:rFonts w:cs="Arial"/>
                <w:bCs/>
                <w:sz w:val="20"/>
                <w:szCs w:val="20"/>
                <w:lang w:val="en-US"/>
              </w:rPr>
            </w:pPr>
            <w:r w:rsidRPr="00600808">
              <w:rPr>
                <w:rFonts w:cs="Arial"/>
                <w:bCs/>
                <w:sz w:val="20"/>
                <w:szCs w:val="20"/>
                <w:lang w:val="en-US"/>
              </w:rPr>
              <w:t>1.</w:t>
            </w:r>
          </w:p>
        </w:tc>
        <w:tc>
          <w:tcPr>
            <w:tcW w:w="5488" w:type="dxa"/>
            <w:shd w:val="clear" w:color="auto" w:fill="auto"/>
            <w:vAlign w:val="center"/>
          </w:tcPr>
          <w:p w14:paraId="5C14B699" w14:textId="383B4880" w:rsidR="000819AB" w:rsidRPr="00600808" w:rsidRDefault="00E33FF3" w:rsidP="00600808">
            <w:pPr>
              <w:rPr>
                <w:rFonts w:cs="Arial"/>
                <w:bCs/>
                <w:sz w:val="20"/>
                <w:szCs w:val="20"/>
              </w:rPr>
            </w:pPr>
            <w:r>
              <w:rPr>
                <w:rFonts w:cs="Arial"/>
                <w:bCs/>
                <w:sz w:val="20"/>
                <w:szCs w:val="20"/>
              </w:rPr>
              <w:t>Verslo saugos</w:t>
            </w:r>
            <w:r w:rsidR="000819AB" w:rsidRPr="00600808">
              <w:rPr>
                <w:rFonts w:cs="Arial"/>
                <w:bCs/>
                <w:sz w:val="20"/>
                <w:szCs w:val="20"/>
              </w:rPr>
              <w:t xml:space="preserve"> paslaugos</w:t>
            </w:r>
          </w:p>
        </w:tc>
        <w:tc>
          <w:tcPr>
            <w:tcW w:w="3651" w:type="dxa"/>
            <w:shd w:val="clear" w:color="auto" w:fill="auto"/>
            <w:vAlign w:val="center"/>
          </w:tcPr>
          <w:p w14:paraId="21ADF4EF" w14:textId="66324A6D" w:rsidR="000819AB" w:rsidRPr="0006424C" w:rsidRDefault="000819AB" w:rsidP="005C43BE">
            <w:pPr>
              <w:jc w:val="center"/>
              <w:rPr>
                <w:rFonts w:cs="Arial"/>
                <w:bCs/>
                <w:sz w:val="20"/>
                <w:szCs w:val="20"/>
                <w:vertAlign w:val="superscript"/>
              </w:rPr>
            </w:pPr>
            <w:r w:rsidRPr="00600808">
              <w:rPr>
                <w:rFonts w:cs="Arial"/>
                <w:bCs/>
                <w:sz w:val="20"/>
                <w:szCs w:val="20"/>
              </w:rPr>
              <w:t>Valanda</w:t>
            </w:r>
          </w:p>
        </w:tc>
      </w:tr>
    </w:tbl>
    <w:p w14:paraId="22C626BB" w14:textId="77777777" w:rsidR="004F6BF8" w:rsidRDefault="00FC4D0B" w:rsidP="004F6BF8">
      <w:pPr>
        <w:pStyle w:val="Sraopastraipa"/>
        <w:numPr>
          <w:ilvl w:val="1"/>
          <w:numId w:val="1"/>
        </w:numPr>
        <w:tabs>
          <w:tab w:val="left" w:pos="426"/>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Verslo saugos</w:t>
      </w:r>
      <w:r w:rsidRPr="003E1F23">
        <w:rPr>
          <w:rFonts w:cs="Arial"/>
          <w:bCs/>
          <w:sz w:val="20"/>
          <w:szCs w:val="20"/>
        </w:rPr>
        <w:t xml:space="preserve"> paslaugas</w:t>
      </w:r>
      <w:r w:rsidR="00E33FF3">
        <w:rPr>
          <w:rFonts w:cs="Arial"/>
          <w:bCs/>
          <w:sz w:val="20"/>
          <w:szCs w:val="20"/>
        </w:rPr>
        <w:t>.</w:t>
      </w:r>
    </w:p>
    <w:p w14:paraId="27F6255E" w14:textId="5D7669D0" w:rsidR="00BD35F8" w:rsidRPr="004F6BF8" w:rsidRDefault="00BD35F8" w:rsidP="004F6BF8">
      <w:pPr>
        <w:pStyle w:val="Sraopastraipa"/>
        <w:numPr>
          <w:ilvl w:val="1"/>
          <w:numId w:val="1"/>
        </w:numPr>
        <w:tabs>
          <w:tab w:val="left" w:pos="426"/>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Verslo saugos</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tbl>
      <w:tblPr>
        <w:tblW w:w="964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4F6BF8">
        <w:trPr>
          <w:trHeight w:val="2240"/>
        </w:trPr>
        <w:tc>
          <w:tcPr>
            <w:tcW w:w="96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3" w:type="dxa"/>
              <w:left w:w="13" w:type="dxa"/>
              <w:bottom w:w="0" w:type="dxa"/>
              <w:right w:w="13" w:type="dxa"/>
            </w:tcMar>
            <w:vAlign w:val="bottom"/>
            <w:hideMark/>
          </w:tcPr>
          <w:p w14:paraId="603648B4" w14:textId="415FA490" w:rsidR="003E1F23" w:rsidRPr="004F6BF8" w:rsidRDefault="00E33FF3" w:rsidP="004F6BF8">
            <w:pPr>
              <w:pStyle w:val="Sraopastraipa"/>
              <w:numPr>
                <w:ilvl w:val="2"/>
                <w:numId w:val="1"/>
              </w:numPr>
              <w:tabs>
                <w:tab w:val="left" w:pos="683"/>
              </w:tabs>
              <w:ind w:left="0" w:firstLine="0"/>
              <w:rPr>
                <w:rFonts w:eastAsia="Times New Roman" w:cs="Arial"/>
                <w:sz w:val="20"/>
                <w:szCs w:val="20"/>
                <w:lang w:eastAsia="lt-LT"/>
              </w:rPr>
            </w:pPr>
            <w:r w:rsidRPr="004F6BF8">
              <w:rPr>
                <w:rFonts w:cs="Arial"/>
                <w:b/>
                <w:sz w:val="20"/>
                <w:szCs w:val="20"/>
              </w:rPr>
              <w:t>Verslo saugos</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Style w:val="Lentelstinklelis"/>
              <w:tblW w:w="9613" w:type="dxa"/>
              <w:tblLook w:val="0600" w:firstRow="0" w:lastRow="0" w:firstColumn="0" w:lastColumn="0" w:noHBand="1" w:noVBand="1"/>
            </w:tblPr>
            <w:tblGrid>
              <w:gridCol w:w="517"/>
              <w:gridCol w:w="1970"/>
              <w:gridCol w:w="2250"/>
              <w:gridCol w:w="4876"/>
            </w:tblGrid>
            <w:tr w:rsidR="00E33FF3" w:rsidRPr="00E33FF3" w14:paraId="2BEA877C" w14:textId="77777777" w:rsidTr="0B10B446">
              <w:trPr>
                <w:trHeight w:val="599"/>
              </w:trPr>
              <w:tc>
                <w:tcPr>
                  <w:tcW w:w="400" w:type="dxa"/>
                  <w:shd w:val="clear" w:color="auto" w:fill="BFBFBF" w:themeFill="background1" w:themeFillShade="BF"/>
                  <w:vAlign w:val="center"/>
                  <w:hideMark/>
                </w:tcPr>
                <w:p w14:paraId="4AB76D3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Eil. Nr.</w:t>
                  </w:r>
                </w:p>
              </w:tc>
              <w:tc>
                <w:tcPr>
                  <w:tcW w:w="1984" w:type="dxa"/>
                  <w:shd w:val="clear" w:color="auto" w:fill="BFBFBF" w:themeFill="background1" w:themeFillShade="BF"/>
                  <w:vAlign w:val="center"/>
                  <w:hideMark/>
                </w:tcPr>
                <w:p w14:paraId="79E64D6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Paslauga</w:t>
                  </w:r>
                </w:p>
              </w:tc>
              <w:tc>
                <w:tcPr>
                  <w:tcW w:w="2268" w:type="dxa"/>
                  <w:shd w:val="clear" w:color="auto" w:fill="BFBFBF" w:themeFill="background1" w:themeFillShade="BF"/>
                  <w:vAlign w:val="center"/>
                  <w:hideMark/>
                </w:tcPr>
                <w:p w14:paraId="1334EBAC" w14:textId="569982E4"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detalizacija</w:t>
                  </w:r>
                </w:p>
              </w:tc>
              <w:tc>
                <w:tcPr>
                  <w:tcW w:w="4961" w:type="dxa"/>
                  <w:shd w:val="clear" w:color="auto" w:fill="BFBFBF" w:themeFill="background1" w:themeFillShade="BF"/>
                  <w:vAlign w:val="center"/>
                  <w:hideMark/>
                </w:tcPr>
                <w:p w14:paraId="7041EB3D"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aprašas</w:t>
                  </w:r>
                </w:p>
              </w:tc>
            </w:tr>
            <w:tr w:rsidR="00E33FF3" w:rsidRPr="00E33FF3" w14:paraId="3F62CC91" w14:textId="77777777" w:rsidTr="0B10B446">
              <w:trPr>
                <w:trHeight w:val="541"/>
              </w:trPr>
              <w:tc>
                <w:tcPr>
                  <w:tcW w:w="400" w:type="dxa"/>
                  <w:vMerge w:val="restart"/>
                  <w:vAlign w:val="center"/>
                  <w:hideMark/>
                </w:tcPr>
                <w:p w14:paraId="5F5C71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1</w:t>
                  </w:r>
                </w:p>
              </w:tc>
              <w:tc>
                <w:tcPr>
                  <w:tcW w:w="1984" w:type="dxa"/>
                  <w:vMerge w:val="restart"/>
                  <w:vAlign w:val="center"/>
                  <w:hideMark/>
                </w:tcPr>
                <w:p w14:paraId="787AD99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Privačių interesų valdymas</w:t>
                  </w:r>
                </w:p>
              </w:tc>
              <w:tc>
                <w:tcPr>
                  <w:tcW w:w="2268" w:type="dxa"/>
                  <w:vAlign w:val="center"/>
                  <w:hideMark/>
                </w:tcPr>
                <w:p w14:paraId="1BFB835A" w14:textId="011FDAB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 xml:space="preserve">Privačių interesų deklaravimo </w:t>
                  </w:r>
                  <w:r w:rsidR="004F6BF8">
                    <w:rPr>
                      <w:rFonts w:eastAsia="Times New Roman" w:cs="Arial"/>
                      <w:sz w:val="20"/>
                      <w:szCs w:val="20"/>
                      <w:lang w:eastAsia="lt-LT"/>
                    </w:rPr>
                    <w:t xml:space="preserve">(PID) </w:t>
                  </w:r>
                  <w:r w:rsidRPr="00E33FF3">
                    <w:rPr>
                      <w:rFonts w:eastAsia="Times New Roman" w:cs="Arial"/>
                      <w:sz w:val="20"/>
                      <w:szCs w:val="20"/>
                      <w:lang w:eastAsia="lt-LT"/>
                    </w:rPr>
                    <w:t>valdymas</w:t>
                  </w:r>
                </w:p>
              </w:tc>
              <w:tc>
                <w:tcPr>
                  <w:tcW w:w="4961" w:type="dxa"/>
                  <w:vAlign w:val="center"/>
                  <w:hideMark/>
                </w:tcPr>
                <w:p w14:paraId="1AEADE6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PID sistemos administravimas, PID ir PINREG pateiktų duomenų kontrolė, privalančiųjų deklaruoti privačius interesus VTEK sąrašų sudarymas.</w:t>
                  </w:r>
                </w:p>
              </w:tc>
            </w:tr>
            <w:tr w:rsidR="00E33FF3" w:rsidRPr="00E33FF3" w14:paraId="2390F910" w14:textId="77777777" w:rsidTr="0B10B446">
              <w:trPr>
                <w:trHeight w:val="307"/>
              </w:trPr>
              <w:tc>
                <w:tcPr>
                  <w:tcW w:w="400" w:type="dxa"/>
                  <w:vMerge/>
                  <w:vAlign w:val="center"/>
                  <w:hideMark/>
                </w:tcPr>
                <w:p w14:paraId="4C4EA48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00A9E52"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32686A02"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administravimas</w:t>
                  </w:r>
                </w:p>
              </w:tc>
              <w:tc>
                <w:tcPr>
                  <w:tcW w:w="4961" w:type="dxa"/>
                  <w:vAlign w:val="center"/>
                  <w:hideMark/>
                </w:tcPr>
                <w:p w14:paraId="6AB7ADBC"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registravimas, konsultavimas, privalomų rekomendacijų teikimas.</w:t>
                  </w:r>
                </w:p>
              </w:tc>
            </w:tr>
            <w:tr w:rsidR="00E33FF3" w:rsidRPr="00E33FF3" w14:paraId="155E69C8" w14:textId="77777777" w:rsidTr="0B10B446">
              <w:trPr>
                <w:trHeight w:val="541"/>
              </w:trPr>
              <w:tc>
                <w:tcPr>
                  <w:tcW w:w="400" w:type="dxa"/>
                  <w:vMerge w:val="restart"/>
                  <w:vAlign w:val="center"/>
                  <w:hideMark/>
                </w:tcPr>
                <w:p w14:paraId="0BAFA6A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2</w:t>
                  </w:r>
                </w:p>
              </w:tc>
              <w:tc>
                <w:tcPr>
                  <w:tcW w:w="1984" w:type="dxa"/>
                  <w:vMerge w:val="restart"/>
                  <w:vAlign w:val="center"/>
                  <w:hideMark/>
                </w:tcPr>
                <w:p w14:paraId="6C98B48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aplinkos kūrimas</w:t>
                  </w:r>
                </w:p>
              </w:tc>
              <w:tc>
                <w:tcPr>
                  <w:tcW w:w="2268" w:type="dxa"/>
                  <w:vAlign w:val="center"/>
                  <w:hideMark/>
                </w:tcPr>
                <w:p w14:paraId="3952557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vadybos sistemos atitikties užtikrinimas</w:t>
                  </w:r>
                </w:p>
              </w:tc>
              <w:tc>
                <w:tcPr>
                  <w:tcW w:w="4961" w:type="dxa"/>
                  <w:vAlign w:val="center"/>
                  <w:hideMark/>
                </w:tcPr>
                <w:p w14:paraId="26A4A519"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AKVS efektyvaus veikimo užtikrinimas, auditavimo organizavimas, audito rekomendacijų įgyvendinimas, dokumentų, ataskaitų rengimas, vadovybės gairių įgyvendinimas, nustatomos ir laiku taisomos neatitiktys.</w:t>
                  </w:r>
                </w:p>
              </w:tc>
            </w:tr>
            <w:tr w:rsidR="00E33FF3" w:rsidRPr="00E33FF3" w14:paraId="6A34D5A0" w14:textId="77777777" w:rsidTr="0B10B446">
              <w:trPr>
                <w:trHeight w:val="541"/>
              </w:trPr>
              <w:tc>
                <w:tcPr>
                  <w:tcW w:w="400" w:type="dxa"/>
                  <w:vMerge/>
                  <w:vAlign w:val="center"/>
                  <w:hideMark/>
                </w:tcPr>
                <w:p w14:paraId="620CCBE3"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FF6A014"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367E63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Korupcijos rizikos valdymas</w:t>
                  </w:r>
                </w:p>
              </w:tc>
              <w:tc>
                <w:tcPr>
                  <w:tcW w:w="4961" w:type="dxa"/>
                  <w:vAlign w:val="center"/>
                  <w:hideMark/>
                </w:tcPr>
                <w:p w14:paraId="53F7F31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Korupcijos rizikos vertinimas pagal AKVS standartą ir FINMIN reguliavimą, korupcijos rizikos registro sudarymas, rizikos valdymo priemonių planavimas bei vykdymas / vykdymo priežiūra. </w:t>
                  </w:r>
                </w:p>
              </w:tc>
            </w:tr>
            <w:tr w:rsidR="00E33FF3" w:rsidRPr="00E33FF3" w14:paraId="4468B900" w14:textId="77777777" w:rsidTr="0B10B446">
              <w:trPr>
                <w:trHeight w:val="307"/>
              </w:trPr>
              <w:tc>
                <w:tcPr>
                  <w:tcW w:w="400" w:type="dxa"/>
                  <w:vMerge/>
                  <w:vAlign w:val="center"/>
                  <w:hideMark/>
                </w:tcPr>
                <w:p w14:paraId="07F43E09"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FFC89C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63D8A9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Pasitikėjimo linijos administravimas</w:t>
                  </w:r>
                </w:p>
              </w:tc>
              <w:tc>
                <w:tcPr>
                  <w:tcW w:w="4961" w:type="dxa"/>
                  <w:vAlign w:val="center"/>
                  <w:hideMark/>
                </w:tcPr>
                <w:p w14:paraId="11FA24F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Pasitikėjimo linija gaunamų pranešimų vertinimas, administravimas, analizė, atsakymų teikimas.</w:t>
                  </w:r>
                </w:p>
              </w:tc>
            </w:tr>
            <w:tr w:rsidR="00E33FF3" w:rsidRPr="00E33FF3" w14:paraId="03474B06" w14:textId="77777777" w:rsidTr="0B10B446">
              <w:trPr>
                <w:trHeight w:val="541"/>
              </w:trPr>
              <w:tc>
                <w:tcPr>
                  <w:tcW w:w="400" w:type="dxa"/>
                  <w:vMerge/>
                  <w:vAlign w:val="center"/>
                  <w:hideMark/>
                </w:tcPr>
                <w:p w14:paraId="008E015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62D6B70E"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397A5D"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Dovanų ir svetingumo valdymas</w:t>
                  </w:r>
                </w:p>
              </w:tc>
              <w:tc>
                <w:tcPr>
                  <w:tcW w:w="4961" w:type="dxa"/>
                  <w:vAlign w:val="center"/>
                  <w:hideMark/>
                </w:tcPr>
                <w:p w14:paraId="521824C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Dovanų registro sistemos veikimas, pateiktų duomenų kontrolė, dovanų vertinimo komisijos darbo organizavimas, dovanų vertinimas.</w:t>
                  </w:r>
                </w:p>
              </w:tc>
            </w:tr>
            <w:tr w:rsidR="00E33FF3" w:rsidRPr="00E33FF3" w14:paraId="07144A27" w14:textId="77777777" w:rsidTr="0B10B446">
              <w:trPr>
                <w:trHeight w:val="541"/>
              </w:trPr>
              <w:tc>
                <w:tcPr>
                  <w:tcW w:w="400" w:type="dxa"/>
                  <w:vMerge/>
                  <w:vAlign w:val="center"/>
                  <w:hideMark/>
                </w:tcPr>
                <w:p w14:paraId="6115D42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D78FE7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45C6F658"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Viešųjų pirkimų ir projektų stebėsena</w:t>
                  </w:r>
                </w:p>
              </w:tc>
              <w:tc>
                <w:tcPr>
                  <w:tcW w:w="4961" w:type="dxa"/>
                  <w:vAlign w:val="center"/>
                  <w:hideMark/>
                </w:tcPr>
                <w:p w14:paraId="7CE5630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Viešųjų pirkimų ir projektų analizė, interesų konfliktų juose valdymas, pardavimų, nuomos, kitų sandorių stebėsena, pretenzijų vertinimas antikorupciniu požiūriu. </w:t>
                  </w:r>
                </w:p>
              </w:tc>
            </w:tr>
            <w:tr w:rsidR="00E33FF3" w:rsidRPr="00E33FF3" w14:paraId="6D31E02E" w14:textId="77777777" w:rsidTr="0B10B446">
              <w:trPr>
                <w:trHeight w:val="307"/>
              </w:trPr>
              <w:tc>
                <w:tcPr>
                  <w:tcW w:w="400" w:type="dxa"/>
                  <w:vMerge/>
                  <w:vAlign w:val="center"/>
                  <w:hideMark/>
                </w:tcPr>
                <w:p w14:paraId="306D688D"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050AD6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1953D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veiklos partnerių ir sandorių tikrinimas</w:t>
                  </w:r>
                </w:p>
              </w:tc>
              <w:tc>
                <w:tcPr>
                  <w:tcW w:w="4961" w:type="dxa"/>
                  <w:vAlign w:val="center"/>
                  <w:hideMark/>
                </w:tcPr>
                <w:p w14:paraId="00B2FA1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6F64D592" w14:textId="77777777" w:rsidTr="0B10B446">
              <w:trPr>
                <w:trHeight w:val="307"/>
              </w:trPr>
              <w:tc>
                <w:tcPr>
                  <w:tcW w:w="400" w:type="dxa"/>
                  <w:vMerge/>
                  <w:vAlign w:val="center"/>
                  <w:hideMark/>
                </w:tcPr>
                <w:p w14:paraId="2D724704"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41B1EA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F748B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kandidatų ir darbuotojų tikrinimas</w:t>
                  </w:r>
                </w:p>
              </w:tc>
              <w:tc>
                <w:tcPr>
                  <w:tcW w:w="4961" w:type="dxa"/>
                  <w:vAlign w:val="center"/>
                  <w:hideMark/>
                </w:tcPr>
                <w:p w14:paraId="651846E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72B10DF6" w14:textId="77777777" w:rsidTr="0B10B446">
              <w:trPr>
                <w:trHeight w:val="541"/>
              </w:trPr>
              <w:tc>
                <w:tcPr>
                  <w:tcW w:w="400" w:type="dxa"/>
                  <w:vMerge w:val="restart"/>
                  <w:vAlign w:val="center"/>
                  <w:hideMark/>
                </w:tcPr>
                <w:p w14:paraId="0A62311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3</w:t>
                  </w:r>
                </w:p>
              </w:tc>
              <w:tc>
                <w:tcPr>
                  <w:tcW w:w="1984" w:type="dxa"/>
                  <w:vMerge w:val="restart"/>
                  <w:vAlign w:val="center"/>
                  <w:hideMark/>
                </w:tcPr>
                <w:p w14:paraId="7401D3F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mokymai</w:t>
                  </w:r>
                </w:p>
              </w:tc>
              <w:tc>
                <w:tcPr>
                  <w:tcW w:w="2268" w:type="dxa"/>
                  <w:vAlign w:val="center"/>
                  <w:hideMark/>
                </w:tcPr>
                <w:p w14:paraId="052D5C5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Privalomų verslo saugos mokymų organizavimas</w:t>
                  </w:r>
                </w:p>
              </w:tc>
              <w:tc>
                <w:tcPr>
                  <w:tcW w:w="4961" w:type="dxa"/>
                  <w:vAlign w:val="center"/>
                  <w:hideMark/>
                </w:tcPr>
                <w:p w14:paraId="383C0C4F"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bei periodinis darbuotojų antikorupcinių žinių testavimas per e-platformą MOODLE.</w:t>
                  </w:r>
                </w:p>
              </w:tc>
            </w:tr>
            <w:tr w:rsidR="00E33FF3" w:rsidRPr="00E33FF3" w14:paraId="03293044" w14:textId="77777777" w:rsidTr="0B10B446">
              <w:trPr>
                <w:trHeight w:val="541"/>
              </w:trPr>
              <w:tc>
                <w:tcPr>
                  <w:tcW w:w="400" w:type="dxa"/>
                  <w:vMerge/>
                  <w:vAlign w:val="center"/>
                  <w:hideMark/>
                </w:tcPr>
                <w:p w14:paraId="0D71795A"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55492339"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1D91E0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Papildomi verslo saugos mokymų organizavimas</w:t>
                  </w:r>
                </w:p>
              </w:tc>
              <w:tc>
                <w:tcPr>
                  <w:tcW w:w="4961" w:type="dxa"/>
                  <w:vAlign w:val="center"/>
                  <w:hideMark/>
                </w:tcPr>
                <w:p w14:paraId="3161774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tikslinėms grupėms bei išorinių mokymų organizavimas.</w:t>
                  </w:r>
                </w:p>
              </w:tc>
            </w:tr>
            <w:tr w:rsidR="00E33FF3" w:rsidRPr="00E33FF3" w14:paraId="161C2DB2" w14:textId="77777777" w:rsidTr="0B10B446">
              <w:trPr>
                <w:trHeight w:val="307"/>
              </w:trPr>
              <w:tc>
                <w:tcPr>
                  <w:tcW w:w="400" w:type="dxa"/>
                  <w:vMerge w:val="restart"/>
                  <w:vAlign w:val="center"/>
                  <w:hideMark/>
                </w:tcPr>
                <w:p w14:paraId="5E2D5BE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4</w:t>
                  </w:r>
                </w:p>
              </w:tc>
              <w:tc>
                <w:tcPr>
                  <w:tcW w:w="1984" w:type="dxa"/>
                  <w:vMerge w:val="restart"/>
                  <w:vAlign w:val="center"/>
                  <w:hideMark/>
                </w:tcPr>
                <w:p w14:paraId="0D2B4D1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rizikų valdymas</w:t>
                  </w:r>
                </w:p>
              </w:tc>
              <w:tc>
                <w:tcPr>
                  <w:tcW w:w="2268" w:type="dxa"/>
                  <w:vAlign w:val="center"/>
                  <w:hideMark/>
                </w:tcPr>
                <w:p w14:paraId="51384CBB"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užtikrinimas</w:t>
                  </w:r>
                </w:p>
              </w:tc>
              <w:tc>
                <w:tcPr>
                  <w:tcW w:w="4961" w:type="dxa"/>
                  <w:vAlign w:val="center"/>
                  <w:hideMark/>
                </w:tcPr>
                <w:p w14:paraId="77E48DA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Prevenciniai pokalbiai, atvirų šaltinių analizė, konsultacijos verslo saugos klausimais.</w:t>
                  </w:r>
                </w:p>
              </w:tc>
            </w:tr>
            <w:tr w:rsidR="00E33FF3" w:rsidRPr="00E33FF3" w14:paraId="0A923B05" w14:textId="77777777" w:rsidTr="0B10B446">
              <w:trPr>
                <w:trHeight w:val="307"/>
              </w:trPr>
              <w:tc>
                <w:tcPr>
                  <w:tcW w:w="400" w:type="dxa"/>
                  <w:vMerge/>
                  <w:vAlign w:val="center"/>
                  <w:hideMark/>
                </w:tcPr>
                <w:p w14:paraId="5211C54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ECA16C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9D9806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Tyrimų ir pirminės informacijos vertinimo atlikimas</w:t>
                  </w:r>
                </w:p>
              </w:tc>
              <w:tc>
                <w:tcPr>
                  <w:tcW w:w="4961" w:type="dxa"/>
                  <w:vAlign w:val="center"/>
                  <w:hideMark/>
                </w:tcPr>
                <w:p w14:paraId="2820BA2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Informacijos rinkimas, analizė, vertinimas, sprendimų rengimas, rekomendacijų teikimas.</w:t>
                  </w:r>
                </w:p>
              </w:tc>
            </w:tr>
            <w:tr w:rsidR="00E33FF3" w:rsidRPr="00E33FF3" w14:paraId="5C230615" w14:textId="77777777" w:rsidTr="0B10B446">
              <w:trPr>
                <w:trHeight w:val="541"/>
              </w:trPr>
              <w:tc>
                <w:tcPr>
                  <w:tcW w:w="400" w:type="dxa"/>
                  <w:vMerge/>
                  <w:vAlign w:val="center"/>
                  <w:hideMark/>
                </w:tcPr>
                <w:p w14:paraId="26EEE1E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55DC99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A0A874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Fizinė objektų sauga ir nusikalstamų veikų prevencija</w:t>
                  </w:r>
                </w:p>
              </w:tc>
              <w:tc>
                <w:tcPr>
                  <w:tcW w:w="4961" w:type="dxa"/>
                  <w:vAlign w:val="center"/>
                  <w:hideMark/>
                </w:tcPr>
                <w:p w14:paraId="30F5AE0D" w14:textId="6A77D0D9" w:rsidR="00E33FF3" w:rsidRPr="00E33FF3" w:rsidRDefault="00E33FF3" w:rsidP="004F6BF8">
                  <w:pPr>
                    <w:ind w:firstLine="0"/>
                    <w:jc w:val="both"/>
                    <w:rPr>
                      <w:rFonts w:eastAsia="Times New Roman" w:cs="Arial"/>
                      <w:sz w:val="20"/>
                      <w:szCs w:val="20"/>
                      <w:lang w:eastAsia="lt-LT"/>
                    </w:rPr>
                  </w:pPr>
                  <w:r w:rsidRPr="0B10B446">
                    <w:rPr>
                      <w:rFonts w:eastAsia="Times New Roman" w:cs="Arial"/>
                      <w:sz w:val="20"/>
                      <w:szCs w:val="20"/>
                      <w:lang w:eastAsia="lt-LT"/>
                    </w:rPr>
                    <w:t>Fizinės saugos</w:t>
                  </w:r>
                  <w:r w:rsidR="641991E3" w:rsidRPr="0B10B446">
                    <w:rPr>
                      <w:rFonts w:eastAsia="Times New Roman" w:cs="Arial"/>
                      <w:sz w:val="20"/>
                      <w:szCs w:val="20"/>
                      <w:lang w:eastAsia="lt-LT"/>
                    </w:rPr>
                    <w:t xml:space="preserve"> reikalavimų</w:t>
                  </w:r>
                  <w:r w:rsidRPr="0B10B446">
                    <w:rPr>
                      <w:rFonts w:eastAsia="Times New Roman" w:cs="Arial"/>
                      <w:sz w:val="20"/>
                      <w:szCs w:val="20"/>
                      <w:lang w:eastAsia="lt-LT"/>
                    </w:rPr>
                    <w:t xml:space="preserve"> užtikrinimas, dokumentų rengimas, planų patikrinimas, pratybos, žalos įmonei prevencija (rangovų, subrangovų atliktų darbų patikros). </w:t>
                  </w:r>
                </w:p>
              </w:tc>
            </w:tr>
            <w:tr w:rsidR="00E33FF3" w:rsidRPr="00E33FF3" w14:paraId="78503CDD" w14:textId="77777777" w:rsidTr="0B10B446">
              <w:trPr>
                <w:trHeight w:val="307"/>
              </w:trPr>
              <w:tc>
                <w:tcPr>
                  <w:tcW w:w="400" w:type="dxa"/>
                  <w:vMerge/>
                  <w:vAlign w:val="center"/>
                  <w:hideMark/>
                </w:tcPr>
                <w:p w14:paraId="46AD39E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E9350CB"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48F81F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Informacijos saugumo užtikrinimas</w:t>
                  </w:r>
                </w:p>
              </w:tc>
              <w:tc>
                <w:tcPr>
                  <w:tcW w:w="4961" w:type="dxa"/>
                  <w:vAlign w:val="center"/>
                  <w:hideMark/>
                </w:tcPr>
                <w:p w14:paraId="4078E0AE"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Priemonių, skirtų konfidencialios ir įslaptintos informacijos saugumui užtikrinti, taikymas.</w:t>
                  </w:r>
                </w:p>
              </w:tc>
            </w:tr>
            <w:tr w:rsidR="00E33FF3" w:rsidRPr="00E33FF3" w14:paraId="546F02A7" w14:textId="77777777" w:rsidTr="0B10B446">
              <w:trPr>
                <w:trHeight w:val="614"/>
              </w:trPr>
              <w:tc>
                <w:tcPr>
                  <w:tcW w:w="400" w:type="dxa"/>
                  <w:vAlign w:val="center"/>
                  <w:hideMark/>
                </w:tcPr>
                <w:p w14:paraId="393BD95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5</w:t>
                  </w:r>
                </w:p>
              </w:tc>
              <w:tc>
                <w:tcPr>
                  <w:tcW w:w="1984" w:type="dxa"/>
                  <w:vAlign w:val="center"/>
                  <w:hideMark/>
                </w:tcPr>
                <w:p w14:paraId="480D4CD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2268" w:type="dxa"/>
                  <w:vAlign w:val="center"/>
                  <w:hideMark/>
                </w:tcPr>
                <w:p w14:paraId="4149F8C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4961" w:type="dxa"/>
                  <w:vAlign w:val="center"/>
                  <w:hideMark/>
                </w:tcPr>
                <w:p w14:paraId="4DDA8D6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Kitų verslo saugos paslaugos klausimų valdymas, organizavimas.</w:t>
                  </w:r>
                </w:p>
              </w:tc>
            </w:tr>
          </w:tbl>
          <w:p w14:paraId="368AF13B" w14:textId="0B55337D" w:rsidR="00E33FF3" w:rsidRDefault="00E33FF3" w:rsidP="00E156DD">
            <w:pPr>
              <w:ind w:firstLine="0"/>
              <w:rPr>
                <w:rFonts w:eastAsia="Times New Roman" w:cs="Arial"/>
                <w:sz w:val="20"/>
                <w:szCs w:val="20"/>
                <w:lang w:eastAsia="lt-LT"/>
              </w:rPr>
            </w:pPr>
          </w:p>
          <w:p w14:paraId="654CC6F8" w14:textId="6849718F" w:rsidR="00833A1B" w:rsidRPr="004F6BF8" w:rsidRDefault="00E33FF3" w:rsidP="004F6BF8">
            <w:pPr>
              <w:pStyle w:val="Sraopastraipa"/>
              <w:numPr>
                <w:ilvl w:val="2"/>
                <w:numId w:val="1"/>
              </w:numPr>
              <w:tabs>
                <w:tab w:val="left" w:pos="683"/>
              </w:tabs>
              <w:ind w:left="0" w:firstLine="0"/>
              <w:rPr>
                <w:sz w:val="20"/>
                <w:szCs w:val="20"/>
                <w:lang w:eastAsia="lt-LT"/>
              </w:rPr>
            </w:pPr>
            <w:r w:rsidRPr="004F6BF8">
              <w:rPr>
                <w:rFonts w:eastAsia="Times New Roman" w:cs="Arial"/>
                <w:sz w:val="20"/>
                <w:szCs w:val="20"/>
                <w:lang w:eastAsia="lt-LT"/>
              </w:rPr>
              <w:t>Verslo saugos</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bookmarkEnd w:id="2"/>
    </w:tbl>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Sraopastraipa"/>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F8B1E" w14:textId="77777777" w:rsidR="00831E0B" w:rsidRDefault="00831E0B" w:rsidP="00427694">
      <w:r>
        <w:separator/>
      </w:r>
    </w:p>
  </w:endnote>
  <w:endnote w:type="continuationSeparator" w:id="0">
    <w:p w14:paraId="4549EB79" w14:textId="77777777" w:rsidR="00831E0B" w:rsidRDefault="00831E0B"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EA705" w14:textId="77777777" w:rsidR="00831E0B" w:rsidRDefault="00831E0B" w:rsidP="00427694">
      <w:r>
        <w:separator/>
      </w:r>
    </w:p>
  </w:footnote>
  <w:footnote w:type="continuationSeparator" w:id="0">
    <w:p w14:paraId="6DC0B093" w14:textId="77777777" w:rsidR="00831E0B" w:rsidRDefault="00831E0B"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A52C6"/>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F4E67"/>
    <w:rsid w:val="001F57AC"/>
    <w:rsid w:val="00205616"/>
    <w:rsid w:val="00221B57"/>
    <w:rsid w:val="002359BD"/>
    <w:rsid w:val="002465CA"/>
    <w:rsid w:val="002528BA"/>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680A"/>
    <w:rsid w:val="004F48CE"/>
    <w:rsid w:val="004F56FB"/>
    <w:rsid w:val="004F57B0"/>
    <w:rsid w:val="004F6BF8"/>
    <w:rsid w:val="00506108"/>
    <w:rsid w:val="00513484"/>
    <w:rsid w:val="00516E0D"/>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1E0B"/>
    <w:rsid w:val="00833A1B"/>
    <w:rsid w:val="00840A92"/>
    <w:rsid w:val="00861FCC"/>
    <w:rsid w:val="00876051"/>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B21D0"/>
    <w:rsid w:val="009B224D"/>
    <w:rsid w:val="009E1CC2"/>
    <w:rsid w:val="009E40CD"/>
    <w:rsid w:val="00A059FC"/>
    <w:rsid w:val="00A162BE"/>
    <w:rsid w:val="00A27DB5"/>
    <w:rsid w:val="00A32204"/>
    <w:rsid w:val="00A37745"/>
    <w:rsid w:val="00A378FF"/>
    <w:rsid w:val="00A50F75"/>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styleId="Neapdorotaspaminjimas">
    <w:name w:val="Unresolved Mention"/>
    <w:basedOn w:val="Numatytasispastraiposriftas"/>
    <w:uiPriority w:val="99"/>
    <w:unhideWhenUsed/>
    <w:rsid w:val="00491C2D"/>
    <w:rPr>
      <w:color w:val="605E5C"/>
      <w:shd w:val="clear" w:color="auto" w:fill="E1DFDD"/>
    </w:rPr>
  </w:style>
  <w:style w:type="character" w:styleId="Paminjimas">
    <w:name w:val="Mention"/>
    <w:basedOn w:val="Numatytasispastraiposriftas"/>
    <w:uiPriority w:val="99"/>
    <w:unhideWhenUsed/>
    <w:rsid w:val="00491C2D"/>
    <w:rPr>
      <w:color w:val="2B579A"/>
      <w:shd w:val="clear" w:color="auto" w:fill="E1DFDD"/>
    </w:rPr>
  </w:style>
  <w:style w:type="table" w:customStyle="1" w:styleId="TableGrid2">
    <w:name w:val="Table Grid2"/>
    <w:basedOn w:val="prastojilentel"/>
    <w:next w:val="Lentelstinklelis"/>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AA333970B34B62953FD2DFFDB31C98"/>
        <w:category>
          <w:name w:val="General"/>
          <w:gallery w:val="placeholder"/>
        </w:category>
        <w:types>
          <w:type w:val="bbPlcHdr"/>
        </w:types>
        <w:behaviors>
          <w:behavior w:val="content"/>
        </w:behaviors>
        <w:guid w:val="{96A9D02A-4838-4E75-948A-156BBD2308BC}"/>
      </w:docPartPr>
      <w:docPartBody>
        <w:p w:rsidR="00B228ED" w:rsidRDefault="00F12454" w:rsidP="00F12454">
          <w:pPr>
            <w:pStyle w:val="32AA333970B34B62953FD2DFFDB31C9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8D5FF6"/>
    <w:rsid w:val="00B228ED"/>
    <w:rsid w:val="00B73130"/>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2AA333970B34B62953FD2DFFDB31C98">
    <w:name w:val="32AA333970B34B62953FD2DFFDB31C98"/>
    <w:rsid w:val="00F1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F3E1C17C80B44AA5880A3C391AAE5" ma:contentTypeVersion="7" ma:contentTypeDescription="Create a new document." ma:contentTypeScope="" ma:versionID="91704a306df868ff43fb4f27613b668e">
  <xsd:schema xmlns:xsd="http://www.w3.org/2001/XMLSchema" xmlns:xs="http://www.w3.org/2001/XMLSchema" xmlns:p="http://schemas.microsoft.com/office/2006/metadata/properties" xmlns:ns2="f80bbd0d-c8fa-48eb-bbdc-9ca8d2447247" targetNamespace="http://schemas.microsoft.com/office/2006/metadata/properties" ma:root="true" ma:fieldsID="057b71ed1739888a0b1663fd50d0ad6d" ns2:_="">
    <xsd:import namespace="f80bbd0d-c8fa-48eb-bbdc-9ca8d24472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bd0d-c8fa-48eb-bbdc-9ca8d2447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C673A0-E1B2-4D51-ABFD-5B397E954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bd0d-c8fa-48eb-bbdc-9ca8d2447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3914</Words>
  <Characters>2232</Characters>
  <Application>Microsoft Office Word</Application>
  <DocSecurity>0</DocSecurity>
  <Lines>18</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Vilma Andziulė</cp:lastModifiedBy>
  <cp:revision>4</cp:revision>
  <dcterms:created xsi:type="dcterms:W3CDTF">2021-06-16T08:16:00Z</dcterms:created>
  <dcterms:modified xsi:type="dcterms:W3CDTF">2021-06-16T17:19:00Z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0x01010034AF3E1C17C80B44AA5880A3C391AAE5</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