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A7FBB6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9B1379">
        <w:rPr>
          <w:rFonts w:cs="Arial"/>
          <w:sz w:val="20"/>
          <w:szCs w:val="20"/>
        </w:rPr>
        <w:t xml:space="preserve"> Ž</w:t>
      </w:r>
      <w:r w:rsidR="00AC5745">
        <w:rPr>
          <w:rFonts w:cs="Arial"/>
          <w:sz w:val="20"/>
          <w:szCs w:val="20"/>
        </w:rPr>
        <w:t>monių ugdymo paslaugos</w:t>
      </w:r>
      <w:r w:rsidR="00025963" w:rsidRPr="00AD23DC">
        <w:rPr>
          <w:rFonts w:cs="Arial"/>
        </w:rPr>
        <w:t>.</w:t>
      </w:r>
    </w:p>
    <w:p w14:paraId="3F24026F" w14:textId="1B23E79F"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00341196">
        <w:rPr>
          <w:rFonts w:cs="Arial"/>
          <w:b/>
          <w:sz w:val="20"/>
          <w:szCs w:val="20"/>
        </w:rPr>
        <w:t>arba Pirkėjas</w:t>
      </w:r>
      <w:r w:rsidRPr="00D00AD9">
        <w:rPr>
          <w:rFonts w:cs="Arial"/>
          <w:sz w:val="20"/>
          <w:szCs w:val="20"/>
        </w:rPr>
        <w:t>–</w:t>
      </w:r>
      <w:r w:rsidR="00DE6560">
        <w:rPr>
          <w:rFonts w:cs="Arial"/>
          <w:sz w:val="20"/>
          <w:szCs w:val="20"/>
        </w:rPr>
        <w:t xml:space="preserve"> </w:t>
      </w:r>
      <w:bookmarkStart w:id="0" w:name="_Hlk31698696"/>
      <w:sdt>
        <w:sdtPr>
          <w:id w:val="1799497722"/>
          <w:placeholder>
            <w:docPart w:val="320A22BE7CD14D4FBD0CD8C369D4EB8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2C60CA">
            <w:t>UAB „Ignitis“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5F092850" w:rsidR="00CE17F8" w:rsidRPr="00D00AD9" w:rsidRDefault="0034119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bookmarkEnd w:id="3"/>
      <w:r w:rsidR="009B1379">
        <w:rPr>
          <w:rFonts w:cs="Arial"/>
          <w:bCs/>
          <w:sz w:val="20"/>
          <w:szCs w:val="20"/>
        </w:rPr>
        <w:t xml:space="preserve"> </w:t>
      </w:r>
      <w:r w:rsidR="0081096E">
        <w:rPr>
          <w:rFonts w:cs="Arial"/>
          <w:bCs/>
          <w:sz w:val="20"/>
          <w:szCs w:val="20"/>
        </w:rPr>
        <w:t>Techninės specifikacijos 1.1. p. nurodytos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12475B07" w:rsidR="00DA6268" w:rsidRDefault="00DA6268" w:rsidP="00CB20DE">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34119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34119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2C60CA" w:rsidRPr="002C60CA">
        <w:rPr>
          <w:rFonts w:cs="Arial"/>
          <w:b/>
          <w:sz w:val="20"/>
          <w:szCs w:val="20"/>
        </w:rPr>
        <w:t>320 000</w:t>
      </w:r>
      <w:r w:rsidRPr="002C60CA">
        <w:rPr>
          <w:rFonts w:cs="Arial"/>
          <w:b/>
          <w:sz w:val="20"/>
          <w:szCs w:val="20"/>
        </w:rPr>
        <w:t>,</w:t>
      </w:r>
      <w:r w:rsidR="002C60CA" w:rsidRPr="002C60CA">
        <w:rPr>
          <w:rFonts w:cs="Arial"/>
          <w:b/>
          <w:sz w:val="20"/>
          <w:szCs w:val="20"/>
        </w:rPr>
        <w:t>00</w:t>
      </w:r>
      <w:r w:rsidRPr="00E23ED8">
        <w:rPr>
          <w:rFonts w:cs="Arial"/>
          <w:bCs/>
          <w:sz w:val="20"/>
          <w:szCs w:val="20"/>
        </w:rPr>
        <w:t xml:space="preserve"> </w:t>
      </w:r>
      <w:r w:rsidRPr="005B5E9F">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34119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3D21FBA5" w:rsidR="00DA6268" w:rsidRDefault="00DA6268" w:rsidP="005B5E9F">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81096E">
        <w:rPr>
          <w:rFonts w:cs="Arial"/>
          <w:bCs/>
          <w:sz w:val="20"/>
          <w:szCs w:val="20"/>
        </w:rPr>
        <w:t xml:space="preserve"> </w:t>
      </w:r>
      <w:r w:rsidR="0081096E" w:rsidRPr="00997DE5">
        <w:rPr>
          <w:rFonts w:cs="Arial"/>
          <w:bCs/>
          <w:sz w:val="20"/>
          <w:szCs w:val="20"/>
        </w:rPr>
        <w:t xml:space="preserve">vykdant </w:t>
      </w:r>
      <w:r w:rsidR="0081096E">
        <w:rPr>
          <w:rFonts w:cs="Arial"/>
          <w:bCs/>
          <w:sz w:val="20"/>
          <w:szCs w:val="20"/>
        </w:rPr>
        <w:t>S</w:t>
      </w:r>
      <w:r w:rsidR="0081096E"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81096E">
        <w:rPr>
          <w:rFonts w:cs="Arial"/>
          <w:bCs/>
          <w:sz w:val="20"/>
          <w:szCs w:val="20"/>
        </w:rPr>
        <w:t xml:space="preserve">Pirkėjo </w:t>
      </w:r>
      <w:r w:rsidR="0081096E" w:rsidRPr="00997DE5">
        <w:rPr>
          <w:rFonts w:cs="Arial"/>
          <w:bCs/>
          <w:sz w:val="20"/>
          <w:szCs w:val="20"/>
        </w:rPr>
        <w:t>pagal Bendrovės poreikį</w:t>
      </w:r>
      <w:r w:rsidR="0081096E" w:rsidRPr="00997DE5" w:rsidDel="0081096E">
        <w:rPr>
          <w:rFonts w:cs="Arial"/>
          <w:bCs/>
          <w:sz w:val="20"/>
          <w:szCs w:val="20"/>
        </w:rPr>
        <w:t xml:space="preserve"> </w:t>
      </w:r>
      <w:r w:rsidR="00AD607D" w:rsidRPr="004020B0">
        <w:rPr>
          <w:rFonts w:cs="Arial"/>
          <w:bCs/>
          <w:sz w:val="20"/>
          <w:szCs w:val="20"/>
        </w:rPr>
        <w:t xml:space="preserve">užsakytų (su </w:t>
      </w:r>
      <w:r w:rsidR="00AD607D">
        <w:rPr>
          <w:rFonts w:cs="Arial"/>
          <w:bCs/>
          <w:sz w:val="20"/>
          <w:szCs w:val="20"/>
        </w:rPr>
        <w:t>Pirkėju</w:t>
      </w:r>
      <w:r w:rsidR="00AD607D"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63B6A50B" w14:textId="77777777" w:rsidR="00233CBB" w:rsidRDefault="00233CBB" w:rsidP="00233CBB">
      <w:pPr>
        <w:pStyle w:val="ListParagraph"/>
        <w:tabs>
          <w:tab w:val="left" w:pos="426"/>
        </w:tabs>
        <w:spacing w:before="60" w:after="60"/>
        <w:ind w:left="0" w:firstLine="0"/>
        <w:jc w:val="both"/>
        <w:rPr>
          <w:rFonts w:cs="Arial"/>
          <w:bCs/>
          <w:sz w:val="20"/>
          <w:szCs w:val="20"/>
        </w:rPr>
      </w:pPr>
    </w:p>
    <w:bookmarkEnd w:id="4"/>
    <w:p w14:paraId="3DFA6311" w14:textId="511A3001" w:rsidR="002B4BC7" w:rsidRDefault="009B1379" w:rsidP="00CB20DE">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Ž</w:t>
      </w:r>
      <w:r w:rsidR="00AC5745">
        <w:rPr>
          <w:rFonts w:cs="Arial"/>
          <w:b/>
          <w:bCs/>
          <w:sz w:val="20"/>
          <w:szCs w:val="20"/>
        </w:rPr>
        <w:t>monių ugdymo paslaug</w:t>
      </w:r>
      <w:r>
        <w:rPr>
          <w:rFonts w:cs="Arial"/>
          <w:b/>
          <w:bCs/>
          <w:sz w:val="20"/>
          <w:szCs w:val="20"/>
        </w:rPr>
        <w:t>ų</w:t>
      </w:r>
      <w:r w:rsidR="00AC5745">
        <w:rPr>
          <w:rFonts w:cs="Arial"/>
          <w:b/>
          <w:bCs/>
          <w:sz w:val="20"/>
          <w:szCs w:val="20"/>
        </w:rPr>
        <w:t xml:space="preserve"> </w:t>
      </w:r>
      <w:r w:rsidR="002B4BC7" w:rsidRPr="00762A41">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341196" w14:paraId="44F0F666" w14:textId="77777777" w:rsidTr="00341196">
        <w:trPr>
          <w:trHeight w:val="345"/>
        </w:trPr>
        <w:tc>
          <w:tcPr>
            <w:tcW w:w="1019" w:type="dxa"/>
            <w:shd w:val="clear" w:color="auto" w:fill="BFBFBF" w:themeFill="background1" w:themeFillShade="BF"/>
            <w:vAlign w:val="center"/>
          </w:tcPr>
          <w:p w14:paraId="02927F6F"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Vienetas</w:t>
            </w:r>
          </w:p>
        </w:tc>
      </w:tr>
      <w:tr w:rsidR="003866CE" w:rsidRPr="00341196" w14:paraId="553EE534" w14:textId="77777777" w:rsidTr="00CD66C7">
        <w:trPr>
          <w:trHeight w:val="330"/>
        </w:trPr>
        <w:tc>
          <w:tcPr>
            <w:tcW w:w="1019" w:type="dxa"/>
            <w:vAlign w:val="center"/>
          </w:tcPr>
          <w:p w14:paraId="728FC7CB" w14:textId="29E3F786" w:rsidR="003866CE" w:rsidRPr="00341196" w:rsidRDefault="00AC5745" w:rsidP="00CD66C7">
            <w:pPr>
              <w:ind w:firstLine="0"/>
              <w:jc w:val="center"/>
              <w:rPr>
                <w:rFonts w:cs="Arial"/>
                <w:bCs/>
                <w:sz w:val="20"/>
                <w:szCs w:val="20"/>
              </w:rPr>
            </w:pPr>
            <w:r w:rsidRPr="00341196">
              <w:rPr>
                <w:rFonts w:cs="Arial"/>
                <w:bCs/>
                <w:sz w:val="20"/>
                <w:szCs w:val="20"/>
              </w:rPr>
              <w:t>1</w:t>
            </w:r>
            <w:r w:rsidR="003866CE" w:rsidRPr="00341196">
              <w:rPr>
                <w:rFonts w:cs="Arial"/>
                <w:bCs/>
                <w:sz w:val="20"/>
                <w:szCs w:val="20"/>
              </w:rPr>
              <w:t>.</w:t>
            </w:r>
          </w:p>
        </w:tc>
        <w:tc>
          <w:tcPr>
            <w:tcW w:w="5360" w:type="dxa"/>
            <w:shd w:val="clear" w:color="auto" w:fill="auto"/>
            <w:vAlign w:val="center"/>
          </w:tcPr>
          <w:p w14:paraId="10F0B7C7" w14:textId="77777777" w:rsidR="003866CE" w:rsidRPr="00341196" w:rsidRDefault="003866CE" w:rsidP="003866CE">
            <w:pPr>
              <w:ind w:left="142" w:firstLine="0"/>
              <w:rPr>
                <w:rFonts w:cs="Arial"/>
                <w:bCs/>
                <w:sz w:val="20"/>
                <w:szCs w:val="20"/>
              </w:rPr>
            </w:pPr>
            <w:r w:rsidRPr="00341196">
              <w:rPr>
                <w:rFonts w:cs="Arial"/>
                <w:sz w:val="20"/>
                <w:szCs w:val="20"/>
              </w:rPr>
              <w:t>Žmonių ugdymo paslauga</w:t>
            </w:r>
          </w:p>
        </w:tc>
        <w:tc>
          <w:tcPr>
            <w:tcW w:w="3260" w:type="dxa"/>
            <w:shd w:val="clear" w:color="auto" w:fill="auto"/>
            <w:vAlign w:val="center"/>
          </w:tcPr>
          <w:p w14:paraId="7DC6F8AC" w14:textId="77777777" w:rsidR="003866CE" w:rsidRPr="00341196" w:rsidRDefault="003866CE" w:rsidP="003866CE">
            <w:pPr>
              <w:ind w:firstLine="0"/>
              <w:jc w:val="center"/>
              <w:rPr>
                <w:rFonts w:cs="Arial"/>
                <w:bCs/>
                <w:sz w:val="20"/>
                <w:szCs w:val="20"/>
              </w:rPr>
            </w:pPr>
            <w:r w:rsidRPr="00341196">
              <w:rPr>
                <w:rFonts w:cs="Arial"/>
                <w:bCs/>
                <w:sz w:val="20"/>
                <w:szCs w:val="20"/>
              </w:rPr>
              <w:t>Valanda</w:t>
            </w:r>
          </w:p>
        </w:tc>
      </w:tr>
      <w:tr w:rsidR="003866CE" w:rsidRPr="00341196" w14:paraId="1DA12D43" w14:textId="77777777" w:rsidTr="00CD66C7">
        <w:trPr>
          <w:trHeight w:val="330"/>
        </w:trPr>
        <w:tc>
          <w:tcPr>
            <w:tcW w:w="1019" w:type="dxa"/>
            <w:vAlign w:val="center"/>
          </w:tcPr>
          <w:p w14:paraId="27BBC98B" w14:textId="518A1599" w:rsidR="003866CE" w:rsidRPr="00341196" w:rsidRDefault="00AC5745" w:rsidP="00CD66C7">
            <w:pPr>
              <w:ind w:firstLine="0"/>
              <w:jc w:val="center"/>
              <w:rPr>
                <w:rFonts w:cs="Arial"/>
                <w:bCs/>
                <w:sz w:val="20"/>
                <w:szCs w:val="20"/>
              </w:rPr>
            </w:pPr>
            <w:r w:rsidRPr="00341196">
              <w:rPr>
                <w:rFonts w:cs="Arial"/>
                <w:bCs/>
                <w:sz w:val="20"/>
                <w:szCs w:val="20"/>
              </w:rPr>
              <w:t>2</w:t>
            </w:r>
            <w:r w:rsidR="003866CE" w:rsidRPr="00341196">
              <w:rPr>
                <w:rFonts w:cs="Arial"/>
                <w:bCs/>
                <w:sz w:val="20"/>
                <w:szCs w:val="20"/>
              </w:rPr>
              <w:t>.</w:t>
            </w:r>
          </w:p>
        </w:tc>
        <w:tc>
          <w:tcPr>
            <w:tcW w:w="5360" w:type="dxa"/>
            <w:shd w:val="clear" w:color="auto" w:fill="auto"/>
            <w:vAlign w:val="center"/>
          </w:tcPr>
          <w:p w14:paraId="6A2F9AC2" w14:textId="77777777" w:rsidR="003866CE" w:rsidRPr="00341196" w:rsidRDefault="003866CE" w:rsidP="003866CE">
            <w:pPr>
              <w:ind w:left="142" w:firstLine="0"/>
              <w:rPr>
                <w:rFonts w:cs="Arial"/>
                <w:sz w:val="20"/>
                <w:szCs w:val="20"/>
              </w:rPr>
            </w:pPr>
            <w:r w:rsidRPr="00341196">
              <w:rPr>
                <w:rFonts w:cs="Arial"/>
                <w:sz w:val="20"/>
                <w:szCs w:val="20"/>
              </w:rPr>
              <w:t>Žmonių patirties ir motyvacijos paslauga</w:t>
            </w:r>
          </w:p>
        </w:tc>
        <w:tc>
          <w:tcPr>
            <w:tcW w:w="3260" w:type="dxa"/>
            <w:shd w:val="clear" w:color="auto" w:fill="auto"/>
            <w:vAlign w:val="center"/>
          </w:tcPr>
          <w:p w14:paraId="3F50E655" w14:textId="77777777" w:rsidR="003866CE" w:rsidRPr="00341196" w:rsidRDefault="003866CE" w:rsidP="003866CE">
            <w:pPr>
              <w:ind w:firstLine="0"/>
              <w:jc w:val="center"/>
              <w:rPr>
                <w:rFonts w:cs="Arial"/>
                <w:sz w:val="20"/>
                <w:szCs w:val="20"/>
              </w:rPr>
            </w:pPr>
            <w:r w:rsidRPr="00341196">
              <w:rPr>
                <w:rFonts w:cs="Arial"/>
                <w:bCs/>
                <w:sz w:val="20"/>
                <w:szCs w:val="20"/>
              </w:rPr>
              <w:t>Valanda</w:t>
            </w:r>
          </w:p>
        </w:tc>
      </w:tr>
      <w:tr w:rsidR="00CD66C7" w:rsidRPr="00341196" w14:paraId="3B1B58B5" w14:textId="77777777" w:rsidTr="00CD66C7">
        <w:trPr>
          <w:trHeight w:val="330"/>
        </w:trPr>
        <w:tc>
          <w:tcPr>
            <w:tcW w:w="1019" w:type="dxa"/>
            <w:vAlign w:val="center"/>
          </w:tcPr>
          <w:p w14:paraId="5E12AAB3" w14:textId="14E07B5D" w:rsidR="00CD66C7" w:rsidRPr="00CD66C7" w:rsidRDefault="00CD66C7" w:rsidP="00CD66C7">
            <w:pPr>
              <w:ind w:firstLine="0"/>
              <w:jc w:val="center"/>
              <w:rPr>
                <w:rFonts w:cs="Arial"/>
                <w:bCs/>
                <w:sz w:val="20"/>
                <w:szCs w:val="20"/>
              </w:rPr>
            </w:pPr>
            <w:r>
              <w:rPr>
                <w:rFonts w:cs="Arial"/>
                <w:bCs/>
                <w:sz w:val="20"/>
                <w:szCs w:val="20"/>
              </w:rPr>
              <w:t>3.</w:t>
            </w:r>
          </w:p>
        </w:tc>
        <w:tc>
          <w:tcPr>
            <w:tcW w:w="5360" w:type="dxa"/>
            <w:shd w:val="clear" w:color="auto" w:fill="auto"/>
            <w:vAlign w:val="center"/>
          </w:tcPr>
          <w:p w14:paraId="0D2B8520" w14:textId="3B621611" w:rsidR="00CD66C7" w:rsidRPr="00341196" w:rsidRDefault="00CD66C7" w:rsidP="003866CE">
            <w:pPr>
              <w:ind w:left="142" w:firstLine="0"/>
              <w:rPr>
                <w:rFonts w:cs="Arial"/>
                <w:sz w:val="20"/>
                <w:szCs w:val="20"/>
              </w:rPr>
            </w:pPr>
            <w:r>
              <w:rPr>
                <w:rFonts w:eastAsia="Times New Roman" w:cs="Arial"/>
                <w:sz w:val="20"/>
                <w:szCs w:val="20"/>
                <w:lang w:eastAsia="lt-LT"/>
              </w:rPr>
              <w:t>Personalo verslo partnerio paslauga</w:t>
            </w:r>
          </w:p>
        </w:tc>
        <w:tc>
          <w:tcPr>
            <w:tcW w:w="3260" w:type="dxa"/>
            <w:shd w:val="clear" w:color="auto" w:fill="auto"/>
            <w:vAlign w:val="center"/>
          </w:tcPr>
          <w:p w14:paraId="599EC5E9" w14:textId="43CF64DA" w:rsidR="00CD66C7" w:rsidRPr="00341196" w:rsidRDefault="00CD66C7" w:rsidP="003866CE">
            <w:pPr>
              <w:ind w:firstLine="0"/>
              <w:jc w:val="center"/>
              <w:rPr>
                <w:rFonts w:cs="Arial"/>
                <w:bCs/>
                <w:sz w:val="20"/>
                <w:szCs w:val="20"/>
              </w:rPr>
            </w:pPr>
            <w:r w:rsidRPr="0034119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21B6B8C" w:rsidR="002A737B" w:rsidRPr="002A737B" w:rsidRDefault="002A737B" w:rsidP="005B5E9F">
      <w:pPr>
        <w:pStyle w:val="ListParagraph"/>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B1379">
        <w:rPr>
          <w:rFonts w:cs="Arial"/>
          <w:bCs/>
          <w:sz w:val="20"/>
          <w:szCs w:val="20"/>
        </w:rPr>
        <w:t>Ž</w:t>
      </w:r>
      <w:r w:rsidR="000A0168">
        <w:rPr>
          <w:rFonts w:cs="Arial"/>
          <w:sz w:val="20"/>
          <w:szCs w:val="20"/>
        </w:rPr>
        <w:t>monių ugdymo paslaugas</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9071712" w:rsidR="004710FD" w:rsidRPr="004710FD" w:rsidRDefault="004710FD" w:rsidP="005B5E9F">
      <w:pPr>
        <w:pStyle w:val="ListParagraph"/>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9B1379">
        <w:rPr>
          <w:rFonts w:cs="Arial"/>
          <w:bCs/>
          <w:sz w:val="20"/>
          <w:szCs w:val="20"/>
        </w:rPr>
        <w:t>Ž</w:t>
      </w:r>
      <w:r w:rsidR="000A0168">
        <w:rPr>
          <w:rFonts w:cs="Arial"/>
          <w:sz w:val="20"/>
          <w:szCs w:val="20"/>
        </w:rPr>
        <w:t>monių ugdymo paslaugos</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66180BDA" w:rsidR="003E1F23" w:rsidRPr="0090702B" w:rsidRDefault="009B1379"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6" w:name="_Ref399245810"/>
      <w:r w:rsidRPr="009B1379">
        <w:rPr>
          <w:rFonts w:cs="Arial"/>
          <w:b/>
          <w:bCs/>
          <w:sz w:val="20"/>
          <w:szCs w:val="20"/>
        </w:rPr>
        <w:t>Žmonių ugdymo</w:t>
      </w:r>
      <w:r>
        <w:rPr>
          <w:rFonts w:cs="Arial"/>
          <w:sz w:val="20"/>
          <w:szCs w:val="20"/>
        </w:rPr>
        <w:t xml:space="preserve"> </w:t>
      </w:r>
      <w:r w:rsidR="003E1F23" w:rsidRPr="0090702B">
        <w:rPr>
          <w:rFonts w:cs="Arial"/>
          <w:b/>
          <w:sz w:val="20"/>
          <w:szCs w:val="20"/>
        </w:rPr>
        <w:t>paslaugos</w:t>
      </w:r>
    </w:p>
    <w:p w14:paraId="3F2A66E3" w14:textId="46E5F879" w:rsidR="003E1F23" w:rsidRDefault="00D565B6" w:rsidP="003E1F23">
      <w:pPr>
        <w:tabs>
          <w:tab w:val="left" w:pos="284"/>
          <w:tab w:val="left" w:pos="567"/>
        </w:tabs>
        <w:spacing w:before="60" w:after="60"/>
        <w:ind w:firstLine="0"/>
        <w:jc w:val="both"/>
        <w:rPr>
          <w:rFonts w:cs="Arial"/>
          <w:sz w:val="20"/>
          <w:szCs w:val="20"/>
        </w:rPr>
      </w:pPr>
      <w:r>
        <w:rPr>
          <w:rFonts w:cs="Arial"/>
          <w:sz w:val="20"/>
          <w:szCs w:val="20"/>
        </w:rPr>
        <w:t>P</w:t>
      </w:r>
      <w:r w:rsidR="00AC5745">
        <w:rPr>
          <w:rFonts w:cs="Arial"/>
          <w:sz w:val="20"/>
          <w:szCs w:val="20"/>
        </w:rPr>
        <w:t>aslaug</w:t>
      </w:r>
      <w:r w:rsidR="000A0168">
        <w:rPr>
          <w:rFonts w:cs="Arial"/>
          <w:sz w:val="20"/>
          <w:szCs w:val="20"/>
        </w:rPr>
        <w:t>a</w:t>
      </w:r>
      <w:r w:rsidR="00AC5745">
        <w:rPr>
          <w:rFonts w:cs="Arial"/>
          <w:sz w:val="20"/>
          <w:szCs w:val="20"/>
        </w:rPr>
        <w:t xml:space="preserve">s </w:t>
      </w:r>
      <w:r w:rsidR="003E1F23" w:rsidRPr="0090702B">
        <w:rPr>
          <w:rFonts w:cs="Arial"/>
          <w:sz w:val="20"/>
          <w:szCs w:val="20"/>
        </w:rPr>
        <w:t>sudaro:</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3"/>
        <w:gridCol w:w="1261"/>
        <w:gridCol w:w="1339"/>
        <w:gridCol w:w="1522"/>
        <w:gridCol w:w="4961"/>
      </w:tblGrid>
      <w:tr w:rsidR="00CD66C7" w:rsidRPr="00CD66C7" w14:paraId="118EAF07" w14:textId="77777777" w:rsidTr="005B5E9F">
        <w:trPr>
          <w:trHeight w:val="300"/>
        </w:trPr>
        <w:tc>
          <w:tcPr>
            <w:tcW w:w="553" w:type="dxa"/>
            <w:shd w:val="clear" w:color="auto" w:fill="BFBFBF" w:themeFill="background1" w:themeFillShade="BF"/>
            <w:vAlign w:val="center"/>
            <w:hideMark/>
          </w:tcPr>
          <w:p w14:paraId="56266C11" w14:textId="77777777" w:rsidR="00CD66C7" w:rsidRPr="00CD66C7" w:rsidRDefault="00CD66C7" w:rsidP="00CD66C7">
            <w:pPr>
              <w:spacing w:line="259" w:lineRule="auto"/>
              <w:ind w:firstLine="0"/>
              <w:jc w:val="center"/>
              <w:rPr>
                <w:rFonts w:eastAsia="Times New Roman" w:cs="Arial"/>
                <w:b/>
                <w:bCs/>
                <w:color w:val="000000"/>
                <w:sz w:val="20"/>
                <w:szCs w:val="20"/>
                <w:lang w:eastAsia="lt-LT"/>
              </w:rPr>
            </w:pPr>
            <w:r w:rsidRPr="00CD66C7">
              <w:rPr>
                <w:rFonts w:eastAsia="Times New Roman" w:cs="Arial"/>
                <w:b/>
                <w:bCs/>
                <w:color w:val="000000"/>
                <w:sz w:val="20"/>
                <w:szCs w:val="20"/>
                <w:lang w:eastAsia="lt-LT"/>
              </w:rPr>
              <w:t>Eil. Nr.</w:t>
            </w:r>
          </w:p>
        </w:tc>
        <w:tc>
          <w:tcPr>
            <w:tcW w:w="1261" w:type="dxa"/>
            <w:shd w:val="clear" w:color="auto" w:fill="BFBFBF" w:themeFill="background1" w:themeFillShade="BF"/>
            <w:vAlign w:val="center"/>
            <w:hideMark/>
          </w:tcPr>
          <w:p w14:paraId="1B0CAB62" w14:textId="77777777" w:rsidR="00CD66C7" w:rsidRPr="00CD66C7" w:rsidRDefault="00CD66C7" w:rsidP="00CD66C7">
            <w:pPr>
              <w:spacing w:line="259" w:lineRule="auto"/>
              <w:ind w:firstLine="0"/>
              <w:jc w:val="center"/>
              <w:rPr>
                <w:rFonts w:eastAsia="Times New Roman" w:cs="Arial"/>
                <w:b/>
                <w:bCs/>
                <w:color w:val="000000"/>
                <w:sz w:val="20"/>
                <w:szCs w:val="20"/>
                <w:lang w:eastAsia="lt-LT"/>
              </w:rPr>
            </w:pPr>
            <w:r w:rsidRPr="00CD66C7">
              <w:rPr>
                <w:rFonts w:eastAsia="Times New Roman" w:cs="Arial"/>
                <w:b/>
                <w:bCs/>
                <w:color w:val="000000"/>
                <w:sz w:val="20"/>
                <w:szCs w:val="20"/>
                <w:lang w:eastAsia="lt-LT"/>
              </w:rPr>
              <w:t>Paslaugos</w:t>
            </w:r>
          </w:p>
        </w:tc>
        <w:tc>
          <w:tcPr>
            <w:tcW w:w="1339" w:type="dxa"/>
            <w:shd w:val="clear" w:color="auto" w:fill="BFBFBF" w:themeFill="background1" w:themeFillShade="BF"/>
            <w:vAlign w:val="center"/>
          </w:tcPr>
          <w:p w14:paraId="501794F5" w14:textId="77777777" w:rsidR="00CD66C7" w:rsidRPr="00CD66C7" w:rsidRDefault="00CD66C7" w:rsidP="00CD66C7">
            <w:pPr>
              <w:spacing w:line="259" w:lineRule="auto"/>
              <w:ind w:firstLine="0"/>
              <w:jc w:val="center"/>
              <w:rPr>
                <w:rFonts w:eastAsia="Times New Roman" w:cs="Arial"/>
                <w:b/>
                <w:bCs/>
                <w:color w:val="000000" w:themeColor="text1"/>
                <w:sz w:val="20"/>
                <w:szCs w:val="20"/>
                <w:lang w:eastAsia="lt-LT"/>
              </w:rPr>
            </w:pPr>
            <w:r w:rsidRPr="00CD66C7">
              <w:rPr>
                <w:rFonts w:eastAsia="Times New Roman" w:cs="Arial"/>
                <w:b/>
                <w:bCs/>
                <w:color w:val="000000" w:themeColor="text1"/>
                <w:sz w:val="20"/>
                <w:szCs w:val="20"/>
                <w:lang w:eastAsia="lt-LT"/>
              </w:rPr>
              <w:t>Paslaugų detalizacija</w:t>
            </w:r>
            <w:r w:rsidRPr="00CD66C7">
              <w:rPr>
                <w:rFonts w:eastAsia="Times New Roman" w:cs="Arial"/>
                <w:color w:val="000000" w:themeColor="text1"/>
                <w:sz w:val="20"/>
                <w:szCs w:val="20"/>
                <w:lang w:eastAsia="lt-LT"/>
              </w:rPr>
              <w:t> </w:t>
            </w:r>
          </w:p>
        </w:tc>
        <w:tc>
          <w:tcPr>
            <w:tcW w:w="6483" w:type="dxa"/>
            <w:gridSpan w:val="2"/>
            <w:shd w:val="clear" w:color="auto" w:fill="BFBFBF" w:themeFill="background1" w:themeFillShade="BF"/>
            <w:vAlign w:val="center"/>
            <w:hideMark/>
          </w:tcPr>
          <w:p w14:paraId="33BA6A59" w14:textId="77777777" w:rsidR="00CD66C7" w:rsidRPr="00CD66C7" w:rsidRDefault="00CD66C7" w:rsidP="00CD66C7">
            <w:pPr>
              <w:spacing w:after="160" w:line="259" w:lineRule="auto"/>
              <w:ind w:firstLine="0"/>
              <w:jc w:val="center"/>
              <w:rPr>
                <w:rFonts w:eastAsia="Times New Roman" w:cs="Arial"/>
                <w:b/>
                <w:bCs/>
                <w:color w:val="000000" w:themeColor="text1"/>
                <w:sz w:val="20"/>
                <w:szCs w:val="20"/>
                <w:lang w:eastAsia="lt-LT"/>
              </w:rPr>
            </w:pPr>
            <w:r w:rsidRPr="00CD66C7">
              <w:rPr>
                <w:rFonts w:eastAsia="Times New Roman" w:cs="Arial"/>
                <w:b/>
                <w:bCs/>
                <w:color w:val="000000" w:themeColor="text1"/>
                <w:sz w:val="20"/>
                <w:szCs w:val="20"/>
                <w:lang w:eastAsia="lt-LT"/>
              </w:rPr>
              <w:t>Paslaugų aprašas</w:t>
            </w:r>
          </w:p>
        </w:tc>
      </w:tr>
      <w:tr w:rsidR="00CD66C7" w:rsidRPr="00CD66C7" w14:paraId="42FAA80E" w14:textId="77777777" w:rsidTr="005B5E9F">
        <w:trPr>
          <w:trHeight w:val="300"/>
        </w:trPr>
        <w:tc>
          <w:tcPr>
            <w:tcW w:w="553" w:type="dxa"/>
            <w:vMerge w:val="restart"/>
            <w:shd w:val="clear" w:color="auto" w:fill="auto"/>
            <w:vAlign w:val="center"/>
            <w:hideMark/>
          </w:tcPr>
          <w:p w14:paraId="29DD5917" w14:textId="77777777" w:rsidR="00CD66C7" w:rsidRPr="00CD66C7" w:rsidRDefault="00CD66C7" w:rsidP="00CD66C7">
            <w:pPr>
              <w:spacing w:line="259" w:lineRule="auto"/>
              <w:ind w:firstLine="0"/>
              <w:jc w:val="center"/>
              <w:rPr>
                <w:rFonts w:eastAsia="Times New Roman" w:cs="Arial"/>
                <w:color w:val="000000"/>
                <w:sz w:val="20"/>
                <w:szCs w:val="20"/>
                <w:lang w:eastAsia="lt-LT"/>
              </w:rPr>
            </w:pPr>
            <w:r w:rsidRPr="00CD66C7">
              <w:rPr>
                <w:rFonts w:eastAsia="Times New Roman" w:cs="Arial"/>
                <w:color w:val="000000"/>
                <w:sz w:val="20"/>
                <w:szCs w:val="20"/>
                <w:lang w:eastAsia="lt-LT"/>
              </w:rPr>
              <w:t>1.</w:t>
            </w:r>
          </w:p>
        </w:tc>
        <w:tc>
          <w:tcPr>
            <w:tcW w:w="1261" w:type="dxa"/>
            <w:vMerge w:val="restart"/>
            <w:shd w:val="clear" w:color="auto" w:fill="auto"/>
            <w:noWrap/>
            <w:vAlign w:val="center"/>
            <w:hideMark/>
          </w:tcPr>
          <w:p w14:paraId="2BAF8E04" w14:textId="77777777" w:rsidR="00CD66C7" w:rsidRPr="00CD66C7" w:rsidRDefault="00CD66C7" w:rsidP="00CD66C7">
            <w:pPr>
              <w:spacing w:line="259" w:lineRule="auto"/>
              <w:ind w:firstLine="0"/>
              <w:rPr>
                <w:rFonts w:eastAsia="Times New Roman" w:cs="Arial"/>
                <w:color w:val="000000"/>
                <w:sz w:val="20"/>
                <w:szCs w:val="20"/>
                <w:lang w:eastAsia="lt-LT"/>
              </w:rPr>
            </w:pPr>
            <w:r w:rsidRPr="00CD66C7">
              <w:rPr>
                <w:rFonts w:eastAsia="Times New Roman" w:cs="Arial"/>
                <w:color w:val="000000" w:themeColor="text1"/>
                <w:sz w:val="20"/>
                <w:szCs w:val="20"/>
                <w:lang w:eastAsia="lt-LT"/>
              </w:rPr>
              <w:t>Žmonių ugdymo paslauga</w:t>
            </w:r>
          </w:p>
        </w:tc>
        <w:tc>
          <w:tcPr>
            <w:tcW w:w="1339" w:type="dxa"/>
            <w:vMerge w:val="restart"/>
            <w:shd w:val="clear" w:color="auto" w:fill="auto"/>
            <w:vAlign w:val="center"/>
          </w:tcPr>
          <w:p w14:paraId="08E7EDF2"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Pagrindinės ugdymo paslaugos</w:t>
            </w:r>
          </w:p>
        </w:tc>
        <w:tc>
          <w:tcPr>
            <w:tcW w:w="1522" w:type="dxa"/>
            <w:shd w:val="clear" w:color="auto" w:fill="auto"/>
            <w:vAlign w:val="center"/>
            <w:hideMark/>
          </w:tcPr>
          <w:p w14:paraId="44A0231F"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Anglų kalbos mokymų organizavimas</w:t>
            </w:r>
          </w:p>
        </w:tc>
        <w:tc>
          <w:tcPr>
            <w:tcW w:w="4961" w:type="dxa"/>
            <w:shd w:val="clear" w:color="auto" w:fill="auto"/>
            <w:vAlign w:val="center"/>
          </w:tcPr>
          <w:p w14:paraId="4E703DAB"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Poreikio surinkimas, dalyvių sąrašo suderinimas, kalbos lygio testavimas, mokymų organizavimas (kvietimai, prisijungimai,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w:t>
            </w:r>
            <w:r w:rsidRPr="00CD66C7">
              <w:rPr>
                <w:rFonts w:eastAsia="Verdana" w:cs="Arial"/>
                <w:color w:val="000000" w:themeColor="text1"/>
                <w:sz w:val="20"/>
                <w:szCs w:val="20"/>
                <w:lang w:eastAsia="lt-LT"/>
              </w:rPr>
              <w:lastRenderedPageBreak/>
              <w:t>medžiagos organizavimas siuntimas, dalyvavusių darbuotojų sąrašai), komunikacija su tiekėjais, sertifikatų siuntimas, rinkos paslaugų analizė, viešųjų pirkimų vykdymas, pasiūlymų vertinimas, išlaidų administravimas.</w:t>
            </w:r>
          </w:p>
        </w:tc>
      </w:tr>
      <w:tr w:rsidR="00CD66C7" w:rsidRPr="00CD66C7" w14:paraId="3E05DCC6" w14:textId="77777777" w:rsidTr="005B5E9F">
        <w:trPr>
          <w:trHeight w:val="300"/>
        </w:trPr>
        <w:tc>
          <w:tcPr>
            <w:tcW w:w="553" w:type="dxa"/>
            <w:vMerge/>
            <w:vAlign w:val="center"/>
            <w:hideMark/>
          </w:tcPr>
          <w:p w14:paraId="250E003F"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252C3E97"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2D69E83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2FD88A0"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Centralizuotų mokymų organizavimas</w:t>
            </w:r>
          </w:p>
        </w:tc>
        <w:tc>
          <w:tcPr>
            <w:tcW w:w="4961" w:type="dxa"/>
            <w:shd w:val="clear" w:color="auto" w:fill="auto"/>
            <w:vAlign w:val="center"/>
          </w:tcPr>
          <w:p w14:paraId="636F4062"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Organizuojama atsižvelgiant į poreikį ir strategines organizacijos kryptis. Poreikio identifikavimas, rinkos paslaugų analizė, viešųjų pirkimų vykdymas, pasiūlymų vertinimas, dalyvių sąrašo suderinimas,  mokymų organizavimas (testavimas, kvietimai, prisijungimai,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komunikacija su tiekėjais, išlaidų administravimas, ugdymo duomenų kaupimas ir analizė, ataskaitų kūrimas.</w:t>
            </w:r>
          </w:p>
        </w:tc>
      </w:tr>
      <w:tr w:rsidR="00CD66C7" w:rsidRPr="00CD66C7" w14:paraId="59659274" w14:textId="77777777" w:rsidTr="005B5E9F">
        <w:trPr>
          <w:trHeight w:val="300"/>
        </w:trPr>
        <w:tc>
          <w:tcPr>
            <w:tcW w:w="553" w:type="dxa"/>
            <w:vMerge/>
            <w:vAlign w:val="center"/>
            <w:hideMark/>
          </w:tcPr>
          <w:p w14:paraId="01F3645C"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715DDB63"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38B64720"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43D35F3B"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GROW akademijos organizavimas</w:t>
            </w:r>
          </w:p>
        </w:tc>
        <w:tc>
          <w:tcPr>
            <w:tcW w:w="4961" w:type="dxa"/>
            <w:shd w:val="clear" w:color="auto" w:fill="auto"/>
            <w:vAlign w:val="center"/>
          </w:tcPr>
          <w:p w14:paraId="1EF934A6"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Lektorių atrankos, ugdymas, konsultavimas. Vidinių lektorių akademijos koncepto kūrimas, e-mokymų sistemos erdvės palaikymas ir vystymas, vizualų kūrimas, komunikacija organizacijoje, registracijų kūrimas ir koordinavimas, gyvų ir nuotolinių mokymų organizavimas (registracija, kvietimai, prisijungimai,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pasitikimas, vietos paruošimas), ugdymo duomenų kaupimas ir analizė, ataskaitų kūrimas.</w:t>
            </w:r>
          </w:p>
        </w:tc>
      </w:tr>
      <w:tr w:rsidR="00CD66C7" w:rsidRPr="00CD66C7" w14:paraId="1BD171C4" w14:textId="77777777" w:rsidTr="005B5E9F">
        <w:trPr>
          <w:trHeight w:val="300"/>
        </w:trPr>
        <w:tc>
          <w:tcPr>
            <w:tcW w:w="553" w:type="dxa"/>
            <w:vMerge/>
            <w:vAlign w:val="center"/>
            <w:hideMark/>
          </w:tcPr>
          <w:p w14:paraId="28B0574A"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101181FC"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0AB45AB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44081057"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Naujokų adaptacijos organizavimas</w:t>
            </w:r>
          </w:p>
        </w:tc>
        <w:tc>
          <w:tcPr>
            <w:tcW w:w="4961" w:type="dxa"/>
            <w:shd w:val="clear" w:color="auto" w:fill="auto"/>
            <w:vAlign w:val="center"/>
          </w:tcPr>
          <w:p w14:paraId="0467C3DC"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Interaktyvios e-mokymų aplinkos naujiems darbuotojams ir vadovams administravimas, kūrimas ir vystymas, mokymų naujokams organizavimas ir </w:t>
            </w:r>
            <w:proofErr w:type="spellStart"/>
            <w:r w:rsidRPr="00CD66C7">
              <w:rPr>
                <w:rFonts w:eastAsia="Verdana" w:cs="Arial"/>
                <w:color w:val="000000" w:themeColor="text1"/>
                <w:sz w:val="20"/>
                <w:szCs w:val="20"/>
                <w:lang w:eastAsia="lt-LT"/>
              </w:rPr>
              <w:t>fasilitavimas</w:t>
            </w:r>
            <w:proofErr w:type="spellEnd"/>
            <w:r w:rsidRPr="00CD66C7">
              <w:rPr>
                <w:rFonts w:eastAsia="Verdana" w:cs="Arial"/>
                <w:color w:val="000000" w:themeColor="text1"/>
                <w:sz w:val="20"/>
                <w:szCs w:val="20"/>
                <w:lang w:eastAsia="lt-LT"/>
              </w:rPr>
              <w:t>, naujokų renginių organizavimas, pranešėjų paieška ir turinio ruošimas, su vystymu susijusių išlaidų administravimas, naujoko patirties periodinis vertinimas.</w:t>
            </w:r>
          </w:p>
        </w:tc>
      </w:tr>
      <w:tr w:rsidR="00CD66C7" w:rsidRPr="00CD66C7" w14:paraId="69F88DF2" w14:textId="77777777" w:rsidTr="005B5E9F">
        <w:trPr>
          <w:trHeight w:val="300"/>
        </w:trPr>
        <w:tc>
          <w:tcPr>
            <w:tcW w:w="553" w:type="dxa"/>
            <w:vMerge/>
            <w:vAlign w:val="center"/>
            <w:hideMark/>
          </w:tcPr>
          <w:p w14:paraId="4D063170"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01A3693D"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7508EA93"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721C0A0D"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Stiprių lyderių lygos organizavimas</w:t>
            </w:r>
          </w:p>
        </w:tc>
        <w:tc>
          <w:tcPr>
            <w:tcW w:w="4961" w:type="dxa"/>
            <w:shd w:val="clear" w:color="auto" w:fill="auto"/>
            <w:vAlign w:val="center"/>
          </w:tcPr>
          <w:p w14:paraId="38BA9BD2"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turinio ir formato tobulinimas. Rinkos paslaugų analizė, viešųjų pirkimų vykdymas, pasiūlymų vertinimas. Poreikio surinkimas, dalyvių sąrašo suderinimas, gyvų arba nuotolinių mokymų organizavimas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Su mokymais susijusių išlaidų administravimas, patirties periodinis vertinimas, ugdymo duomenų kaupimas ir analizė, ataskaitų kūrimas.</w:t>
            </w:r>
          </w:p>
        </w:tc>
      </w:tr>
      <w:tr w:rsidR="00CD66C7" w:rsidRPr="00CD66C7" w14:paraId="78B6BD20" w14:textId="77777777" w:rsidTr="005B5E9F">
        <w:trPr>
          <w:trHeight w:val="300"/>
        </w:trPr>
        <w:tc>
          <w:tcPr>
            <w:tcW w:w="553" w:type="dxa"/>
            <w:vAlign w:val="center"/>
            <w:hideMark/>
          </w:tcPr>
          <w:p w14:paraId="7F6A61C4"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2F3588C7"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33CCF56A"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8EFA30C"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Vadovų kelionės organizavimas</w:t>
            </w:r>
          </w:p>
        </w:tc>
        <w:tc>
          <w:tcPr>
            <w:tcW w:w="4961" w:type="dxa"/>
            <w:shd w:val="clear" w:color="auto" w:fill="auto"/>
            <w:vAlign w:val="center"/>
          </w:tcPr>
          <w:p w14:paraId="7C4EDE65"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turinio ir formato ruošimas. Sesijų </w:t>
            </w:r>
            <w:proofErr w:type="spellStart"/>
            <w:r w:rsidRPr="00CD66C7">
              <w:rPr>
                <w:rFonts w:eastAsia="Verdana" w:cs="Arial"/>
                <w:color w:val="000000" w:themeColor="text1"/>
                <w:sz w:val="20"/>
                <w:szCs w:val="20"/>
                <w:lang w:eastAsia="lt-LT"/>
              </w:rPr>
              <w:t>fasilitavimas</w:t>
            </w:r>
            <w:proofErr w:type="spellEnd"/>
            <w:r w:rsidRPr="00CD66C7">
              <w:rPr>
                <w:rFonts w:eastAsia="Verdana" w:cs="Arial"/>
                <w:color w:val="000000" w:themeColor="text1"/>
                <w:sz w:val="20"/>
                <w:szCs w:val="20"/>
                <w:lang w:eastAsia="lt-LT"/>
              </w:rPr>
              <w:t xml:space="preserve">, mokymų vedimas, </w:t>
            </w:r>
            <w:proofErr w:type="spellStart"/>
            <w:r w:rsidRPr="00CD66C7">
              <w:rPr>
                <w:rFonts w:eastAsia="Verdana" w:cs="Arial"/>
                <w:color w:val="000000" w:themeColor="text1"/>
                <w:sz w:val="20"/>
                <w:szCs w:val="20"/>
                <w:lang w:eastAsia="lt-LT"/>
              </w:rPr>
              <w:t>mikro</w:t>
            </w:r>
            <w:proofErr w:type="spellEnd"/>
            <w:r w:rsidRPr="00CD66C7">
              <w:rPr>
                <w:rFonts w:eastAsia="Verdana" w:cs="Arial"/>
                <w:color w:val="000000" w:themeColor="text1"/>
                <w:sz w:val="20"/>
                <w:szCs w:val="20"/>
                <w:lang w:eastAsia="lt-LT"/>
              </w:rPr>
              <w:t xml:space="preserve">-mokymų turinio kūrimas. Rinkos paslaugų analizė, viešųjų pirkimų vykdymas, pasiūlymų vertinimas. Dalyvių poreikio surinkimas, dalyvių sąrašo suderinimas, gyvų arba nuotolinių mokymų organizavimas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w:t>
            </w:r>
            <w:r w:rsidRPr="00CD66C7">
              <w:rPr>
                <w:rFonts w:eastAsia="Verdana" w:cs="Arial"/>
                <w:color w:val="000000" w:themeColor="text1"/>
                <w:sz w:val="20"/>
                <w:szCs w:val="20"/>
                <w:lang w:eastAsia="lt-LT"/>
              </w:rPr>
              <w:lastRenderedPageBreak/>
              <w:t xml:space="preserve">ir siuntimas, dalyvavusių darbuotojų sąrašai, sertifikatų siuntimas, vietos paruošimas). Su mokymais susijusių išlaidų administravimas, patirties periodinis vertinimas, ugdymo duomenų kaupimas ir analizė, ataskaitų kūrimas. </w:t>
            </w:r>
          </w:p>
        </w:tc>
      </w:tr>
      <w:tr w:rsidR="00CD66C7" w:rsidRPr="00CD66C7" w14:paraId="6F933B8A" w14:textId="77777777" w:rsidTr="005B5E9F">
        <w:trPr>
          <w:trHeight w:val="300"/>
        </w:trPr>
        <w:tc>
          <w:tcPr>
            <w:tcW w:w="553" w:type="dxa"/>
            <w:vAlign w:val="center"/>
            <w:hideMark/>
          </w:tcPr>
          <w:p w14:paraId="15827F52"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4A5B28A8"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263393E4"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23BD6A05"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Ekspedicijos organizavimas</w:t>
            </w:r>
          </w:p>
        </w:tc>
        <w:tc>
          <w:tcPr>
            <w:tcW w:w="4961" w:type="dxa"/>
            <w:shd w:val="clear" w:color="auto" w:fill="auto"/>
            <w:vAlign w:val="center"/>
          </w:tcPr>
          <w:p w14:paraId="349913A4"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komunikacija. Dalyvių poreikio surinkimas, dalyvių sąrašo suderinimas, viešųjų pirkimų vykdymas, gyvų arba nuotolinių mokymų organizavimas, su mokymais susijusių išlaidų administravimas, patirties periodinis vertinimas, ugdymo duomenų kaupimas ir analizė, ataskaitų kūrimas. </w:t>
            </w:r>
          </w:p>
        </w:tc>
      </w:tr>
      <w:tr w:rsidR="00CD66C7" w:rsidRPr="00CD66C7" w14:paraId="570EC219" w14:textId="77777777" w:rsidTr="005B5E9F">
        <w:trPr>
          <w:trHeight w:val="300"/>
        </w:trPr>
        <w:tc>
          <w:tcPr>
            <w:tcW w:w="553" w:type="dxa"/>
            <w:vAlign w:val="center"/>
            <w:hideMark/>
          </w:tcPr>
          <w:p w14:paraId="7E60097A"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45588056"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6F40362F"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0D6BAC34"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proofErr w:type="spellStart"/>
            <w:r w:rsidRPr="00CD66C7">
              <w:rPr>
                <w:rFonts w:eastAsia="Verdana" w:cs="Arial"/>
                <w:color w:val="000000" w:themeColor="text1"/>
                <w:sz w:val="20"/>
                <w:szCs w:val="20"/>
                <w:lang w:eastAsia="lt-LT"/>
              </w:rPr>
              <w:t>EnergySmart</w:t>
            </w:r>
            <w:proofErr w:type="spellEnd"/>
            <w:r w:rsidRPr="00CD66C7">
              <w:rPr>
                <w:rFonts w:eastAsia="Verdana" w:cs="Arial"/>
                <w:color w:val="000000" w:themeColor="text1"/>
                <w:sz w:val="20"/>
                <w:szCs w:val="20"/>
                <w:lang w:eastAsia="lt-LT"/>
              </w:rPr>
              <w:t xml:space="preserve"> UNI organizavimas</w:t>
            </w:r>
          </w:p>
        </w:tc>
        <w:tc>
          <w:tcPr>
            <w:tcW w:w="4961" w:type="dxa"/>
            <w:shd w:val="clear" w:color="auto" w:fill="auto"/>
            <w:vAlign w:val="center"/>
          </w:tcPr>
          <w:p w14:paraId="76B9F591"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turinio, vizualų ir formato ruošimas. E-mokymų sistemos erdvės palaikymas ir vystymas, vizualų kūrimas, komunikacija organizacijoje. Rinkos paslaugų analizė, viešųjų pirkimų vykdymas, pasiūlymų vertinimas. Poreikio surinkimas, analitinio įrankio palaikymas, dalyvių sąrašo suderinimas, gyvų, e-mokymų arba nuotolinių mokymų organizavimas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Su mokymais susijusių išlaidų administravimas, patirties periodinis vertinimas, ugdymo duomenų kaupimas ir analizė, ataskaitų kūrimas.</w:t>
            </w:r>
          </w:p>
        </w:tc>
      </w:tr>
      <w:tr w:rsidR="00CD66C7" w:rsidRPr="00CD66C7" w14:paraId="0BEEA443" w14:textId="77777777" w:rsidTr="005B5E9F">
        <w:trPr>
          <w:trHeight w:val="300"/>
        </w:trPr>
        <w:tc>
          <w:tcPr>
            <w:tcW w:w="553" w:type="dxa"/>
            <w:vAlign w:val="center"/>
            <w:hideMark/>
          </w:tcPr>
          <w:p w14:paraId="6C390DD3"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63D44233"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60FC83C1"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2576C29"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Ugdymo programų kūrimas ir vystymas</w:t>
            </w:r>
          </w:p>
        </w:tc>
        <w:tc>
          <w:tcPr>
            <w:tcW w:w="4961" w:type="dxa"/>
            <w:shd w:val="clear" w:color="auto" w:fill="auto"/>
            <w:vAlign w:val="center"/>
          </w:tcPr>
          <w:p w14:paraId="7EDD540E"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Visų esamų ugdymo programų vystymas, tobulinimas bei korekcijos. Naujų programų, iniciatyvų, formatų, mokymų dizaino ir konceptų kūrimas atsižvelgiant į organizacijoje kylančius poreikius ir strategines kompetencijas.</w:t>
            </w:r>
          </w:p>
        </w:tc>
      </w:tr>
      <w:tr w:rsidR="00CD66C7" w:rsidRPr="00CD66C7" w14:paraId="1BE852D7" w14:textId="77777777" w:rsidTr="005B5E9F">
        <w:trPr>
          <w:trHeight w:val="300"/>
        </w:trPr>
        <w:tc>
          <w:tcPr>
            <w:tcW w:w="553" w:type="dxa"/>
            <w:vAlign w:val="center"/>
            <w:hideMark/>
          </w:tcPr>
          <w:p w14:paraId="5D204587"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3A1825CF"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val="restart"/>
            <w:shd w:val="clear" w:color="auto" w:fill="auto"/>
            <w:vAlign w:val="center"/>
          </w:tcPr>
          <w:p w14:paraId="4B6F40E7"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Papildomos ugdymo paslaugos</w:t>
            </w:r>
          </w:p>
        </w:tc>
        <w:tc>
          <w:tcPr>
            <w:tcW w:w="1522" w:type="dxa"/>
            <w:shd w:val="clear" w:color="auto" w:fill="auto"/>
            <w:vAlign w:val="center"/>
            <w:hideMark/>
          </w:tcPr>
          <w:p w14:paraId="0619BB6F"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Papildomos paslaugos, susijusios su ugdymu</w:t>
            </w:r>
          </w:p>
        </w:tc>
        <w:tc>
          <w:tcPr>
            <w:tcW w:w="4961" w:type="dxa"/>
            <w:shd w:val="clear" w:color="auto" w:fill="auto"/>
            <w:vAlign w:val="center"/>
          </w:tcPr>
          <w:p w14:paraId="243838D0"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Paslaugos, susijusios su ugdymo procesais ir įrankiais.</w:t>
            </w:r>
          </w:p>
        </w:tc>
      </w:tr>
      <w:tr w:rsidR="00CD66C7" w:rsidRPr="00CD66C7" w14:paraId="017D0188" w14:textId="77777777" w:rsidTr="005B5E9F">
        <w:trPr>
          <w:trHeight w:val="300"/>
        </w:trPr>
        <w:tc>
          <w:tcPr>
            <w:tcW w:w="553" w:type="dxa"/>
            <w:vAlign w:val="center"/>
            <w:hideMark/>
          </w:tcPr>
          <w:p w14:paraId="3ABEBC53"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424B9B29"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698C5A05"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486661C2" w14:textId="77777777" w:rsidR="00CD66C7" w:rsidRPr="00CD66C7" w:rsidRDefault="00CD66C7" w:rsidP="00CD66C7">
            <w:pPr>
              <w:spacing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Vidinių/išorinių mokymų organizavimas</w:t>
            </w:r>
          </w:p>
        </w:tc>
        <w:tc>
          <w:tcPr>
            <w:tcW w:w="4961" w:type="dxa"/>
            <w:shd w:val="clear" w:color="auto" w:fill="auto"/>
            <w:vAlign w:val="center"/>
          </w:tcPr>
          <w:p w14:paraId="1AC1378E"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Mokymų organizavimas per užklausų sistemą pateiktas mokymų užklausas ir visų kitų organizacinių veiksmų atlikimas, jog mokymai įvyktų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w:t>
            </w:r>
            <w:proofErr w:type="spellStart"/>
            <w:r w:rsidRPr="00CD66C7">
              <w:rPr>
                <w:rFonts w:eastAsia="Verdana" w:cs="Arial"/>
                <w:color w:val="000000" w:themeColor="text1"/>
                <w:sz w:val="20"/>
                <w:szCs w:val="20"/>
                <w:lang w:eastAsia="lt-LT"/>
              </w:rPr>
              <w:t>fasilitavimas</w:t>
            </w:r>
            <w:proofErr w:type="spellEnd"/>
            <w:r w:rsidRPr="00CD66C7">
              <w:rPr>
                <w:rFonts w:eastAsia="Verdana" w:cs="Arial"/>
                <w:color w:val="000000" w:themeColor="text1"/>
                <w:sz w:val="20"/>
                <w:szCs w:val="20"/>
                <w:lang w:eastAsia="lt-LT"/>
              </w:rPr>
              <w:t>, moderavimas, mokymų vedimas ir kt.). Rinkos paslaugų analizė, viešųjų pirkimų vykdymas, pasiūlymų vertinimas. Su mokymais susijusių išlaidų administravimas, patirties periodinis vertinimas, ugdymo duomenų kaupimas ir analizė, ataskaitų kūrimas.</w:t>
            </w:r>
          </w:p>
        </w:tc>
      </w:tr>
      <w:tr w:rsidR="00CD66C7" w:rsidRPr="00CD66C7" w14:paraId="78C8AEA3" w14:textId="77777777" w:rsidTr="005B5E9F">
        <w:trPr>
          <w:trHeight w:val="300"/>
        </w:trPr>
        <w:tc>
          <w:tcPr>
            <w:tcW w:w="553" w:type="dxa"/>
            <w:vAlign w:val="center"/>
            <w:hideMark/>
          </w:tcPr>
          <w:p w14:paraId="33B061B3"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10A0D8B6"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05A68471"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6033955D" w14:textId="77777777" w:rsidR="00CD66C7" w:rsidRPr="00CD66C7" w:rsidRDefault="00CD66C7" w:rsidP="00CD66C7">
            <w:pPr>
              <w:spacing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Privalomųjų mokymų organizavimas</w:t>
            </w:r>
          </w:p>
        </w:tc>
        <w:tc>
          <w:tcPr>
            <w:tcW w:w="4961" w:type="dxa"/>
            <w:shd w:val="clear" w:color="auto" w:fill="auto"/>
            <w:vAlign w:val="center"/>
          </w:tcPr>
          <w:p w14:paraId="35F5FCB8" w14:textId="77777777" w:rsidR="00CD66C7" w:rsidRPr="00CD66C7" w:rsidRDefault="00CD66C7" w:rsidP="005B5E9F">
            <w:pPr>
              <w:spacing w:after="160" w:line="259" w:lineRule="auto"/>
              <w:ind w:firstLine="0"/>
              <w:jc w:val="both"/>
              <w:rPr>
                <w:rFonts w:eastAsia="Verdana" w:cs="Arial"/>
                <w:sz w:val="20"/>
                <w:szCs w:val="20"/>
                <w:lang w:eastAsia="lt-LT"/>
              </w:rPr>
            </w:pPr>
            <w:r w:rsidRPr="00CD66C7">
              <w:rPr>
                <w:rFonts w:eastAsia="Verdana" w:cs="Arial"/>
                <w:sz w:val="20"/>
                <w:szCs w:val="20"/>
                <w:lang w:eastAsia="lt-LT"/>
              </w:rPr>
              <w:t>Mokymai, kurie yra privalomi įgyvendinant teisės aktų imperatyvius reikalavimus ir juos sėkmingai baigęs Darbuotojas įgyja reikiamas teises arba pasirengimą vykdyti tam tikrus darbus.</w:t>
            </w:r>
          </w:p>
          <w:p w14:paraId="38ECFE9A"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lastRenderedPageBreak/>
              <w:t>Mokymų organizavimas vyksta per užklausų sistemą pateiktas mokymų užklausas ir visų kitų organizacinių veiksmų atlikimas (pirkimo procedūros, kvietimai, datų ir lokacijos korekcijos, mokymuose dalyvavusių darbuotojų informacijos vedimas į registrus, pažymėjimų kopijų saugojimas ir archyvavimas tinkliniame diske ir kt.). Su mokymais susijusių išlaidų administravimas, bei dokumentų, kurie reikalingi pasirašyti po mokymų, persiuntimas darbuotojams ir/arba jų vadovams (mokymai organizuojami remiantis išorinių privalomųjų mokymų organizavimo ir administravimo procesu). Mokymai taip pat organizuojami remiantis duomenų bazėje esančiais duomenimis apie besibaigiančius pažymėjimus (įmonės, kurias jas turi) - šiems mokymams užklausų teikti nereikia.</w:t>
            </w:r>
          </w:p>
          <w:p w14:paraId="76F03907" w14:textId="77777777" w:rsidR="00CD66C7" w:rsidRPr="00CD66C7" w:rsidRDefault="00CD66C7" w:rsidP="005B5E9F">
            <w:pPr>
              <w:spacing w:after="160" w:line="259" w:lineRule="auto"/>
              <w:ind w:firstLine="0"/>
              <w:jc w:val="both"/>
              <w:rPr>
                <w:rFonts w:eastAsia="Verdana" w:cs="Arial"/>
                <w:sz w:val="20"/>
                <w:szCs w:val="20"/>
                <w:lang w:eastAsia="lt-LT"/>
              </w:rPr>
            </w:pPr>
            <w:r w:rsidRPr="00CD66C7">
              <w:rPr>
                <w:rFonts w:eastAsia="Verdana" w:cs="Arial"/>
                <w:color w:val="000000" w:themeColor="text1"/>
                <w:sz w:val="20"/>
                <w:szCs w:val="20"/>
                <w:lang w:eastAsia="lt-LT"/>
              </w:rPr>
              <w:t>Privalomųjų mokymų sutarčių privalomiesiems  mokymams rengimo pagalba įmonėms (dokumentų rengimas pagal šablonus, mokymų poreikio aprašymas, dokumentų iniciavimas).</w:t>
            </w:r>
          </w:p>
        </w:tc>
      </w:tr>
      <w:tr w:rsidR="00CD66C7" w:rsidRPr="00CD66C7" w14:paraId="5E0993E1" w14:textId="77777777" w:rsidTr="005B5E9F">
        <w:trPr>
          <w:trHeight w:val="300"/>
        </w:trPr>
        <w:tc>
          <w:tcPr>
            <w:tcW w:w="553" w:type="dxa"/>
            <w:vAlign w:val="center"/>
            <w:hideMark/>
          </w:tcPr>
          <w:p w14:paraId="45E08F09"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52DC34CB"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64E2387E"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59E376D" w14:textId="77777777" w:rsidR="00CD66C7" w:rsidRPr="00CD66C7" w:rsidRDefault="00CD66C7" w:rsidP="00CD66C7">
            <w:pPr>
              <w:spacing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E-mokymų kūrimas</w:t>
            </w:r>
          </w:p>
        </w:tc>
        <w:tc>
          <w:tcPr>
            <w:tcW w:w="4961" w:type="dxa"/>
            <w:shd w:val="clear" w:color="auto" w:fill="auto"/>
            <w:vAlign w:val="center"/>
          </w:tcPr>
          <w:p w14:paraId="31C141E4"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Poreikio išsiaiškinimas su užsakovu, turinio kūrimas, formato kūrimas, išorinių tiekėjų paieška ir vertinimas, e-mokymų sistemos administravimas.</w:t>
            </w:r>
          </w:p>
        </w:tc>
      </w:tr>
      <w:tr w:rsidR="00CD66C7" w:rsidRPr="00CD66C7" w14:paraId="790BA586" w14:textId="77777777" w:rsidTr="005B5E9F">
        <w:trPr>
          <w:trHeight w:val="300"/>
        </w:trPr>
        <w:tc>
          <w:tcPr>
            <w:tcW w:w="553" w:type="dxa"/>
            <w:vAlign w:val="center"/>
            <w:hideMark/>
          </w:tcPr>
          <w:p w14:paraId="307B0697"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7AB89F40"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17C256A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15824C69" w14:textId="77777777" w:rsidR="00CD66C7" w:rsidRPr="00CD66C7" w:rsidRDefault="00CD66C7" w:rsidP="00CD66C7">
            <w:pPr>
              <w:spacing w:line="259" w:lineRule="auto"/>
              <w:ind w:firstLine="0"/>
              <w:rPr>
                <w:rFonts w:eastAsia="Times New Roman" w:cs="Arial"/>
                <w:color w:val="000000"/>
                <w:sz w:val="20"/>
                <w:szCs w:val="20"/>
                <w:lang w:eastAsia="lt-LT"/>
              </w:rPr>
            </w:pPr>
            <w:r w:rsidRPr="00CD66C7">
              <w:rPr>
                <w:rFonts w:eastAsia="Verdana" w:cs="Arial"/>
                <w:color w:val="000000"/>
                <w:sz w:val="20"/>
                <w:szCs w:val="20"/>
                <w:lang w:eastAsia="lt-LT"/>
              </w:rPr>
              <w:t>Konsultacijos</w:t>
            </w:r>
          </w:p>
        </w:tc>
        <w:tc>
          <w:tcPr>
            <w:tcW w:w="4961" w:type="dxa"/>
            <w:shd w:val="clear" w:color="auto" w:fill="auto"/>
            <w:vAlign w:val="center"/>
          </w:tcPr>
          <w:p w14:paraId="42BA1D87"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Konsultacijos teikiamos organizacijos darbuotojams su ugdymu ir ugdymo sistemomis susijusiais klausimais.</w:t>
            </w:r>
          </w:p>
        </w:tc>
      </w:tr>
      <w:tr w:rsidR="00CD66C7" w:rsidRPr="00CD66C7" w14:paraId="16EBA313" w14:textId="77777777" w:rsidTr="005B5E9F">
        <w:trPr>
          <w:trHeight w:val="300"/>
        </w:trPr>
        <w:tc>
          <w:tcPr>
            <w:tcW w:w="553" w:type="dxa"/>
            <w:vAlign w:val="center"/>
            <w:hideMark/>
          </w:tcPr>
          <w:p w14:paraId="4ED9EB95"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192F8E2B"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506DD5B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20ABF1D8" w14:textId="77777777" w:rsidR="00CD66C7" w:rsidRPr="00CD66C7" w:rsidRDefault="00CD66C7" w:rsidP="00CD66C7">
            <w:pPr>
              <w:spacing w:line="259" w:lineRule="auto"/>
              <w:ind w:firstLine="0"/>
              <w:rPr>
                <w:rFonts w:eastAsia="Times New Roman" w:cs="Arial"/>
                <w:color w:val="000000"/>
                <w:sz w:val="20"/>
                <w:szCs w:val="20"/>
                <w:lang w:eastAsia="lt-LT"/>
              </w:rPr>
            </w:pPr>
            <w:r w:rsidRPr="00CD66C7">
              <w:rPr>
                <w:rFonts w:eastAsia="Verdana" w:cs="Arial"/>
                <w:color w:val="000000"/>
                <w:sz w:val="20"/>
                <w:szCs w:val="20"/>
                <w:lang w:eastAsia="lt-LT"/>
              </w:rPr>
              <w:t>Projektinė veikla</w:t>
            </w:r>
          </w:p>
        </w:tc>
        <w:tc>
          <w:tcPr>
            <w:tcW w:w="4961" w:type="dxa"/>
            <w:shd w:val="clear" w:color="auto" w:fill="auto"/>
            <w:vAlign w:val="center"/>
          </w:tcPr>
          <w:p w14:paraId="7F69BFAF"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Ugdymo funkciją įtraukianti projektinė veikla ir su ja susijusios užduotys.</w:t>
            </w:r>
          </w:p>
        </w:tc>
      </w:tr>
      <w:tr w:rsidR="00CD66C7" w:rsidRPr="00CD66C7" w14:paraId="7736595C" w14:textId="77777777" w:rsidTr="005B5E9F">
        <w:trPr>
          <w:trHeight w:val="330"/>
        </w:trPr>
        <w:tc>
          <w:tcPr>
            <w:tcW w:w="553" w:type="dxa"/>
            <w:vMerge w:val="restart"/>
            <w:shd w:val="clear" w:color="auto" w:fill="auto"/>
            <w:vAlign w:val="center"/>
            <w:hideMark/>
          </w:tcPr>
          <w:p w14:paraId="68DBC52D" w14:textId="77777777" w:rsidR="00CD66C7" w:rsidRPr="00CD66C7" w:rsidRDefault="00CD66C7" w:rsidP="00CD66C7">
            <w:pPr>
              <w:spacing w:line="259" w:lineRule="auto"/>
              <w:ind w:firstLine="0"/>
              <w:jc w:val="center"/>
              <w:rPr>
                <w:rFonts w:eastAsia="Times New Roman" w:cs="Arial"/>
                <w:sz w:val="20"/>
                <w:szCs w:val="20"/>
                <w:lang w:eastAsia="lt-LT"/>
              </w:rPr>
            </w:pPr>
            <w:r w:rsidRPr="00CD66C7">
              <w:rPr>
                <w:rFonts w:eastAsia="Times New Roman" w:cs="Arial"/>
                <w:sz w:val="20"/>
                <w:szCs w:val="20"/>
                <w:lang w:eastAsia="lt-LT"/>
              </w:rPr>
              <w:t>2.</w:t>
            </w:r>
          </w:p>
        </w:tc>
        <w:tc>
          <w:tcPr>
            <w:tcW w:w="1261" w:type="dxa"/>
            <w:vMerge w:val="restart"/>
            <w:shd w:val="clear" w:color="auto" w:fill="auto"/>
            <w:vAlign w:val="center"/>
            <w:hideMark/>
          </w:tcPr>
          <w:p w14:paraId="52282ECE"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Žmonių patirties ir motyvacijos paslauga</w:t>
            </w:r>
          </w:p>
        </w:tc>
        <w:tc>
          <w:tcPr>
            <w:tcW w:w="7822" w:type="dxa"/>
            <w:gridSpan w:val="3"/>
            <w:shd w:val="clear" w:color="auto" w:fill="auto"/>
            <w:vAlign w:val="center"/>
          </w:tcPr>
          <w:p w14:paraId="6A987E68"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Žmonių patirties ir motyvacijos vystymas bei administravimas</w:t>
            </w:r>
          </w:p>
        </w:tc>
      </w:tr>
      <w:tr w:rsidR="00CD66C7" w:rsidRPr="00CD66C7" w14:paraId="7683A347" w14:textId="77777777" w:rsidTr="005B5E9F">
        <w:trPr>
          <w:trHeight w:val="300"/>
        </w:trPr>
        <w:tc>
          <w:tcPr>
            <w:tcW w:w="553" w:type="dxa"/>
            <w:vMerge/>
            <w:vAlign w:val="center"/>
            <w:hideMark/>
          </w:tcPr>
          <w:p w14:paraId="7B0F08BE" w14:textId="77777777" w:rsidR="00CD66C7" w:rsidRPr="00CD66C7" w:rsidRDefault="00CD66C7" w:rsidP="00CD66C7">
            <w:pPr>
              <w:spacing w:line="259" w:lineRule="auto"/>
              <w:ind w:firstLine="0"/>
              <w:rPr>
                <w:rFonts w:eastAsia="Times New Roman" w:cs="Arial"/>
                <w:sz w:val="20"/>
                <w:szCs w:val="20"/>
                <w:lang w:eastAsia="lt-LT"/>
              </w:rPr>
            </w:pPr>
          </w:p>
        </w:tc>
        <w:tc>
          <w:tcPr>
            <w:tcW w:w="1261" w:type="dxa"/>
            <w:vMerge/>
            <w:vAlign w:val="center"/>
            <w:hideMark/>
          </w:tcPr>
          <w:p w14:paraId="0ACF57A3" w14:textId="77777777" w:rsidR="00CD66C7" w:rsidRPr="00CD66C7" w:rsidRDefault="00CD66C7" w:rsidP="00CD66C7">
            <w:pPr>
              <w:spacing w:line="259" w:lineRule="auto"/>
              <w:ind w:firstLine="0"/>
              <w:rPr>
                <w:rFonts w:eastAsia="Times New Roman" w:cs="Arial"/>
                <w:sz w:val="20"/>
                <w:szCs w:val="20"/>
                <w:lang w:eastAsia="lt-LT"/>
              </w:rPr>
            </w:pPr>
          </w:p>
        </w:tc>
        <w:tc>
          <w:tcPr>
            <w:tcW w:w="7822" w:type="dxa"/>
            <w:gridSpan w:val="3"/>
            <w:shd w:val="clear" w:color="auto" w:fill="auto"/>
            <w:vAlign w:val="center"/>
          </w:tcPr>
          <w:p w14:paraId="4F61D05F"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Konsultacijos</w:t>
            </w:r>
          </w:p>
        </w:tc>
      </w:tr>
      <w:tr w:rsidR="00CD66C7" w:rsidRPr="00CD66C7" w14:paraId="20813FF0" w14:textId="77777777" w:rsidTr="005B5E9F">
        <w:trPr>
          <w:trHeight w:val="300"/>
        </w:trPr>
        <w:tc>
          <w:tcPr>
            <w:tcW w:w="553" w:type="dxa"/>
            <w:vMerge/>
            <w:vAlign w:val="center"/>
            <w:hideMark/>
          </w:tcPr>
          <w:p w14:paraId="331BC1AC" w14:textId="77777777" w:rsidR="00CD66C7" w:rsidRPr="00CD66C7" w:rsidRDefault="00CD66C7" w:rsidP="00CD66C7">
            <w:pPr>
              <w:spacing w:line="259" w:lineRule="auto"/>
              <w:ind w:firstLine="0"/>
              <w:rPr>
                <w:rFonts w:eastAsia="Times New Roman" w:cs="Arial"/>
                <w:sz w:val="20"/>
                <w:szCs w:val="20"/>
                <w:lang w:eastAsia="lt-LT"/>
              </w:rPr>
            </w:pPr>
          </w:p>
        </w:tc>
        <w:tc>
          <w:tcPr>
            <w:tcW w:w="1261" w:type="dxa"/>
            <w:vMerge/>
            <w:vAlign w:val="center"/>
            <w:hideMark/>
          </w:tcPr>
          <w:p w14:paraId="4AE1A618" w14:textId="77777777" w:rsidR="00CD66C7" w:rsidRPr="00CD66C7" w:rsidRDefault="00CD66C7" w:rsidP="00CD66C7">
            <w:pPr>
              <w:spacing w:line="259" w:lineRule="auto"/>
              <w:ind w:firstLine="0"/>
              <w:rPr>
                <w:rFonts w:eastAsia="Times New Roman" w:cs="Arial"/>
                <w:sz w:val="20"/>
                <w:szCs w:val="20"/>
                <w:lang w:eastAsia="lt-LT"/>
              </w:rPr>
            </w:pPr>
          </w:p>
        </w:tc>
        <w:tc>
          <w:tcPr>
            <w:tcW w:w="7822" w:type="dxa"/>
            <w:gridSpan w:val="3"/>
            <w:shd w:val="clear" w:color="auto" w:fill="auto"/>
            <w:vAlign w:val="center"/>
          </w:tcPr>
          <w:p w14:paraId="4DADD2EA"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Projektinė veikla</w:t>
            </w:r>
          </w:p>
        </w:tc>
      </w:tr>
      <w:tr w:rsidR="00CD66C7" w:rsidRPr="00CD66C7" w14:paraId="5AB04578" w14:textId="77777777" w:rsidTr="005B5E9F">
        <w:trPr>
          <w:trHeight w:val="300"/>
        </w:trPr>
        <w:tc>
          <w:tcPr>
            <w:tcW w:w="553" w:type="dxa"/>
            <w:vAlign w:val="center"/>
          </w:tcPr>
          <w:p w14:paraId="197EA75E"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3.</w:t>
            </w:r>
          </w:p>
        </w:tc>
        <w:tc>
          <w:tcPr>
            <w:tcW w:w="1261" w:type="dxa"/>
            <w:vAlign w:val="center"/>
          </w:tcPr>
          <w:p w14:paraId="2AE77813"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Personalo verslo partnerio paslauga</w:t>
            </w:r>
          </w:p>
        </w:tc>
        <w:tc>
          <w:tcPr>
            <w:tcW w:w="7822" w:type="dxa"/>
            <w:gridSpan w:val="3"/>
            <w:shd w:val="clear" w:color="auto" w:fill="auto"/>
            <w:vAlign w:val="center"/>
          </w:tcPr>
          <w:p w14:paraId="0CF629DA" w14:textId="77777777" w:rsidR="00CD66C7" w:rsidRPr="00CD66C7" w:rsidRDefault="00CD66C7" w:rsidP="00CD66C7">
            <w:pPr>
              <w:spacing w:line="259" w:lineRule="auto"/>
              <w:ind w:firstLine="0"/>
              <w:rPr>
                <w:rFonts w:eastAsia="Times New Roman" w:cs="Arial"/>
                <w:sz w:val="20"/>
                <w:szCs w:val="20"/>
                <w:lang w:eastAsia="lt-LT"/>
              </w:rPr>
            </w:pPr>
          </w:p>
        </w:tc>
      </w:tr>
    </w:tbl>
    <w:p w14:paraId="26545C8A" w14:textId="77777777" w:rsidR="00CD66C7" w:rsidRDefault="00CD66C7" w:rsidP="003E1F23">
      <w:pPr>
        <w:tabs>
          <w:tab w:val="left" w:pos="284"/>
          <w:tab w:val="left" w:pos="567"/>
        </w:tabs>
        <w:spacing w:before="60" w:after="60"/>
        <w:ind w:firstLine="0"/>
        <w:jc w:val="both"/>
        <w:rPr>
          <w:rFonts w:cs="Arial"/>
          <w:sz w:val="20"/>
          <w:szCs w:val="20"/>
        </w:rPr>
      </w:pPr>
    </w:p>
    <w:bookmarkEnd w:id="6"/>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lastRenderedPageBreak/>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E0325" w14:textId="77777777" w:rsidR="00932773" w:rsidRDefault="00932773" w:rsidP="00427694">
      <w:r>
        <w:separator/>
      </w:r>
    </w:p>
  </w:endnote>
  <w:endnote w:type="continuationSeparator" w:id="0">
    <w:p w14:paraId="4D5F4024" w14:textId="77777777" w:rsidR="00932773" w:rsidRDefault="0093277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71388" w14:textId="77777777" w:rsidR="00932773" w:rsidRDefault="00932773" w:rsidP="00427694">
      <w:r>
        <w:separator/>
      </w:r>
    </w:p>
  </w:footnote>
  <w:footnote w:type="continuationSeparator" w:id="0">
    <w:p w14:paraId="6A162B72" w14:textId="77777777" w:rsidR="00932773" w:rsidRDefault="00932773"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1DE1282D"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A0168"/>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1F6993"/>
    <w:rsid w:val="00205616"/>
    <w:rsid w:val="00211B4C"/>
    <w:rsid w:val="00221B57"/>
    <w:rsid w:val="00233CBB"/>
    <w:rsid w:val="002465CA"/>
    <w:rsid w:val="002528BA"/>
    <w:rsid w:val="002635E4"/>
    <w:rsid w:val="00270435"/>
    <w:rsid w:val="00297CFA"/>
    <w:rsid w:val="002A737B"/>
    <w:rsid w:val="002B4BC7"/>
    <w:rsid w:val="002C60CA"/>
    <w:rsid w:val="002D7E6C"/>
    <w:rsid w:val="002F1089"/>
    <w:rsid w:val="00306CCA"/>
    <w:rsid w:val="00313BDA"/>
    <w:rsid w:val="00314387"/>
    <w:rsid w:val="00314B3D"/>
    <w:rsid w:val="00317C25"/>
    <w:rsid w:val="00325F1B"/>
    <w:rsid w:val="00330E61"/>
    <w:rsid w:val="0033672E"/>
    <w:rsid w:val="0034052D"/>
    <w:rsid w:val="00341196"/>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98E"/>
    <w:rsid w:val="00525C20"/>
    <w:rsid w:val="0054193F"/>
    <w:rsid w:val="00554F68"/>
    <w:rsid w:val="005859F6"/>
    <w:rsid w:val="00597020"/>
    <w:rsid w:val="005A6AD4"/>
    <w:rsid w:val="005B5E9F"/>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1096E"/>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1FCC"/>
    <w:rsid w:val="00924F7D"/>
    <w:rsid w:val="00926949"/>
    <w:rsid w:val="00932773"/>
    <w:rsid w:val="00933309"/>
    <w:rsid w:val="00935514"/>
    <w:rsid w:val="00946C35"/>
    <w:rsid w:val="00946F60"/>
    <w:rsid w:val="00952518"/>
    <w:rsid w:val="00961423"/>
    <w:rsid w:val="00977724"/>
    <w:rsid w:val="00985E83"/>
    <w:rsid w:val="00993BA2"/>
    <w:rsid w:val="009A3EE4"/>
    <w:rsid w:val="009A63CF"/>
    <w:rsid w:val="009B1379"/>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5745"/>
    <w:rsid w:val="00AC62D4"/>
    <w:rsid w:val="00AC7184"/>
    <w:rsid w:val="00AD198A"/>
    <w:rsid w:val="00AD23DC"/>
    <w:rsid w:val="00AD43AE"/>
    <w:rsid w:val="00AD4AE5"/>
    <w:rsid w:val="00AD53AF"/>
    <w:rsid w:val="00AD607D"/>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BF763C"/>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B20DE"/>
    <w:rsid w:val="00CC47F4"/>
    <w:rsid w:val="00CC741B"/>
    <w:rsid w:val="00CD2376"/>
    <w:rsid w:val="00CD3D9D"/>
    <w:rsid w:val="00CD66C7"/>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565B6"/>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0795"/>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4265"/>
    <w:rsid w:val="00F57A8D"/>
    <w:rsid w:val="00F7214E"/>
    <w:rsid w:val="00F74794"/>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CD3D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0A22BE7CD14D4FBD0CD8C369D4EB8F"/>
        <w:category>
          <w:name w:val="General"/>
          <w:gallery w:val="placeholder"/>
        </w:category>
        <w:types>
          <w:type w:val="bbPlcHdr"/>
        </w:types>
        <w:behaviors>
          <w:behavior w:val="content"/>
        </w:behaviors>
        <w:guid w:val="{CDFBC780-887A-4BA7-85EB-D3C07088A440}"/>
      </w:docPartPr>
      <w:docPartBody>
        <w:p w:rsidR="00DC494A" w:rsidRDefault="00D957AF" w:rsidP="00D957AF">
          <w:pPr>
            <w:pStyle w:val="320A22BE7CD14D4FBD0CD8C369D4EB8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D6"/>
    <w:rsid w:val="001142D6"/>
    <w:rsid w:val="001623FC"/>
    <w:rsid w:val="002B791B"/>
    <w:rsid w:val="00334A0F"/>
    <w:rsid w:val="00555571"/>
    <w:rsid w:val="00754B3C"/>
    <w:rsid w:val="009763FE"/>
    <w:rsid w:val="00A911A0"/>
    <w:rsid w:val="00BB7056"/>
    <w:rsid w:val="00D957AF"/>
    <w:rsid w:val="00DC4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7AF"/>
    <w:rPr>
      <w:color w:val="808080"/>
    </w:rPr>
  </w:style>
  <w:style w:type="paragraph" w:customStyle="1" w:styleId="320A22BE7CD14D4FBD0CD8C369D4EB8F1">
    <w:name w:val="320A22BE7CD14D4FBD0CD8C369D4EB8F1"/>
    <w:rsid w:val="00D957AF"/>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73D406F7-0C7D-42F3-9A96-13E3CFAC2669}">
  <ds:schemaRefs>
    <ds:schemaRef ds:uri="http://schemas.openxmlformats.org/officeDocument/2006/bibliography"/>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635356-C2B2-4928-96FD-BD90FDB1F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6725</Words>
  <Characters>3834</Characters>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2019-11-20T08:52:00Z</dcterms:created>
  <dcterms:modified xsi:type="dcterms:W3CDTF">2021-12-13T05:42:00Z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2021-12-03T05:58:32Z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