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2E8A" w:rsidR="00085A74" w:rsidP="00085A74" w:rsidRDefault="00085A74" w14:paraId="36B29923" w14:textId="77777777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:rsidRPr="00317C25" w:rsidR="00085A74" w:rsidP="00085A74" w:rsidRDefault="00085A74" w14:paraId="7CA9B498" w14:textId="77777777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:rsidRPr="00317C25" w:rsidR="00085A74" w:rsidP="00085A74" w:rsidRDefault="00085A74" w14:paraId="1582261B" w14:textId="77777777">
      <w:pPr>
        <w:pStyle w:val="ListParagraph"/>
        <w:numPr>
          <w:ilvl w:val="0"/>
          <w:numId w:val="1"/>
        </w:numPr>
        <w:pBdr>
          <w:top w:val="single" w:color="auto" w:sz="12" w:space="1"/>
          <w:bottom w:val="single" w:color="auto" w:sz="12" w:space="1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:rsidRPr="00D00AD9" w:rsidR="00085A74" w:rsidP="00085A74" w:rsidRDefault="00085A74" w14:paraId="3CFC8917" w14:textId="28308579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91FD6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>R</w:t>
      </w:r>
      <w:r w:rsidRPr="00221796" w:rsidR="009E40ED">
        <w:rPr>
          <w:rFonts w:cs="Arial"/>
          <w:sz w:val="20"/>
          <w:szCs w:val="20"/>
        </w:rPr>
        <w:t>inkodaros valdymo konsultacinės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221796">
        <w:rPr>
          <w:rFonts w:cs="Arial"/>
          <w:sz w:val="20"/>
          <w:szCs w:val="20"/>
        </w:rPr>
        <w:t xml:space="preserve"> </w:t>
      </w:r>
    </w:p>
    <w:p w:rsidRPr="00D00AD9" w:rsidR="00A537EF" w:rsidP="3ECCF99D" w:rsidRDefault="00F60683" w14:paraId="0CFCDEB6" w14:textId="2E6E671A" w14:noSpellErr="1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  <w:lang w:val="lt-LT"/>
        </w:rPr>
      </w:pPr>
      <w:r w:rsidRPr="3ECCF99D" w:rsidR="00F60683">
        <w:rPr>
          <w:rFonts w:cs="Arial"/>
          <w:b w:val="1"/>
          <w:bCs w:val="1"/>
          <w:sz w:val="20"/>
          <w:szCs w:val="20"/>
          <w:lang w:val="lt-LT"/>
        </w:rPr>
        <w:t>Pirkėjas</w:t>
      </w:r>
      <w:r w:rsidRPr="3ECCF99D" w:rsidR="00C56F19">
        <w:rPr>
          <w:rFonts w:cs="Arial"/>
          <w:b w:val="1"/>
          <w:bCs w:val="1"/>
          <w:sz w:val="20"/>
          <w:szCs w:val="20"/>
          <w:lang w:val="lt-LT"/>
        </w:rPr>
        <w:t xml:space="preserve"> arba Bendrovė</w:t>
      </w:r>
      <w:r w:rsidRPr="3ECCF99D" w:rsidR="00085A74">
        <w:rPr>
          <w:rFonts w:cs="Arial"/>
          <w:b w:val="1"/>
          <w:bCs w:val="1"/>
          <w:sz w:val="20"/>
          <w:szCs w:val="20"/>
          <w:lang w:val="lt-LT"/>
        </w:rPr>
        <w:t xml:space="preserve"> </w:t>
      </w:r>
      <w:r w:rsidRPr="3ECCF99D" w:rsidR="00085A74">
        <w:rPr>
          <w:rFonts w:cs="Arial"/>
          <w:sz w:val="20"/>
          <w:szCs w:val="20"/>
          <w:lang w:val="lt-LT"/>
        </w:rPr>
        <w:t>–</w:t>
      </w:r>
      <w:r w:rsidRPr="3ECCF99D" w:rsidR="00DE6560">
        <w:rPr>
          <w:rFonts w:cs="Arial"/>
          <w:sz w:val="20"/>
          <w:szCs w:val="20"/>
          <w:lang w:val="lt-LT"/>
        </w:rPr>
        <w:t xml:space="preserve"> </w:t>
      </w:r>
      <w:bookmarkStart w:name="_Hlk31698696" w:id="0"/>
      <w:sdt>
        <w:sdtPr>
          <w:id w:val="1799497722"/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  <w:placeholder>
            <w:docPart w:val="885A40536C59438CA4D94962A225F457"/>
          </w:placeholder>
        </w:sdtPr>
        <w:sdtContent>
          <w:r w:rsidRPr="3ECCF99D" w:rsidR="00265224">
            <w:rPr>
              <w:lang w:val="lt-LT"/>
            </w:rPr>
            <w:t>UAB „Ignitis“</w:t>
          </w:r>
        </w:sdtContent>
      </w:sdt>
      <w:bookmarkEnd w:id="0"/>
    </w:p>
    <w:p w:rsidRPr="00A537EF" w:rsidR="00085A74" w:rsidP="0078338E" w:rsidRDefault="00085A74" w14:paraId="637E3650" w14:textId="5BF8A76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537EF">
        <w:rPr>
          <w:rFonts w:cs="Arial"/>
          <w:b/>
          <w:bCs/>
          <w:sz w:val="20"/>
          <w:szCs w:val="20"/>
        </w:rPr>
        <w:t>Tiekėjas</w:t>
      </w:r>
      <w:r w:rsidRPr="00A537EF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A537EF">
        <w:rPr>
          <w:rFonts w:cs="Arial"/>
          <w:sz w:val="20"/>
          <w:szCs w:val="20"/>
        </w:rPr>
        <w:t xml:space="preserve"> grupė.</w:t>
      </w:r>
      <w:r w:rsidRPr="00A537EF" w:rsidR="00166AD8">
        <w:rPr>
          <w:rFonts w:cs="Arial"/>
          <w:sz w:val="20"/>
          <w:szCs w:val="20"/>
        </w:rPr>
        <w:t xml:space="preserve"> </w:t>
      </w:r>
    </w:p>
    <w:p w:rsidRPr="00D00AD9" w:rsidR="00085A74" w:rsidP="00085A74" w:rsidRDefault="00085A74" w14:paraId="7BF67AAB" w14:textId="77777777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:rsidRPr="00317C25" w:rsidR="00085A74" w:rsidP="00085A74" w:rsidRDefault="00085A74" w14:paraId="39CCE9A2" w14:textId="77777777">
      <w:pPr>
        <w:pStyle w:val="ListParagraph"/>
        <w:numPr>
          <w:ilvl w:val="0"/>
          <w:numId w:val="1"/>
        </w:numPr>
        <w:pBdr>
          <w:top w:val="single" w:color="auto" w:sz="12" w:space="1"/>
          <w:bottom w:val="single" w:color="auto" w:sz="12" w:space="1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:rsidRPr="00D00AD9" w:rsidR="00CE17F8" w:rsidP="00CE17F8" w:rsidRDefault="00CD0AF5" w14:paraId="32A60B01" w14:textId="4C7A2835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Pirkimo objektas – Techninės specifikacijos 1.1. p. nurodytos Paslaugos. </w:t>
      </w:r>
      <w:r w:rsidRPr="00D00AD9" w:rsidR="00085A74">
        <w:rPr>
          <w:rFonts w:cs="Arial"/>
          <w:bCs/>
          <w:sz w:val="20"/>
          <w:szCs w:val="20"/>
        </w:rPr>
        <w:t>Detalus Paslaugų aprašymas pateikiamas šios Techninės specifikacijos 3</w:t>
      </w:r>
      <w:r w:rsidRPr="00D00AD9" w:rsidR="00A37745">
        <w:rPr>
          <w:rFonts w:cs="Arial"/>
          <w:bCs/>
          <w:sz w:val="20"/>
          <w:szCs w:val="20"/>
        </w:rPr>
        <w:t xml:space="preserve"> ir 4 skyriuose</w:t>
      </w:r>
      <w:r w:rsidRPr="00D00AD9" w:rsidR="00085A74">
        <w:rPr>
          <w:rFonts w:cs="Arial"/>
          <w:bCs/>
          <w:sz w:val="20"/>
          <w:szCs w:val="20"/>
        </w:rPr>
        <w:t>.</w:t>
      </w:r>
    </w:p>
    <w:p w:rsidRPr="00317C25" w:rsidR="00085A74" w:rsidP="00085A74" w:rsidRDefault="00085A74" w14:paraId="501EBD3B" w14:textId="77777777">
      <w:pPr>
        <w:pStyle w:val="ListParagraph"/>
        <w:numPr>
          <w:ilvl w:val="0"/>
          <w:numId w:val="1"/>
        </w:numPr>
        <w:pBdr>
          <w:top w:val="single" w:color="auto" w:sz="12" w:space="1"/>
          <w:bottom w:val="single" w:color="auto" w:sz="12" w:space="1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:rsidR="004020B0" w:rsidP="200ABE37" w:rsidRDefault="00430ED8" w14:paraId="2B2584F0" w14:textId="22F63F2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200ABE37">
        <w:rPr>
          <w:rFonts w:cs="Arial"/>
          <w:sz w:val="20"/>
          <w:szCs w:val="20"/>
        </w:rPr>
        <w:t>Preliminarus Paslaugų kiekis (apimtis) išreiškiamas maksimali</w:t>
      </w:r>
      <w:r w:rsidRPr="200ABE37" w:rsidR="00C56F19">
        <w:rPr>
          <w:rFonts w:cs="Arial"/>
          <w:sz w:val="20"/>
          <w:szCs w:val="20"/>
        </w:rPr>
        <w:t>a</w:t>
      </w:r>
      <w:r w:rsidRPr="200ABE37">
        <w:rPr>
          <w:rFonts w:cs="Arial"/>
          <w:sz w:val="20"/>
          <w:szCs w:val="20"/>
        </w:rPr>
        <w:t xml:space="preserve"> pirkimui (sutarčiai) skirt</w:t>
      </w:r>
      <w:r w:rsidRPr="200ABE37" w:rsidR="00C56F19">
        <w:rPr>
          <w:rFonts w:cs="Arial"/>
          <w:sz w:val="20"/>
          <w:szCs w:val="20"/>
        </w:rPr>
        <w:t>a</w:t>
      </w:r>
      <w:r w:rsidRPr="200ABE37">
        <w:rPr>
          <w:rFonts w:cs="Arial"/>
          <w:sz w:val="20"/>
          <w:szCs w:val="20"/>
        </w:rPr>
        <w:t xml:space="preserve"> lėšų suma – </w:t>
      </w:r>
      <w:r w:rsidRPr="002D0F7E" w:rsidR="002D0F7E">
        <w:rPr>
          <w:rFonts w:cs="Arial"/>
          <w:b/>
          <w:bCs/>
          <w:sz w:val="20"/>
          <w:szCs w:val="20"/>
        </w:rPr>
        <w:t>6 000 000</w:t>
      </w:r>
      <w:r w:rsidRPr="002D0F7E">
        <w:rPr>
          <w:rFonts w:cs="Arial"/>
          <w:b/>
          <w:bCs/>
          <w:sz w:val="20"/>
          <w:szCs w:val="20"/>
        </w:rPr>
        <w:t xml:space="preserve"> </w:t>
      </w:r>
      <w:r w:rsidRPr="200ABE37">
        <w:rPr>
          <w:rFonts w:cs="Arial"/>
          <w:b/>
          <w:bCs/>
          <w:sz w:val="20"/>
          <w:szCs w:val="20"/>
        </w:rPr>
        <w:t>EUR be PVM</w:t>
      </w:r>
      <w:r w:rsidRPr="200ABE37">
        <w:rPr>
          <w:rFonts w:cs="Arial"/>
          <w:sz w:val="20"/>
          <w:szCs w:val="20"/>
        </w:rPr>
        <w:t xml:space="preserve">. Bendrovė turi teisę įsigyti Paslaugas pagal poreikį ir neįsipareigoja sutarties vykdymo metu nupirkti viso Paslaugų kiekio (apimties). </w:t>
      </w:r>
    </w:p>
    <w:p w:rsidR="004020B0" w:rsidP="00CE418F" w:rsidRDefault="004020B0" w14:paraId="0006F81F" w14:textId="6E989DB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 xml:space="preserve">Galutinė kaina, kurią Bendrovė sumokės Tiekėjui vykdant </w:t>
      </w:r>
      <w:r w:rsidR="00F47231">
        <w:rPr>
          <w:rFonts w:cs="Arial"/>
          <w:bCs/>
          <w:sz w:val="20"/>
          <w:szCs w:val="20"/>
        </w:rPr>
        <w:t>S</w:t>
      </w:r>
      <w:r w:rsidRPr="004020B0">
        <w:rPr>
          <w:rFonts w:cs="Arial"/>
          <w:bCs/>
          <w:sz w:val="20"/>
          <w:szCs w:val="20"/>
        </w:rPr>
        <w:t>utartį</w:t>
      </w:r>
      <w:r w:rsidR="00C56F1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Pr="004020B0" w:rsidR="00C56F19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C56F19">
        <w:rPr>
          <w:rFonts w:cs="Arial"/>
          <w:bCs/>
          <w:sz w:val="20"/>
          <w:szCs w:val="20"/>
        </w:rPr>
        <w:t>Pirkėju</w:t>
      </w:r>
      <w:r w:rsidRPr="004020B0" w:rsidR="00C56F19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:rsidRPr="004020B0" w:rsidR="008D31D6" w:rsidP="008D31D6" w:rsidRDefault="008D31D6" w14:paraId="0A36FBCB" w14:textId="77777777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:rsidR="002B4BC7" w:rsidP="00CE418F" w:rsidRDefault="00C56F19" w14:paraId="57F2123B" w14:textId="1272C7B1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Rinkodaros valdymo konsultacinių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Pr="00FE7F93" w:rsidR="002B4BC7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588"/>
        <w:gridCol w:w="2551"/>
      </w:tblGrid>
      <w:tr w:rsidRPr="00600808" w:rsidR="000819AB" w:rsidTr="00B91FD6" w14:paraId="235A4DA3" w14:textId="77777777">
        <w:trPr>
          <w:trHeight w:val="540"/>
        </w:trPr>
        <w:tc>
          <w:tcPr>
            <w:tcW w:w="500" w:type="dxa"/>
            <w:shd w:val="clear" w:color="auto" w:fill="BFBFBF" w:themeFill="background1" w:themeFillShade="BF"/>
            <w:vAlign w:val="center"/>
          </w:tcPr>
          <w:p w:rsidRPr="00600808" w:rsidR="000819AB" w:rsidP="00AF3BA7" w:rsidRDefault="000819AB" w14:paraId="57B9EFAA" w14:textId="77777777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588" w:type="dxa"/>
            <w:shd w:val="clear" w:color="auto" w:fill="BFBFBF" w:themeFill="background1" w:themeFillShade="BF"/>
            <w:vAlign w:val="center"/>
            <w:hideMark/>
          </w:tcPr>
          <w:p w:rsidRPr="00600808" w:rsidR="000819AB" w:rsidP="005C43BE" w:rsidRDefault="000819AB" w14:paraId="132C3330" w14:textId="7777777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  <w:hideMark/>
          </w:tcPr>
          <w:p w:rsidRPr="00600808" w:rsidR="000819AB" w:rsidP="005C43BE" w:rsidRDefault="000819AB" w14:paraId="21B47788" w14:textId="7777777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Pr="00600808" w:rsidR="000819AB" w:rsidTr="00B91FD6" w14:paraId="299A3723" w14:textId="77777777">
        <w:trPr>
          <w:trHeight w:val="330"/>
        </w:trPr>
        <w:tc>
          <w:tcPr>
            <w:tcW w:w="500" w:type="dxa"/>
            <w:vAlign w:val="center"/>
          </w:tcPr>
          <w:p w:rsidRPr="00600808" w:rsidR="000819AB" w:rsidP="00AF3BA7" w:rsidRDefault="000819AB" w14:paraId="5A6126A7" w14:textId="77777777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6588" w:type="dxa"/>
            <w:shd w:val="clear" w:color="auto" w:fill="auto"/>
            <w:vAlign w:val="center"/>
          </w:tcPr>
          <w:p w:rsidRPr="00600808" w:rsidR="000819AB" w:rsidP="009E40ED" w:rsidRDefault="00C56F19" w14:paraId="5C14B699" w14:textId="5B826E2F">
            <w:pPr>
              <w:ind w:left="63"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Pr="00221796" w:rsidR="009E40ED">
              <w:rPr>
                <w:rFonts w:cs="Arial"/>
                <w:sz w:val="20"/>
                <w:szCs w:val="20"/>
              </w:rPr>
              <w:t>inkodaros valdymo konsultacinės</w:t>
            </w:r>
            <w:r w:rsidR="009E40ED">
              <w:rPr>
                <w:rFonts w:cs="Arial"/>
                <w:sz w:val="20"/>
                <w:szCs w:val="20"/>
              </w:rPr>
              <w:t xml:space="preserve"> paslaugos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Pr="00600808" w:rsidR="000819AB" w:rsidP="005C43BE" w:rsidRDefault="000819AB" w14:paraId="21ADF4EF" w14:textId="7777777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:rsidR="00C21607" w:rsidP="00C21607" w:rsidRDefault="00C21607" w14:paraId="6454E5DF" w14:textId="77777777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:rsidRPr="003E1F23" w:rsidR="00FC4D0B" w:rsidP="00CE418F" w:rsidRDefault="00FC4D0B" w14:paraId="1B19163A" w14:textId="3816DF9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 xml:space="preserve">Rinkodaros </w:t>
      </w:r>
      <w:r>
        <w:rPr>
          <w:rFonts w:cs="Arial"/>
          <w:sz w:val="20"/>
          <w:szCs w:val="20"/>
        </w:rPr>
        <w:t>valdymo</w:t>
      </w:r>
      <w:r w:rsidRPr="003E1F23">
        <w:rPr>
          <w:rFonts w:cs="Arial"/>
          <w:bCs/>
          <w:sz w:val="20"/>
          <w:szCs w:val="20"/>
        </w:rPr>
        <w:t xml:space="preserve"> </w:t>
      </w:r>
      <w:r w:rsidR="00C56F19">
        <w:rPr>
          <w:rFonts w:cs="Arial"/>
          <w:bCs/>
          <w:sz w:val="20"/>
          <w:szCs w:val="20"/>
        </w:rPr>
        <w:t xml:space="preserve">konsultacines </w:t>
      </w:r>
      <w:r w:rsidRPr="003E1F23">
        <w:rPr>
          <w:rFonts w:cs="Arial"/>
          <w:bCs/>
          <w:sz w:val="20"/>
          <w:szCs w:val="20"/>
        </w:rPr>
        <w:t xml:space="preserve">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:rsidRPr="0097351E" w:rsidR="00DC557E" w:rsidP="00FC4D0B" w:rsidRDefault="00DC557E" w14:paraId="325104AB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:rsidRPr="0097351E" w:rsidR="00DC557E" w:rsidP="00FC4D0B" w:rsidRDefault="00DC557E" w14:paraId="692CD6A8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:rsidRPr="0097351E" w:rsidR="00DC557E" w:rsidP="00FC4D0B" w:rsidRDefault="00DC557E" w14:paraId="7833D042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:rsidRPr="0097351E" w:rsidR="00DC557E" w:rsidP="00FC4D0B" w:rsidRDefault="00DC557E" w14:paraId="76C95D06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:rsidRPr="0097351E" w:rsidR="00DC557E" w:rsidP="00FC4D0B" w:rsidRDefault="00DC557E" w14:paraId="2602A27F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:rsidRPr="0097351E" w:rsidR="00DC557E" w:rsidP="00FC4D0B" w:rsidRDefault="00DC557E" w14:paraId="4E20AA98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:rsidRPr="0097351E" w:rsidR="00DC557E" w:rsidP="00FC4D0B" w:rsidRDefault="00DC557E" w14:paraId="563D557F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:rsidR="00DC557E" w:rsidP="00FC4D0B" w:rsidRDefault="00DC557E" w14:paraId="0A05BF88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:rsidR="00DC557E" w:rsidP="00FC4D0B" w:rsidRDefault="00DC557E" w14:paraId="19918872" w14:textId="67EA3862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:rsidR="00DC557E" w:rsidP="00FC4D0B" w:rsidRDefault="00DC557E" w14:paraId="7F2C2E30" w14:textId="1F81F73F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:rsidRPr="00702625" w:rsidR="00DC557E" w:rsidP="00FC4D0B" w:rsidRDefault="00DC557E" w14:paraId="5CF4F127" w14:textId="77777777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:rsidRPr="005C43BE" w:rsidR="00BD35F8" w:rsidP="00CE418F" w:rsidRDefault="00BD35F8" w14:paraId="27F6255E" w14:textId="1FABB46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C56F19">
        <w:rPr>
          <w:rFonts w:cs="Arial"/>
          <w:bCs/>
          <w:sz w:val="20"/>
          <w:szCs w:val="20"/>
        </w:rPr>
        <w:t xml:space="preserve">Rinkodaros </w:t>
      </w:r>
      <w:r>
        <w:rPr>
          <w:rFonts w:cs="Arial"/>
          <w:bCs/>
          <w:sz w:val="20"/>
          <w:szCs w:val="20"/>
        </w:rPr>
        <w:t>valdymo</w:t>
      </w:r>
      <w:r w:rsidR="00C56F19">
        <w:rPr>
          <w:rFonts w:cs="Arial"/>
          <w:bCs/>
          <w:sz w:val="20"/>
          <w:szCs w:val="20"/>
        </w:rPr>
        <w:t xml:space="preserve"> konsultacinių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:rsidR="0054193F" w:rsidP="0054193F" w:rsidRDefault="0054193F" w14:paraId="6FA8DEEC" w14:textId="77777777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:rsidRPr="00317C25" w:rsidR="00F0442E" w:rsidP="00C00C81" w:rsidRDefault="00FC4915" w14:paraId="0183AD38" w14:textId="03E7BE8A">
      <w:pPr>
        <w:pStyle w:val="ListParagraph"/>
        <w:numPr>
          <w:ilvl w:val="0"/>
          <w:numId w:val="1"/>
        </w:numPr>
        <w:pBdr>
          <w:top w:val="single" w:color="auto" w:sz="12" w:space="1"/>
          <w:bottom w:val="single" w:color="auto" w:sz="12" w:space="1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Pr="00317C25" w:rsidR="00C77922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:rsidRPr="00F60683" w:rsidR="004B218A" w:rsidP="00F60683" w:rsidRDefault="00085A74" w14:paraId="3BA8E87C" w14:textId="64DF2AB4">
      <w:pPr>
        <w:pStyle w:val="ListParagraph"/>
        <w:numPr>
          <w:ilvl w:val="1"/>
          <w:numId w:val="1"/>
        </w:numPr>
        <w:pBdr>
          <w:bottom w:val="single" w:color="auto" w:sz="12" w:space="1"/>
          <w:between w:val="single" w:color="auto" w:sz="12" w:space="1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name="_Ref399245758" w:id="1"/>
      <w:r w:rsidRPr="0090702B">
        <w:rPr>
          <w:rFonts w:cs="Arial"/>
          <w:b/>
          <w:sz w:val="20"/>
          <w:szCs w:val="20"/>
        </w:rPr>
        <w:t>Pirkimo objekto aprašymas</w:t>
      </w:r>
      <w:bookmarkStart w:name="_Ref399245810" w:id="2"/>
      <w:bookmarkEnd w:id="1"/>
    </w:p>
    <w:p w:rsidRPr="0090702B" w:rsidR="003E1F23" w:rsidP="0090702B" w:rsidRDefault="00C56F19" w14:paraId="6A233C97" w14:textId="1935CBDC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Rinkodaros valdymo konsultacinės</w:t>
      </w:r>
      <w:r w:rsidRPr="0090702B">
        <w:rPr>
          <w:rFonts w:cs="Arial"/>
          <w:b/>
          <w:sz w:val="20"/>
          <w:szCs w:val="20"/>
        </w:rPr>
        <w:t xml:space="preserve"> </w:t>
      </w:r>
      <w:r w:rsidRPr="0090702B" w:rsidR="003E1F23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29"/>
      </w:tblGrid>
      <w:tr w:rsidRPr="0090702B" w:rsidR="003E1F23" w:rsidTr="3ECCF99D" w14:paraId="4D7A0F3B" w14:textId="77777777">
        <w:trPr>
          <w:trHeight w:val="1678"/>
        </w:trPr>
        <w:tc>
          <w:tcPr>
            <w:tcW w:w="962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E1F23" w:rsidP="00E156DD" w:rsidRDefault="00C56F19" w14:paraId="603648B4" w14:textId="1ED5B043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Pr="00690EBB" w:rsidR="003E1F23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Pr="00690EBB" w:rsidR="008F1376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Pr="00690EBB" w:rsidR="003E1F23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45"/>
              <w:gridCol w:w="1416"/>
              <w:gridCol w:w="2475"/>
              <w:gridCol w:w="5157"/>
            </w:tblGrid>
            <w:tr w:rsidRPr="00265C1D" w:rsidR="00100089" w:rsidTr="3ECCF99D" w14:paraId="5EBF3064" w14:textId="77777777">
              <w:trPr>
                <w:trHeight w:val="416"/>
              </w:trPr>
              <w:tc>
                <w:tcPr>
                  <w:tcW w:w="284" w:type="pct"/>
                  <w:shd w:val="clear" w:color="auto" w:fill="BFBFBF" w:themeFill="background1" w:themeFillShade="BF"/>
                  <w:tcMar/>
                  <w:vAlign w:val="center"/>
                  <w:hideMark/>
                </w:tcPr>
                <w:p w:rsidRPr="00B46A7E" w:rsidR="00100089" w:rsidP="00100089" w:rsidRDefault="00100089" w14:paraId="0BCD03B4" w14:textId="77777777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Eil. Nr.</w:t>
                  </w:r>
                </w:p>
              </w:tc>
              <w:tc>
                <w:tcPr>
                  <w:tcW w:w="738" w:type="pct"/>
                  <w:shd w:val="clear" w:color="auto" w:fill="BFBFBF" w:themeFill="background1" w:themeFillShade="BF"/>
                  <w:tcMar/>
                  <w:vAlign w:val="center"/>
                  <w:hideMark/>
                </w:tcPr>
                <w:p w:rsidRPr="00B46A7E" w:rsidR="00100089" w:rsidP="00100089" w:rsidRDefault="00100089" w14:paraId="5313D03B" w14:textId="77777777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Paslauga</w:t>
                  </w:r>
                </w:p>
              </w:tc>
              <w:tc>
                <w:tcPr>
                  <w:tcW w:w="1290" w:type="pct"/>
                  <w:shd w:val="clear" w:color="auto" w:fill="BFBFBF" w:themeFill="background1" w:themeFillShade="BF"/>
                  <w:tcMar/>
                  <w:vAlign w:val="center"/>
                  <w:hideMark/>
                </w:tcPr>
                <w:p w:rsidRPr="00B46A7E" w:rsidR="00100089" w:rsidP="00100089" w:rsidRDefault="00100089" w14:paraId="3A2837FB" w14:textId="77777777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detalizacija</w:t>
                  </w:r>
                </w:p>
              </w:tc>
              <w:tc>
                <w:tcPr>
                  <w:tcW w:w="2688" w:type="pct"/>
                  <w:shd w:val="clear" w:color="auto" w:fill="BFBFBF" w:themeFill="background1" w:themeFillShade="BF"/>
                  <w:tcMar/>
                  <w:vAlign w:val="center"/>
                  <w:hideMark/>
                </w:tcPr>
                <w:p w:rsidRPr="00B46A7E" w:rsidR="00100089" w:rsidP="00100089" w:rsidRDefault="00100089" w14:paraId="33F87C24" w14:textId="77777777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lt-LT"/>
                    </w:rPr>
                    <w:t>Paslaugų aprašas</w:t>
                  </w:r>
                </w:p>
              </w:tc>
            </w:tr>
            <w:tr w:rsidRPr="00B46A7E" w:rsidR="00100089" w:rsidTr="3ECCF99D" w14:paraId="08D01F6E" w14:textId="77777777">
              <w:trPr>
                <w:trHeight w:val="1152"/>
              </w:trPr>
              <w:tc>
                <w:tcPr>
                  <w:tcW w:w="284" w:type="pct"/>
                  <w:vMerge w:val="restar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67B058D2" w14:textId="77777777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B46A7E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1.</w:t>
                  </w:r>
                </w:p>
              </w:tc>
              <w:tc>
                <w:tcPr>
                  <w:tcW w:w="738" w:type="pct"/>
                  <w:vMerge w:val="restar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734C7117" w14:textId="77777777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komunikacija</w:t>
                  </w:r>
                </w:p>
              </w:tc>
              <w:tc>
                <w:tcPr>
                  <w:tcW w:w="1290" w:type="pc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569B6269" w14:textId="77777777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Prekės ženklų valdymas</w:t>
                  </w:r>
                </w:p>
              </w:tc>
              <w:tc>
                <w:tcPr>
                  <w:tcW w:w="2688" w:type="pct"/>
                  <w:shd w:val="clear" w:color="auto" w:fill="auto"/>
                  <w:tcMar/>
                  <w:hideMark/>
                </w:tcPr>
                <w:p w:rsidRPr="006755CA" w:rsidR="00100089" w:rsidP="00100089" w:rsidRDefault="00100089" w14:paraId="221B3515" w14:textId="77777777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Prekės ženklo/ų registravimas ir administraciniai darbai. Prekės ženklo/ų priežiūra ir identiteto formavimas, savalaikis Prekės ženklo/ų stiliaus vadovo atributų pildymas ir atnaujinimas, atliepiant rinkos tendencijas ir organizacinius poreikius. Konsultacijos prekių ženklų naudojimas komunikacijos klausimais.</w:t>
                  </w:r>
                </w:p>
              </w:tc>
            </w:tr>
            <w:tr w:rsidRPr="00B46A7E" w:rsidR="00100089" w:rsidTr="3ECCF99D" w14:paraId="06E9623C" w14:textId="77777777">
              <w:trPr>
                <w:trHeight w:val="1107"/>
              </w:trPr>
              <w:tc>
                <w:tcPr>
                  <w:tcW w:w="284" w:type="pct"/>
                  <w:vMerge/>
                  <w:tcMar/>
                  <w:hideMark/>
                </w:tcPr>
                <w:p w:rsidRPr="006755CA" w:rsidR="00100089" w:rsidP="00100089" w:rsidRDefault="00100089" w14:paraId="3352664D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tcMar/>
                  <w:vAlign w:val="center"/>
                  <w:hideMark/>
                </w:tcPr>
                <w:p w:rsidRPr="006755CA" w:rsidR="00100089" w:rsidP="00100089" w:rsidRDefault="00100089" w14:paraId="7B2B594F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490E1486" w14:textId="77777777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Komunikacijos kampanijų valdymas</w:t>
                  </w:r>
                </w:p>
              </w:tc>
              <w:tc>
                <w:tcPr>
                  <w:tcW w:w="2688" w:type="pct"/>
                  <w:shd w:val="clear" w:color="auto" w:fill="auto"/>
                  <w:tcMar/>
                  <w:hideMark/>
                </w:tcPr>
                <w:p w:rsidRPr="006755CA" w:rsidR="00100089" w:rsidP="00100089" w:rsidRDefault="00100089" w14:paraId="3C363704" w14:textId="77777777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Bendradarbiaujant su įmone ir trečiomis šalimis planuojama, organizuojama ir įgyvendinama rinkodaros komunikacijos kampanijos. Pvz. Įvaizdis, naujų produktų/paslaugų įvedimas, pardavimų skatinimas, klientų lojalumo didinimas ir pan.</w:t>
                  </w:r>
                </w:p>
              </w:tc>
            </w:tr>
            <w:tr w:rsidRPr="00B46A7E" w:rsidR="00100089" w:rsidTr="3ECCF99D" w14:paraId="2A201EE4" w14:textId="77777777">
              <w:trPr>
                <w:trHeight w:val="656"/>
              </w:trPr>
              <w:tc>
                <w:tcPr>
                  <w:tcW w:w="284" w:type="pct"/>
                  <w:vMerge/>
                  <w:tcMar/>
                  <w:hideMark/>
                </w:tcPr>
                <w:p w:rsidRPr="006755CA" w:rsidR="00100089" w:rsidP="00100089" w:rsidRDefault="00100089" w14:paraId="426A39BD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tcMar/>
                  <w:vAlign w:val="center"/>
                  <w:hideMark/>
                </w:tcPr>
                <w:p w:rsidRPr="006755CA" w:rsidR="00100089" w:rsidP="00100089" w:rsidRDefault="00100089" w14:paraId="0035EC5E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2FB98A6C" w14:textId="77777777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Komunikacijos socialiniuose tinkluose valdymas</w:t>
                  </w:r>
                </w:p>
              </w:tc>
              <w:tc>
                <w:tcPr>
                  <w:tcW w:w="2688" w:type="pct"/>
                  <w:shd w:val="clear" w:color="auto" w:fill="auto"/>
                  <w:tcMar/>
                  <w:hideMark/>
                </w:tcPr>
                <w:p w:rsidRPr="006755CA" w:rsidR="00100089" w:rsidP="00100089" w:rsidRDefault="00100089" w14:paraId="7C001485" w14:textId="77777777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FA1D3E7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  <w:lang w:eastAsia="lt-LT"/>
                    </w:rPr>
                    <w:t>Įrašų rengimas, reklamos optimizavimas, komentarų ir klientų užklausų monitoringas socialiniuose tinkluose</w:t>
                  </w:r>
                  <w:r w:rsidRPr="0053617F">
                    <w:rPr>
                      <w:rFonts w:eastAsia="Times New Roman" w:cs="Arial"/>
                      <w:color w:val="000000" w:themeColor="text1"/>
                      <w:sz w:val="20"/>
                      <w:szCs w:val="20"/>
                      <w:lang w:eastAsia="lt-LT"/>
                    </w:rPr>
                    <w:t xml:space="preserve">. </w:t>
                  </w:r>
                </w:p>
              </w:tc>
            </w:tr>
            <w:tr w:rsidRPr="00B46A7E" w:rsidR="00100089" w:rsidTr="3ECCF99D" w14:paraId="0BA2C405" w14:textId="77777777">
              <w:trPr>
                <w:trHeight w:val="1942"/>
              </w:trPr>
              <w:tc>
                <w:tcPr>
                  <w:tcW w:w="284" w:type="pct"/>
                  <w:vMerge/>
                  <w:tcMar/>
                  <w:hideMark/>
                </w:tcPr>
                <w:p w:rsidRPr="006755CA" w:rsidR="00100089" w:rsidP="00100089" w:rsidRDefault="00100089" w14:paraId="2D4DCBF3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tcMar/>
                  <w:vAlign w:val="center"/>
                  <w:hideMark/>
                </w:tcPr>
                <w:p w:rsidRPr="006755CA" w:rsidR="00100089" w:rsidP="00100089" w:rsidRDefault="00100089" w14:paraId="1C95E8D2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3E1174F7" w14:textId="77777777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Internetinių svetainių valdymas</w:t>
                  </w:r>
                </w:p>
              </w:tc>
              <w:tc>
                <w:tcPr>
                  <w:tcW w:w="2688" w:type="pct"/>
                  <w:shd w:val="clear" w:color="auto" w:fill="auto"/>
                  <w:tcMar/>
                  <w:hideMark/>
                </w:tcPr>
                <w:p w:rsidRPr="006755CA" w:rsidR="00100089" w:rsidP="00100089" w:rsidRDefault="00100089" w14:paraId="3EC0F5CE" w14:textId="77777777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Svetainės turinio valdymo sistemos administravimas (informacijos nuolatinis atnaujinimas, kėlimas, keitimas) naujų modulių, f-jų kūrimas, plėtra, testavimas, paleidimas. Techninių specifikacijų f-joms rengimas, įgyvendinimas, pirkimų inicijavimas, organizavimas, darbų priėmimas iš trečiųjų šalių, testavimas, paleidimas. Klaidų, gedimų šalinimas, naujų programavimo darbų organizavimas, versijų atnaujinimas.</w:t>
                  </w:r>
                </w:p>
              </w:tc>
            </w:tr>
            <w:tr w:rsidRPr="00B46A7E" w:rsidR="00100089" w:rsidTr="3ECCF99D" w14:paraId="395C4104" w14:textId="77777777">
              <w:trPr>
                <w:trHeight w:val="576"/>
              </w:trPr>
              <w:tc>
                <w:tcPr>
                  <w:tcW w:w="284" w:type="pct"/>
                  <w:vMerge/>
                  <w:tcMar/>
                  <w:hideMark/>
                </w:tcPr>
                <w:p w:rsidRPr="006755CA" w:rsidR="00100089" w:rsidP="00100089" w:rsidRDefault="00100089" w14:paraId="7E46A1AB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tcMar/>
                  <w:vAlign w:val="center"/>
                  <w:hideMark/>
                </w:tcPr>
                <w:p w:rsidRPr="006755CA" w:rsidR="00100089" w:rsidP="00100089" w:rsidRDefault="00100089" w14:paraId="76B5239D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1E24400A" w14:textId="77777777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komunikacijos valdymas</w:t>
                  </w:r>
                </w:p>
              </w:tc>
              <w:tc>
                <w:tcPr>
                  <w:tcW w:w="2688" w:type="pct"/>
                  <w:shd w:val="clear" w:color="auto" w:fill="auto"/>
                  <w:tcMar/>
                  <w:hideMark/>
                </w:tcPr>
                <w:p w:rsidRPr="006755CA" w:rsidR="00100089" w:rsidP="00100089" w:rsidRDefault="00100089" w14:paraId="6FB978CD" w14:textId="77777777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komunikacijos strategijos ir veiklos planų parengimas, suderinimas ir suplanuotų veiksmų įgyvendinimas. Biudžetų rengimas ir valdymas, konsultacijos rinkodaros komunikacijos klausimais.</w:t>
                  </w:r>
                </w:p>
              </w:tc>
            </w:tr>
            <w:tr w:rsidRPr="00B46A7E" w:rsidR="00100089" w:rsidTr="3ECCF99D" w14:paraId="776CC074" w14:textId="77777777">
              <w:trPr>
                <w:trHeight w:val="288"/>
              </w:trPr>
              <w:tc>
                <w:tcPr>
                  <w:tcW w:w="284" w:type="pct"/>
                  <w:vMerge/>
                  <w:tcMar/>
                  <w:hideMark/>
                </w:tcPr>
                <w:p w:rsidRPr="006755CA" w:rsidR="00100089" w:rsidP="00100089" w:rsidRDefault="00100089" w14:paraId="233709B3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tcMar/>
                  <w:vAlign w:val="center"/>
                  <w:hideMark/>
                </w:tcPr>
                <w:p w:rsidRPr="006755CA" w:rsidR="00100089" w:rsidP="00100089" w:rsidRDefault="00100089" w14:paraId="117BEA4D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59D85062" w14:textId="77777777">
                  <w:pPr>
                    <w:ind w:firstLine="0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Renginių organizavimas ir valdymas</w:t>
                  </w:r>
                </w:p>
              </w:tc>
              <w:tc>
                <w:tcPr>
                  <w:tcW w:w="2688" w:type="pct"/>
                  <w:shd w:val="clear" w:color="auto" w:fill="auto"/>
                  <w:tcMar/>
                  <w:hideMark/>
                </w:tcPr>
                <w:p w:rsidRPr="006755CA" w:rsidR="00100089" w:rsidP="00100089" w:rsidRDefault="00100089" w14:paraId="5A909338" w14:textId="77777777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  <w:t>Rinkodaros (konferencijų, seminarų, pristatymų ir pan.) planavimas, organizavimas ir įgyvendinimas</w:t>
                  </w:r>
                </w:p>
              </w:tc>
            </w:tr>
            <w:tr w:rsidRPr="00B46A7E" w:rsidR="00100089" w:rsidTr="3ECCF99D" w14:paraId="633127DD" w14:textId="77777777">
              <w:trPr>
                <w:trHeight w:val="576"/>
              </w:trPr>
              <w:tc>
                <w:tcPr>
                  <w:tcW w:w="284" w:type="pct"/>
                  <w:vMerge/>
                  <w:tcMar/>
                  <w:hideMark/>
                </w:tcPr>
                <w:p w:rsidRPr="006755CA" w:rsidR="00100089" w:rsidP="00100089" w:rsidRDefault="00100089" w14:paraId="22201EAC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38" w:type="pct"/>
                  <w:vMerge/>
                  <w:tcMar/>
                  <w:vAlign w:val="center"/>
                  <w:hideMark/>
                </w:tcPr>
                <w:p w:rsidRPr="006755CA" w:rsidR="00100089" w:rsidP="00100089" w:rsidRDefault="00100089" w14:paraId="45458221" w14:textId="77777777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1290" w:type="pct"/>
                  <w:shd w:val="clear" w:color="auto" w:fill="auto"/>
                  <w:tcMar/>
                  <w:vAlign w:val="center"/>
                  <w:hideMark/>
                </w:tcPr>
                <w:p w:rsidRPr="006755CA" w:rsidR="00100089" w:rsidP="00100089" w:rsidRDefault="00100089" w14:paraId="169DF712" w14:textId="77777777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6755CA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Tekstų rašymas ir redagavimas</w:t>
                  </w:r>
                </w:p>
              </w:tc>
              <w:tc>
                <w:tcPr>
                  <w:tcW w:w="2688" w:type="pct"/>
                  <w:shd w:val="clear" w:color="auto" w:fill="auto"/>
                  <w:tcMar/>
                  <w:hideMark/>
                </w:tcPr>
                <w:p w:rsidRPr="006755CA" w:rsidR="00100089" w:rsidP="3ECCF99D" w:rsidRDefault="00100089" w14:paraId="451C212A" w14:textId="77777777">
                  <w:pPr>
                    <w:ind w:firstLine="0"/>
                    <w:jc w:val="both"/>
                    <w:rPr>
                      <w:rFonts w:eastAsia="Times New Roman" w:cs="Arial"/>
                      <w:color w:val="000000"/>
                      <w:sz w:val="20"/>
                      <w:szCs w:val="20"/>
                      <w:lang w:val="lt-LT" w:eastAsia="lt-LT"/>
                    </w:rPr>
                  </w:pPr>
                  <w:r w:rsidRPr="3ECCF99D" w:rsidR="00100089">
                    <w:rPr>
                      <w:rFonts w:eastAsia="Times New Roman" w:cs="Arial"/>
                      <w:color w:val="000000" w:themeColor="text1" w:themeTint="FF" w:themeShade="FF"/>
                      <w:sz w:val="20"/>
                      <w:szCs w:val="20"/>
                      <w:lang w:val="lt-LT" w:eastAsia="lt-LT"/>
                    </w:rPr>
                    <w:t xml:space="preserve">Reklaminių, </w:t>
                  </w:r>
                  <w:r w:rsidRPr="3ECCF99D" w:rsidR="00100089">
                    <w:rPr>
                      <w:rFonts w:eastAsia="Times New Roman" w:cs="Arial"/>
                      <w:color w:val="000000" w:themeColor="text1" w:themeTint="FF" w:themeShade="FF"/>
                      <w:sz w:val="20"/>
                      <w:szCs w:val="20"/>
                      <w:lang w:val="lt-LT" w:eastAsia="lt-LT"/>
                    </w:rPr>
                    <w:t>įvaizdinių</w:t>
                  </w:r>
                  <w:r w:rsidRPr="3ECCF99D" w:rsidR="00100089">
                    <w:rPr>
                      <w:rFonts w:eastAsia="Times New Roman" w:cs="Arial"/>
                      <w:color w:val="000000" w:themeColor="text1" w:themeTint="FF" w:themeShade="FF"/>
                      <w:sz w:val="20"/>
                      <w:szCs w:val="20"/>
                      <w:lang w:val="lt-LT" w:eastAsia="lt-LT"/>
                    </w:rPr>
                    <w:t xml:space="preserve"> ir klientų komunikacijos tekstų kūrimas, jau sukurtų redagavimas. Komunikacijos gairių rengimas ir atitikimo priežiūra.</w:t>
                  </w:r>
                </w:p>
              </w:tc>
            </w:tr>
          </w:tbl>
          <w:p w:rsidR="00100089" w:rsidP="00E156DD" w:rsidRDefault="00100089" w14:paraId="688C20D9" w14:textId="77777777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  <w:p w:rsidRPr="00100089" w:rsidR="00833A1B" w:rsidP="002359BD" w:rsidRDefault="00B1396A" w14:paraId="70DC7424" w14:textId="77777777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 w:rsidRPr="00B91FD6">
              <w:rPr>
                <w:rFonts w:cs="Arial"/>
                <w:bCs/>
                <w:sz w:val="20"/>
                <w:szCs w:val="20"/>
              </w:rPr>
              <w:t>Rinkodaros valdymo konsultacinės</w:t>
            </w:r>
            <w:r w:rsidRPr="000A52C6" w:rsidR="003E1F23">
              <w:rPr>
                <w:rFonts w:eastAsia="Times New Roman" w:cs="Arial"/>
                <w:sz w:val="20"/>
                <w:szCs w:val="20"/>
                <w:lang w:eastAsia="lt-LT"/>
              </w:rPr>
              <w:t xml:space="preserve"> paslaugos </w:t>
            </w:r>
            <w:r w:rsidRPr="000A52C6" w:rsidR="00F60683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Pr="000A52C6" w:rsidR="003E1F23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Pr="000A52C6" w:rsidR="00D65D91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  <w:p w:rsidRPr="000A52C6" w:rsidR="00100089" w:rsidP="00100089" w:rsidRDefault="00100089" w14:paraId="654CC6F8" w14:textId="29CB5487">
            <w:pPr>
              <w:pStyle w:val="ListParagraph"/>
              <w:ind w:left="1080" w:firstLine="0"/>
              <w:rPr>
                <w:sz w:val="20"/>
                <w:szCs w:val="20"/>
                <w:lang w:eastAsia="lt-LT"/>
              </w:rPr>
            </w:pPr>
          </w:p>
        </w:tc>
      </w:tr>
    </w:tbl>
    <w:bookmarkEnd w:id="2"/>
    <w:p w:rsidRPr="0090702B" w:rsidR="00085A74" w:rsidP="006D4DD7" w:rsidRDefault="00977724" w14:paraId="173D9CCD" w14:textId="747D1344">
      <w:pPr>
        <w:pStyle w:val="ListParagraph"/>
        <w:numPr>
          <w:ilvl w:val="1"/>
          <w:numId w:val="1"/>
        </w:numPr>
        <w:pBdr>
          <w:bottom w:val="single" w:color="auto" w:sz="12" w:space="1"/>
          <w:between w:val="single" w:color="auto" w:sz="12" w:space="1"/>
        </w:pBdr>
        <w:tabs>
          <w:tab w:val="left" w:pos="567"/>
        </w:tabs>
        <w:spacing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lastRenderedPageBreak/>
        <w:t>PASLAUGŲ UŽSAKYMAS</w:t>
      </w:r>
    </w:p>
    <w:p w:rsidRPr="0090702B" w:rsidR="00085A74" w:rsidP="00C00C81" w:rsidRDefault="0033672E" w14:paraId="31B51062" w14:textId="5E85389F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Pr="0090702B" w:rsidR="00085A74">
        <w:rPr>
          <w:rStyle w:val="Laukeliai"/>
          <w:szCs w:val="20"/>
        </w:rPr>
        <w:t xml:space="preserve">Paslaugos </w:t>
      </w:r>
      <w:r w:rsidRPr="0090702B" w:rsidR="005A6AD4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Pr="0090702B" w:rsidR="005A6AD4">
        <w:rPr>
          <w:rStyle w:val="Laukeliai"/>
          <w:szCs w:val="20"/>
        </w:rPr>
        <w:t xml:space="preserve"> poreikį S</w:t>
      </w:r>
      <w:r w:rsidRPr="0090702B" w:rsidR="00085A74">
        <w:rPr>
          <w:rStyle w:val="Laukeliai"/>
          <w:szCs w:val="20"/>
        </w:rPr>
        <w:t xml:space="preserve">utarties galiojimo </w:t>
      </w:r>
      <w:r w:rsidRPr="0090702B" w:rsidR="005A6AD4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Pr="0090702B" w:rsidR="005A6AD4">
        <w:rPr>
          <w:rStyle w:val="Laukeliai"/>
          <w:szCs w:val="20"/>
        </w:rPr>
        <w:t xml:space="preserve"> pateikia u</w:t>
      </w:r>
      <w:r w:rsidRPr="0090702B" w:rsidR="00085A74">
        <w:rPr>
          <w:rStyle w:val="Laukeliai"/>
          <w:szCs w:val="20"/>
        </w:rPr>
        <w:t>žsakymus dėl Paslaugų teikimo elektroniniu paštu</w:t>
      </w:r>
      <w:r w:rsidRPr="0090702B" w:rsidR="005A6AD4">
        <w:rPr>
          <w:rStyle w:val="Laukeliai"/>
          <w:szCs w:val="20"/>
        </w:rPr>
        <w:t xml:space="preserve"> ar kitomis Sutarties šalių suderintomis priemonėmis</w:t>
      </w:r>
      <w:r w:rsidRPr="0090702B" w:rsidR="00085A74">
        <w:rPr>
          <w:rStyle w:val="Laukeliai"/>
          <w:szCs w:val="20"/>
        </w:rPr>
        <w:t>.</w:t>
      </w:r>
    </w:p>
    <w:p w:rsidRPr="0090702B" w:rsidR="00317C25" w:rsidP="00085A74" w:rsidRDefault="00317C25" w14:paraId="42A4FBED" w14:textId="77777777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:rsidRPr="0090702B" w:rsidR="00085A74" w:rsidP="00C00C81" w:rsidRDefault="00085A74" w14:paraId="0A424404" w14:textId="7381C361">
      <w:pPr>
        <w:pStyle w:val="ListParagraph"/>
        <w:numPr>
          <w:ilvl w:val="1"/>
          <w:numId w:val="1"/>
        </w:numPr>
        <w:pBdr>
          <w:bottom w:val="single" w:color="auto" w:sz="12" w:space="1"/>
          <w:between w:val="single" w:color="auto" w:sz="12" w:space="1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:rsidRPr="0090702B" w:rsidR="00085A74" w:rsidP="00085A74" w:rsidRDefault="00D43C96" w14:paraId="2B37FAB6" w14:textId="5F4AA1CB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Pr="0090702B" w:rsidR="00085A74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Pr="0090702B" w:rsidR="00085A74">
        <w:rPr>
          <w:rStyle w:val="Laukeliai"/>
          <w:rFonts w:cs="Arial"/>
          <w:szCs w:val="20"/>
        </w:rPr>
        <w:t xml:space="preserve"> pageidavimu Tiekėjo </w:t>
      </w:r>
      <w:r w:rsidRPr="0090702B" w:rsidR="0009477B">
        <w:rPr>
          <w:rStyle w:val="Laukeliai"/>
          <w:rFonts w:cs="Arial"/>
          <w:szCs w:val="20"/>
        </w:rPr>
        <w:t xml:space="preserve">darbuotojų </w:t>
      </w:r>
      <w:r w:rsidRPr="0090702B" w:rsidR="00085A74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Pr="0090702B" w:rsidR="00085A74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:rsidRPr="0090702B" w:rsidR="00085A74" w:rsidP="00085A74" w:rsidRDefault="00085A74" w14:paraId="1D99E6DF" w14:textId="77777777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:rsidRPr="0090702B" w:rsidR="00085A74" w:rsidP="00C00C81" w:rsidRDefault="00085A74" w14:paraId="343AA8D1" w14:textId="7F0D204E">
      <w:pPr>
        <w:pStyle w:val="ListParagraph"/>
        <w:numPr>
          <w:ilvl w:val="1"/>
          <w:numId w:val="1"/>
        </w:numPr>
        <w:pBdr>
          <w:bottom w:val="single" w:color="auto" w:sz="12" w:space="1"/>
          <w:between w:val="single" w:color="auto" w:sz="12" w:space="1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:rsidRPr="0090702B" w:rsidR="00085A74" w:rsidP="00C00C81" w:rsidRDefault="0009477B" w14:paraId="496B2F6B" w14:textId="0221623F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Pr="0090702B" w:rsidR="00085A74">
        <w:rPr>
          <w:rStyle w:val="Laukeliai"/>
          <w:szCs w:val="20"/>
        </w:rPr>
        <w:t>Tiekėjas įsipareigoja Paslaugas teikti</w:t>
      </w:r>
      <w:r w:rsidRPr="0090702B" w:rsidR="00A83856">
        <w:rPr>
          <w:rStyle w:val="Laukeliai"/>
          <w:szCs w:val="20"/>
        </w:rPr>
        <w:t xml:space="preserve"> Sutarties šalių suderintais terminais, laikantis Paslaugoms keliamų reikalavimų;</w:t>
      </w:r>
    </w:p>
    <w:p w:rsidRPr="0090702B" w:rsidR="00085A74" w:rsidP="00C00C81" w:rsidRDefault="00D43C96" w14:paraId="3006FF61" w14:textId="68FA105E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Pr="0090702B" w:rsidR="00085A74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Pr="0090702B" w:rsidR="0009477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Pr="0090702B" w:rsidR="0009477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Pr="0090702B" w:rsidR="0009477B">
        <w:rPr>
          <w:rStyle w:val="Laukeliai"/>
          <w:rFonts w:cs="Arial"/>
          <w:szCs w:val="20"/>
        </w:rPr>
        <w:t xml:space="preserve"> iš anksto informuoja Tiekėją.</w:t>
      </w:r>
    </w:p>
    <w:p w:rsidRPr="0090702B" w:rsidR="00085A74" w:rsidP="00085A74" w:rsidRDefault="00085A74" w14:paraId="177FE81C" w14:textId="77777777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:rsidRPr="0090702B" w:rsidR="00085A74" w:rsidP="00C00C81" w:rsidRDefault="00C3050A" w14:paraId="20F832AC" w14:textId="3F55B75E">
      <w:pPr>
        <w:pStyle w:val="ListParagraph"/>
        <w:numPr>
          <w:ilvl w:val="1"/>
          <w:numId w:val="1"/>
        </w:numPr>
        <w:pBdr>
          <w:bottom w:val="single" w:color="auto" w:sz="12" w:space="1"/>
          <w:between w:val="single" w:color="auto" w:sz="12" w:space="1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Pr="0090702B" w:rsidR="00085A74">
        <w:rPr>
          <w:rFonts w:cs="Arial"/>
          <w:b/>
          <w:sz w:val="20"/>
          <w:szCs w:val="20"/>
        </w:rPr>
        <w:t xml:space="preserve"> ĮSIPAREIGOJIMAI</w:t>
      </w:r>
    </w:p>
    <w:p w:rsidRPr="0090702B" w:rsidR="00085A74" w:rsidP="00C00C81" w:rsidRDefault="00BE3290" w14:paraId="6CBCA24F" w14:textId="294F9DA8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Pr="0090702B" w:rsidR="00085A74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:rsidRPr="00100089" w:rsidR="004D5996" w:rsidP="00100089" w:rsidRDefault="00BE3290" w14:paraId="237ACD6E" w14:textId="77334B6E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sz w:val="20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Pr="0090702B" w:rsidR="00085A74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sectPr w:rsidRPr="00100089" w:rsidR="004D5996" w:rsidSect="00100089">
      <w:headerReference w:type="even" r:id="rId11"/>
      <w:headerReference w:type="first" r:id="rId12"/>
      <w:pgSz w:w="11906" w:h="16838" w:orient="portrait"/>
      <w:pgMar w:top="1560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39CB" w:rsidP="00427694" w:rsidRDefault="006939CB" w14:paraId="2B251FAD" w14:textId="77777777">
      <w:r>
        <w:separator/>
      </w:r>
    </w:p>
  </w:endnote>
  <w:endnote w:type="continuationSeparator" w:id="0">
    <w:p w:rsidR="006939CB" w:rsidP="00427694" w:rsidRDefault="006939CB" w14:paraId="1F8D3A6F" w14:textId="77777777">
      <w:r>
        <w:continuationSeparator/>
      </w:r>
    </w:p>
  </w:endnote>
  <w:endnote w:type="continuationNotice" w:id="1">
    <w:p w:rsidR="006939CB" w:rsidRDefault="006939CB" w14:paraId="236D23E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39CB" w:rsidP="00427694" w:rsidRDefault="006939CB" w14:paraId="551E5357" w14:textId="77777777">
      <w:r>
        <w:separator/>
      </w:r>
    </w:p>
  </w:footnote>
  <w:footnote w:type="continuationSeparator" w:id="0">
    <w:p w:rsidR="006939CB" w:rsidP="00427694" w:rsidRDefault="006939CB" w14:paraId="6FAC9053" w14:textId="77777777">
      <w:r>
        <w:continuationSeparator/>
      </w:r>
    </w:p>
  </w:footnote>
  <w:footnote w:type="continuationNotice" w:id="1">
    <w:p w:rsidR="006939CB" w:rsidRDefault="006939CB" w14:paraId="3ECAF48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3050A" w:rsidRDefault="00FC401C" w14:paraId="6BCCCCCD" w14:textId="571CE4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80E08A" wp14:editId="16872A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61705592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401C" w:rsidR="00FC401C" w:rsidP="00FC401C" w:rsidRDefault="00FC401C" w14:paraId="79E1FC5E" w14:textId="6D9BA8A4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401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80E08A">
              <v:stroke joinstyle="miter"/>
              <v:path gradientshapeok="t" o:connecttype="rect"/>
            </v:shapetype>
            <v:shape id="Text Box 2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AL US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FC401C" w:rsidR="00FC401C" w:rsidP="00FC401C" w:rsidRDefault="00FC401C" w14:paraId="79E1FC5E" w14:textId="6D9BA8A4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401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3050A" w:rsidRDefault="00FC401C" w14:paraId="18F4375F" w14:textId="3793B90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2DDE17" wp14:editId="22A825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50496278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FC401C" w:rsidR="00FC401C" w:rsidP="00FC401C" w:rsidRDefault="00FC401C" w14:paraId="19660EA7" w14:textId="7B4CEBD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401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2DDE17">
              <v:stroke joinstyle="miter"/>
              <v:path gradientshapeok="t" o:connecttype="rect"/>
            </v:shapetype>
            <v:shape id="Text Box 1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AL US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FC401C" w:rsidR="00FC401C" w:rsidP="00FC401C" w:rsidRDefault="00FC401C" w14:paraId="19660EA7" w14:textId="7B4CEBD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401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hint="default" w:eastAsiaTheme="minorHAnsi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 w:eastAsiaTheme="minorHAnsi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hint="default" w:eastAsiaTheme="minorHAnsi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 w:eastAsiaTheme="minorHAnsi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 w:eastAsiaTheme="minorHAnsi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 w:eastAsiaTheme="minorHAnsi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 w:eastAsiaTheme="minorHAnsi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 w:eastAsiaTheme="minorHAnsi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 w:eastAsiaTheme="minorHAnsi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hint="default" w:ascii="Arial" w:hAnsi="Arial" w:cs="Arial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hint="default" w:ascii="Arial" w:hAnsi="Arial" w:cs="Arial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 w:ascii="Arial" w:hAnsi="Arial" w:cs="Arial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 w:ascii="Arial" w:hAnsi="Arial" w:cs="Arial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8614629">
    <w:abstractNumId w:val="11"/>
  </w:num>
  <w:num w:numId="2" w16cid:durableId="761803427">
    <w:abstractNumId w:val="6"/>
  </w:num>
  <w:num w:numId="3" w16cid:durableId="1214930905">
    <w:abstractNumId w:val="20"/>
  </w:num>
  <w:num w:numId="4" w16cid:durableId="774668262">
    <w:abstractNumId w:val="0"/>
  </w:num>
  <w:num w:numId="5" w16cid:durableId="1996957399">
    <w:abstractNumId w:val="18"/>
  </w:num>
  <w:num w:numId="6" w16cid:durableId="1388987981">
    <w:abstractNumId w:val="4"/>
  </w:num>
  <w:num w:numId="7" w16cid:durableId="184639367">
    <w:abstractNumId w:val="14"/>
  </w:num>
  <w:num w:numId="8" w16cid:durableId="1441220236">
    <w:abstractNumId w:val="5"/>
  </w:num>
  <w:num w:numId="9" w16cid:durableId="695428095">
    <w:abstractNumId w:val="15"/>
  </w:num>
  <w:num w:numId="10" w16cid:durableId="1830822481">
    <w:abstractNumId w:val="21"/>
  </w:num>
  <w:num w:numId="11" w16cid:durableId="1897931545">
    <w:abstractNumId w:val="13"/>
  </w:num>
  <w:num w:numId="12" w16cid:durableId="1339499087">
    <w:abstractNumId w:val="3"/>
  </w:num>
  <w:num w:numId="13" w16cid:durableId="91320932">
    <w:abstractNumId w:val="19"/>
  </w:num>
  <w:num w:numId="14" w16cid:durableId="1281380810">
    <w:abstractNumId w:val="10"/>
  </w:num>
  <w:num w:numId="15" w16cid:durableId="2141529932">
    <w:abstractNumId w:val="12"/>
  </w:num>
  <w:num w:numId="16" w16cid:durableId="414325539">
    <w:abstractNumId w:val="10"/>
  </w:num>
  <w:num w:numId="17" w16cid:durableId="442185788">
    <w:abstractNumId w:val="1"/>
  </w:num>
  <w:num w:numId="18" w16cid:durableId="1190527761">
    <w:abstractNumId w:val="1"/>
  </w:num>
  <w:num w:numId="19" w16cid:durableId="826475499">
    <w:abstractNumId w:val="8"/>
  </w:num>
  <w:num w:numId="20" w16cid:durableId="1476990937">
    <w:abstractNumId w:val="7"/>
  </w:num>
  <w:num w:numId="21" w16cid:durableId="2045515996">
    <w:abstractNumId w:val="2"/>
  </w:num>
  <w:num w:numId="22" w16cid:durableId="506408776">
    <w:abstractNumId w:val="9"/>
  </w:num>
  <w:num w:numId="23" w16cid:durableId="1882474349">
    <w:abstractNumId w:val="16"/>
  </w:num>
  <w:num w:numId="24" w16cid:durableId="1463695837">
    <w:abstractNumId w:val="17"/>
  </w:num>
  <w:num w:numId="25" w16cid:durableId="1463384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3F6A"/>
    <w:rsid w:val="0002576F"/>
    <w:rsid w:val="00025963"/>
    <w:rsid w:val="00041685"/>
    <w:rsid w:val="00043231"/>
    <w:rsid w:val="00055F9D"/>
    <w:rsid w:val="0005720D"/>
    <w:rsid w:val="00057632"/>
    <w:rsid w:val="000819AB"/>
    <w:rsid w:val="00085A74"/>
    <w:rsid w:val="00090E46"/>
    <w:rsid w:val="000912E7"/>
    <w:rsid w:val="0009477B"/>
    <w:rsid w:val="000A52C6"/>
    <w:rsid w:val="000C4CFA"/>
    <w:rsid w:val="000C6D3E"/>
    <w:rsid w:val="000E011C"/>
    <w:rsid w:val="000E1D1C"/>
    <w:rsid w:val="000E4215"/>
    <w:rsid w:val="00100089"/>
    <w:rsid w:val="00102417"/>
    <w:rsid w:val="001039B4"/>
    <w:rsid w:val="00110568"/>
    <w:rsid w:val="001263FA"/>
    <w:rsid w:val="00136FE5"/>
    <w:rsid w:val="00137B5E"/>
    <w:rsid w:val="001512C3"/>
    <w:rsid w:val="00154859"/>
    <w:rsid w:val="00156E2A"/>
    <w:rsid w:val="00166AD8"/>
    <w:rsid w:val="001702BB"/>
    <w:rsid w:val="00176509"/>
    <w:rsid w:val="001813F1"/>
    <w:rsid w:val="0018597A"/>
    <w:rsid w:val="001A2152"/>
    <w:rsid w:val="001C0B41"/>
    <w:rsid w:val="001F4E67"/>
    <w:rsid w:val="001F57AC"/>
    <w:rsid w:val="00205616"/>
    <w:rsid w:val="00221796"/>
    <w:rsid w:val="00221B57"/>
    <w:rsid w:val="002359BD"/>
    <w:rsid w:val="00242015"/>
    <w:rsid w:val="002465CA"/>
    <w:rsid w:val="002528BA"/>
    <w:rsid w:val="002635E4"/>
    <w:rsid w:val="00265224"/>
    <w:rsid w:val="00270435"/>
    <w:rsid w:val="00297CFA"/>
    <w:rsid w:val="002B4BC7"/>
    <w:rsid w:val="002D0F7E"/>
    <w:rsid w:val="002D413F"/>
    <w:rsid w:val="002D7E6C"/>
    <w:rsid w:val="002E0FE5"/>
    <w:rsid w:val="002F1089"/>
    <w:rsid w:val="002F3CC4"/>
    <w:rsid w:val="00306CCA"/>
    <w:rsid w:val="00313BDA"/>
    <w:rsid w:val="00314387"/>
    <w:rsid w:val="00314B3D"/>
    <w:rsid w:val="00317C25"/>
    <w:rsid w:val="00325F1B"/>
    <w:rsid w:val="00330E61"/>
    <w:rsid w:val="003330E8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FA7"/>
    <w:rsid w:val="00425DE9"/>
    <w:rsid w:val="00426967"/>
    <w:rsid w:val="00427694"/>
    <w:rsid w:val="00430ED8"/>
    <w:rsid w:val="004421F4"/>
    <w:rsid w:val="00447658"/>
    <w:rsid w:val="00452169"/>
    <w:rsid w:val="00454749"/>
    <w:rsid w:val="0045791E"/>
    <w:rsid w:val="00460AD4"/>
    <w:rsid w:val="00460C67"/>
    <w:rsid w:val="00462C11"/>
    <w:rsid w:val="00474A1D"/>
    <w:rsid w:val="00477A19"/>
    <w:rsid w:val="00477A4D"/>
    <w:rsid w:val="00480079"/>
    <w:rsid w:val="004841BC"/>
    <w:rsid w:val="00492F5E"/>
    <w:rsid w:val="0049799C"/>
    <w:rsid w:val="004B218A"/>
    <w:rsid w:val="004B4DB8"/>
    <w:rsid w:val="004B5AC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2026"/>
    <w:rsid w:val="00513484"/>
    <w:rsid w:val="00516E0D"/>
    <w:rsid w:val="005243F9"/>
    <w:rsid w:val="00525C20"/>
    <w:rsid w:val="0054193F"/>
    <w:rsid w:val="005508AD"/>
    <w:rsid w:val="00554F68"/>
    <w:rsid w:val="005859F6"/>
    <w:rsid w:val="00597020"/>
    <w:rsid w:val="005A6AD4"/>
    <w:rsid w:val="005C57DA"/>
    <w:rsid w:val="005D2DB2"/>
    <w:rsid w:val="005D5D4E"/>
    <w:rsid w:val="005D5D80"/>
    <w:rsid w:val="005E2B95"/>
    <w:rsid w:val="005E6E09"/>
    <w:rsid w:val="005F58F0"/>
    <w:rsid w:val="00600808"/>
    <w:rsid w:val="00606179"/>
    <w:rsid w:val="00606F55"/>
    <w:rsid w:val="00617582"/>
    <w:rsid w:val="00620B22"/>
    <w:rsid w:val="0062174B"/>
    <w:rsid w:val="00625A51"/>
    <w:rsid w:val="00626075"/>
    <w:rsid w:val="0063746F"/>
    <w:rsid w:val="00646D2D"/>
    <w:rsid w:val="00650104"/>
    <w:rsid w:val="006709BC"/>
    <w:rsid w:val="006728A3"/>
    <w:rsid w:val="00681DF2"/>
    <w:rsid w:val="00686D60"/>
    <w:rsid w:val="00690EBB"/>
    <w:rsid w:val="006939CB"/>
    <w:rsid w:val="006A5FEC"/>
    <w:rsid w:val="006C5A08"/>
    <w:rsid w:val="006D3CC0"/>
    <w:rsid w:val="006D4DD7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D4058"/>
    <w:rsid w:val="007E376C"/>
    <w:rsid w:val="007E6DE2"/>
    <w:rsid w:val="007E7F35"/>
    <w:rsid w:val="007F3CD0"/>
    <w:rsid w:val="00800D52"/>
    <w:rsid w:val="0080244F"/>
    <w:rsid w:val="00813020"/>
    <w:rsid w:val="00820513"/>
    <w:rsid w:val="00833A1B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31D6"/>
    <w:rsid w:val="008D64B2"/>
    <w:rsid w:val="008D6813"/>
    <w:rsid w:val="008F1376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B2E0C"/>
    <w:rsid w:val="009E1CC2"/>
    <w:rsid w:val="009E40CD"/>
    <w:rsid w:val="009E40ED"/>
    <w:rsid w:val="00A059FC"/>
    <w:rsid w:val="00A07EE5"/>
    <w:rsid w:val="00A162BE"/>
    <w:rsid w:val="00A27DB5"/>
    <w:rsid w:val="00A32204"/>
    <w:rsid w:val="00A37745"/>
    <w:rsid w:val="00A378FF"/>
    <w:rsid w:val="00A537EF"/>
    <w:rsid w:val="00A55E5C"/>
    <w:rsid w:val="00A57A05"/>
    <w:rsid w:val="00A83547"/>
    <w:rsid w:val="00A83856"/>
    <w:rsid w:val="00A93D56"/>
    <w:rsid w:val="00A941DB"/>
    <w:rsid w:val="00AA43BA"/>
    <w:rsid w:val="00AB105F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3BA7"/>
    <w:rsid w:val="00B1396A"/>
    <w:rsid w:val="00B17F63"/>
    <w:rsid w:val="00B41F34"/>
    <w:rsid w:val="00B41FF4"/>
    <w:rsid w:val="00B442B7"/>
    <w:rsid w:val="00B46B8C"/>
    <w:rsid w:val="00B525C5"/>
    <w:rsid w:val="00B6032A"/>
    <w:rsid w:val="00B81729"/>
    <w:rsid w:val="00B91FD6"/>
    <w:rsid w:val="00B9284A"/>
    <w:rsid w:val="00B93FE3"/>
    <w:rsid w:val="00B95B9B"/>
    <w:rsid w:val="00BB5269"/>
    <w:rsid w:val="00BB598C"/>
    <w:rsid w:val="00BB6CA9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1607"/>
    <w:rsid w:val="00C23BE5"/>
    <w:rsid w:val="00C3050A"/>
    <w:rsid w:val="00C42862"/>
    <w:rsid w:val="00C42977"/>
    <w:rsid w:val="00C53D6E"/>
    <w:rsid w:val="00C56F19"/>
    <w:rsid w:val="00C65110"/>
    <w:rsid w:val="00C65BF0"/>
    <w:rsid w:val="00C72487"/>
    <w:rsid w:val="00C77922"/>
    <w:rsid w:val="00C84A77"/>
    <w:rsid w:val="00C84E30"/>
    <w:rsid w:val="00C85580"/>
    <w:rsid w:val="00C85F69"/>
    <w:rsid w:val="00C944B1"/>
    <w:rsid w:val="00CA2381"/>
    <w:rsid w:val="00CA7BB7"/>
    <w:rsid w:val="00CB0C83"/>
    <w:rsid w:val="00CB21FF"/>
    <w:rsid w:val="00CC47F4"/>
    <w:rsid w:val="00CC741B"/>
    <w:rsid w:val="00CD0AF5"/>
    <w:rsid w:val="00CD2376"/>
    <w:rsid w:val="00CE0948"/>
    <w:rsid w:val="00CE17F8"/>
    <w:rsid w:val="00CE353E"/>
    <w:rsid w:val="00CE418F"/>
    <w:rsid w:val="00CE57C1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47259"/>
    <w:rsid w:val="00D511C9"/>
    <w:rsid w:val="00D536FE"/>
    <w:rsid w:val="00D621A5"/>
    <w:rsid w:val="00D64C94"/>
    <w:rsid w:val="00D65375"/>
    <w:rsid w:val="00D65D91"/>
    <w:rsid w:val="00D72E8A"/>
    <w:rsid w:val="00D977E6"/>
    <w:rsid w:val="00DA0F5A"/>
    <w:rsid w:val="00DA73BD"/>
    <w:rsid w:val="00DA7C21"/>
    <w:rsid w:val="00DB4387"/>
    <w:rsid w:val="00DB4DEC"/>
    <w:rsid w:val="00DC557E"/>
    <w:rsid w:val="00DE6560"/>
    <w:rsid w:val="00E05EAD"/>
    <w:rsid w:val="00E1446C"/>
    <w:rsid w:val="00E156DD"/>
    <w:rsid w:val="00E21CA2"/>
    <w:rsid w:val="00E33D26"/>
    <w:rsid w:val="00E42612"/>
    <w:rsid w:val="00E433D2"/>
    <w:rsid w:val="00E45A46"/>
    <w:rsid w:val="00E5115C"/>
    <w:rsid w:val="00E51281"/>
    <w:rsid w:val="00E54564"/>
    <w:rsid w:val="00E56FBE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1332"/>
    <w:rsid w:val="00F0442E"/>
    <w:rsid w:val="00F0479C"/>
    <w:rsid w:val="00F07CFC"/>
    <w:rsid w:val="00F1059C"/>
    <w:rsid w:val="00F1310C"/>
    <w:rsid w:val="00F3225A"/>
    <w:rsid w:val="00F3283F"/>
    <w:rsid w:val="00F353DF"/>
    <w:rsid w:val="00F47231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01C"/>
    <w:rsid w:val="00FC4580"/>
    <w:rsid w:val="00FC4915"/>
    <w:rsid w:val="00FC4D0B"/>
    <w:rsid w:val="00FD4DD8"/>
    <w:rsid w:val="00FD5141"/>
    <w:rsid w:val="00FE7F93"/>
    <w:rsid w:val="00FF44F7"/>
    <w:rsid w:val="00FF5115"/>
    <w:rsid w:val="034A09ED"/>
    <w:rsid w:val="200ABE37"/>
    <w:rsid w:val="3ECCF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8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styleId="Laukeliai" w:customStyle="1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styleId="FontStyle67" w:customStyle="1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hAnsi="Times New Roman" w:eastAsia="Times New Roman" w:cs="Times New Roman"/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426967"/>
    <w:rPr>
      <w:rFonts w:ascii="Times New Roman" w:hAnsi="Times New Roman" w:eastAsia="Times New Roman" w:cs="Times New Roman"/>
      <w:sz w:val="24"/>
      <w:szCs w:val="24"/>
    </w:rPr>
  </w:style>
  <w:style w:type="character" w:styleId="FontStyle53" w:customStyle="1">
    <w:name w:val="Font Style53"/>
    <w:basedOn w:val="DefaultParagraphFont"/>
    <w:uiPriority w:val="99"/>
    <w:rsid w:val="00C65BF0"/>
    <w:rPr>
      <w:rFonts w:hint="default" w:ascii="Arial" w:hAnsi="Arial" w:cs="Arial"/>
      <w:sz w:val="20"/>
      <w:szCs w:val="20"/>
    </w:rPr>
  </w:style>
  <w:style w:type="paragraph" w:styleId="Punktas1" w:customStyle="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D4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5A40536C59438CA4D94962A225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5B15-B991-46EA-8458-972E2C56EE61}"/>
      </w:docPartPr>
      <w:docPartBody>
        <w:p w:rsidR="002F2437" w:rsidP="00CB21FF" w:rsidRDefault="00CB21FF">
          <w:pPr>
            <w:pStyle w:val="885A40536C59438CA4D94962A225F457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FF"/>
    <w:rsid w:val="001C0B41"/>
    <w:rsid w:val="002F2437"/>
    <w:rsid w:val="006F6BA2"/>
    <w:rsid w:val="00CB21FF"/>
    <w:rsid w:val="00E47B59"/>
    <w:rsid w:val="00F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5A40536C59438CA4D94962A225F457">
    <w:name w:val="885A40536C59438CA4D94962A225F457"/>
    <w:rsid w:val="00CB21FF"/>
  </w:style>
  <w:style w:type="character" w:styleId="PlaceholderText">
    <w:name w:val="Placeholder Text"/>
    <w:basedOn w:val="DefaultParagraphFont"/>
    <w:uiPriority w:val="99"/>
    <w:semiHidden/>
    <w:rsid w:val="002F24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eiktaderinimuif_x002d_jai xmlns="4e521fc8-c9e0-4f7f-9e15-891ede8b564b">false</Pateiktaderinimuif_x002d_jai>
    <Pakeisti_x012f_kainiai xmlns="4e521fc8-c9e0-4f7f-9e15-891ede8b564b">false</Pakeisti_x012f_kainiai>
    <Paruo_x0161_ta xmlns="4e521fc8-c9e0-4f7f-9e15-891ede8b564b">false</Paruo_x0161_ta>
    <lcf76f155ced4ddcb4097134ff3c332f xmlns="4e521fc8-c9e0-4f7f-9e15-891ede8b564b">
      <Terms xmlns="http://schemas.microsoft.com/office/infopath/2007/PartnerControls"/>
    </lcf76f155ced4ddcb4097134ff3c332f>
    <TaxCatchAll xmlns="40aeaa6a-6a37-42f1-8929-cfe28b1fdf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17" ma:contentTypeDescription="Kurkite naują dokumentą." ma:contentTypeScope="" ma:versionID="578c1224b3df2ea47af0ff4382266696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17b61a6c01d09977779c16614085937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1346-7C37-4745-8B2A-F95226CE6121}">
  <ds:schemaRefs>
    <ds:schemaRef ds:uri="http://schemas.microsoft.com/office/2006/metadata/properties"/>
    <ds:schemaRef ds:uri="http://schemas.microsoft.com/office/infopath/2007/PartnerControls"/>
    <ds:schemaRef ds:uri="4e521fc8-c9e0-4f7f-9e15-891ede8b564b"/>
    <ds:schemaRef ds:uri="40aeaa6a-6a37-42f1-8929-cfe28b1fdfde"/>
  </ds:schemaRefs>
</ds:datastoreItem>
</file>

<file path=customXml/itemProps2.xml><?xml version="1.0" encoding="utf-8"?>
<ds:datastoreItem xmlns:ds="http://schemas.openxmlformats.org/officeDocument/2006/customXml" ds:itemID="{8C58A58E-4A1F-4707-B7D6-58C719FF3FD4}"/>
</file>

<file path=customXml/itemProps3.xml><?xml version="1.0" encoding="utf-8"?>
<ds:datastoreItem xmlns:ds="http://schemas.openxmlformats.org/officeDocument/2006/customXml" ds:itemID="{3EBC42C6-017A-4E98-BBA8-05E709001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Jonas Masaitis</cp:lastModifiedBy>
  <cp:revision>3</cp:revision>
  <dcterms:created xsi:type="dcterms:W3CDTF">2024-11-15T05:47:00Z</dcterms:created>
  <dcterms:modified xsi:type="dcterms:W3CDTF">2025-02-18T12:30:54Z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SiteId">
    <vt:lpwstr>ea88e983-d65a-47b3-adb4-3e1c6d2110d2</vt:lpwstr>
  </property>
  <property fmtid="{D5CDD505-2E9C-101B-9397-08002B2CF9AE}" pid="3" name="MSIP_Label_190751af-2442-49a7-b7b9-9f0bcce858c9_Name">
    <vt:lpwstr>Vidaus dokumentai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SetDate">
    <vt:lpwstr>2021-12-02T13:56:10Z</vt:lpwstr>
  </property>
  <property fmtid="{D5CDD505-2E9C-101B-9397-08002B2CF9AE}" pid="6" name="ClassificationContentMarkingHeaderText">
    <vt:lpwstr>INTERNAL USE</vt:lpwstr>
  </property>
  <property fmtid="{D5CDD505-2E9C-101B-9397-08002B2CF9AE}" pid="7" name="MSIP_Label_320c693d-44b7-4e16-b3dd-4fcd87401cf5_Enabled">
    <vt:lpwstr>True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ediaServiceImageTags">
    <vt:lpwstr/>
  </property>
  <property fmtid="{D5CDD505-2E9C-101B-9397-08002B2CF9AE}" pid="10" name="ContentTypeId">
    <vt:lpwstr>0x0101003A5A0451B35B0345892B7EB4B25FDA1A</vt:lpwstr>
  </property>
  <property fmtid="{D5CDD505-2E9C-101B-9397-08002B2CF9AE}" pid="11" name="MSIP_Label_320c693d-44b7-4e16-b3dd-4fcd87401cf5_SetDate">
    <vt:lpwstr>2020-01-09T08:24:02.4848532Z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MSIP_Label_320c693d-44b7-4e16-b3dd-4fcd87401cf5_Owner">
    <vt:lpwstr>Zivile.Kasparaviciene@ignitis.lt</vt:lpwstr>
  </property>
  <property fmtid="{D5CDD505-2E9C-101B-9397-08002B2CF9AE}" pid="14" name="MSIP_Label_320c693d-44b7-4e16-b3dd-4fcd87401cf5_Extended_MSFT_Method">
    <vt:lpwstr>Manual</vt:lpwstr>
  </property>
  <property fmtid="{D5CDD505-2E9C-101B-9397-08002B2CF9AE}" pid="15" name="MSIP_Label_190751af-2442-49a7-b7b9-9f0bcce858c9_ContentBits">
    <vt:lpwstr>0</vt:lpwstr>
  </property>
  <property fmtid="{D5CDD505-2E9C-101B-9397-08002B2CF9AE}" pid="16" name="ClassificationContentMarkingHeaderShapeIds">
    <vt:lpwstr>5674d116,571fdb78,768eadbf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320c693d-44b7-4e16-b3dd-4fcd87401cf5_Name">
    <vt:lpwstr>Viešo naudojimo</vt:lpwstr>
  </property>
  <property fmtid="{D5CDD505-2E9C-101B-9397-08002B2CF9AE}" pid="19" name="MSIP_Label_320c693d-44b7-4e16-b3dd-4fcd87401cf5_SiteId">
    <vt:lpwstr>ea88e983-d65a-47b3-adb4-3e1c6d2110d2</vt:lpwstr>
  </property>
  <property fmtid="{D5CDD505-2E9C-101B-9397-08002B2CF9AE}" pid="20" name="MSIP_Label_190751af-2442-49a7-b7b9-9f0bcce858c9_Enabled">
    <vt:lpwstr>true</vt:lpwstr>
  </property>
  <property fmtid="{D5CDD505-2E9C-101B-9397-08002B2CF9AE}" pid="21" name="MSIP_Label_320c693d-44b7-4e16-b3dd-4fcd87401cf5_ActionId">
    <vt:lpwstr>1859e586-e99f-4a9f-b107-d0cdd8bb9879</vt:lpwstr>
  </property>
</Properties>
</file>