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AACDE" w14:textId="77777777" w:rsidR="00D964D6" w:rsidRPr="00D964D6" w:rsidRDefault="00D964D6" w:rsidP="00D964D6">
      <w:pPr>
        <w:tabs>
          <w:tab w:val="left" w:pos="3686"/>
        </w:tabs>
        <w:ind w:firstLine="10206"/>
        <w:contextualSpacing/>
        <w:rPr>
          <w:rFonts w:ascii="Times New Roman" w:hAnsi="Times New Roman" w:cs="Times New Roman"/>
          <w:sz w:val="24"/>
          <w:szCs w:val="24"/>
        </w:rPr>
      </w:pPr>
      <w:r w:rsidRPr="00D964D6">
        <w:rPr>
          <w:rFonts w:ascii="Times New Roman" w:hAnsi="Times New Roman" w:cs="Times New Roman"/>
          <w:sz w:val="24"/>
          <w:szCs w:val="24"/>
        </w:rPr>
        <w:t>2020 m.                                  d.</w:t>
      </w:r>
    </w:p>
    <w:p w14:paraId="3886B13B" w14:textId="77777777" w:rsidR="00D964D6" w:rsidRPr="00D964D6" w:rsidRDefault="00D964D6" w:rsidP="00D964D6">
      <w:pPr>
        <w:ind w:left="4962" w:firstLine="5244"/>
        <w:contextualSpacing/>
        <w:rPr>
          <w:rFonts w:ascii="Times New Roman" w:hAnsi="Times New Roman" w:cs="Times New Roman"/>
          <w:sz w:val="24"/>
          <w:szCs w:val="24"/>
        </w:rPr>
      </w:pPr>
      <w:r w:rsidRPr="00D964D6">
        <w:rPr>
          <w:rFonts w:ascii="Times New Roman" w:hAnsi="Times New Roman" w:cs="Times New Roman"/>
          <w:sz w:val="24"/>
          <w:szCs w:val="24"/>
        </w:rPr>
        <w:t>p</w:t>
      </w:r>
      <w:r>
        <w:rPr>
          <w:rFonts w:ascii="Times New Roman" w:hAnsi="Times New Roman" w:cs="Times New Roman"/>
          <w:sz w:val="24"/>
          <w:szCs w:val="24"/>
        </w:rPr>
        <w:t>rekių</w:t>
      </w:r>
      <w:r w:rsidRPr="00D964D6">
        <w:rPr>
          <w:rFonts w:ascii="Times New Roman" w:hAnsi="Times New Roman" w:cs="Times New Roman"/>
          <w:sz w:val="24"/>
          <w:szCs w:val="24"/>
        </w:rPr>
        <w:t xml:space="preserve"> viešojo pirkimo–pardavimo</w:t>
      </w:r>
    </w:p>
    <w:p w14:paraId="2249E7F2" w14:textId="77777777" w:rsidR="00D964D6" w:rsidRPr="00D964D6" w:rsidRDefault="00D964D6" w:rsidP="00D964D6">
      <w:pPr>
        <w:ind w:left="4962" w:firstLine="5244"/>
        <w:contextualSpacing/>
        <w:rPr>
          <w:rFonts w:ascii="Times New Roman" w:hAnsi="Times New Roman" w:cs="Times New Roman"/>
          <w:sz w:val="24"/>
          <w:szCs w:val="24"/>
        </w:rPr>
      </w:pPr>
      <w:r w:rsidRPr="00D964D6">
        <w:rPr>
          <w:rFonts w:ascii="Times New Roman" w:hAnsi="Times New Roman" w:cs="Times New Roman"/>
          <w:sz w:val="24"/>
          <w:szCs w:val="24"/>
        </w:rPr>
        <w:t>sutarties Nr.</w:t>
      </w:r>
    </w:p>
    <w:p w14:paraId="0853FBA5" w14:textId="77777777" w:rsidR="00D964D6" w:rsidRPr="002732B5" w:rsidRDefault="00D964D6" w:rsidP="002732B5">
      <w:pPr>
        <w:ind w:left="4962" w:firstLine="5244"/>
        <w:contextualSpacing/>
        <w:rPr>
          <w:rFonts w:ascii="Times New Roman" w:hAnsi="Times New Roman" w:cs="Times New Roman"/>
          <w:sz w:val="24"/>
          <w:szCs w:val="24"/>
        </w:rPr>
      </w:pPr>
      <w:r w:rsidRPr="00D964D6">
        <w:rPr>
          <w:rFonts w:ascii="Times New Roman" w:hAnsi="Times New Roman" w:cs="Times New Roman"/>
          <w:sz w:val="24"/>
          <w:szCs w:val="24"/>
        </w:rPr>
        <w:t>1 priedas</w:t>
      </w:r>
    </w:p>
    <w:p w14:paraId="18E99C6B" w14:textId="77777777" w:rsidR="00CE0C2B" w:rsidRPr="00CE0C2B" w:rsidRDefault="00CE0C2B" w:rsidP="00CE0C2B">
      <w:pPr>
        <w:spacing w:before="60" w:after="60" w:line="240" w:lineRule="auto"/>
        <w:ind w:left="-709" w:firstLine="1843"/>
        <w:contextualSpacing/>
        <w:jc w:val="center"/>
        <w:rPr>
          <w:rFonts w:ascii="Times New Roman" w:hAnsi="Times New Roman" w:cs="Times New Roman"/>
          <w:b/>
          <w:sz w:val="24"/>
          <w:szCs w:val="24"/>
        </w:rPr>
      </w:pPr>
      <w:r w:rsidRPr="00CE0C2B">
        <w:rPr>
          <w:rFonts w:ascii="Times New Roman" w:hAnsi="Times New Roman" w:cs="Times New Roman"/>
          <w:b/>
          <w:noProof/>
          <w:sz w:val="24"/>
          <w:szCs w:val="24"/>
          <w:lang w:eastAsia="lt-LT"/>
        </w:rPr>
        <w:drawing>
          <wp:inline distT="0" distB="0" distL="0" distR="0" wp14:anchorId="000C671D" wp14:editId="76DC6C98">
            <wp:extent cx="2030095" cy="871855"/>
            <wp:effectExtent l="0" t="0" r="0" b="444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0095" cy="871855"/>
                    </a:xfrm>
                    <a:prstGeom prst="rect">
                      <a:avLst/>
                    </a:prstGeom>
                    <a:noFill/>
                  </pic:spPr>
                </pic:pic>
              </a:graphicData>
            </a:graphic>
          </wp:inline>
        </w:drawing>
      </w:r>
      <w:bookmarkStart w:id="0" w:name="_GoBack"/>
      <w:bookmarkEnd w:id="0"/>
    </w:p>
    <w:p w14:paraId="5522868B" w14:textId="3CD63DBF" w:rsidR="00CE0C2B" w:rsidRDefault="00CE0C2B" w:rsidP="002732B5">
      <w:pPr>
        <w:spacing w:line="240" w:lineRule="auto"/>
        <w:ind w:right="1386"/>
        <w:jc w:val="center"/>
        <w:rPr>
          <w:rFonts w:ascii="Times New Roman" w:hAnsi="Times New Roman" w:cs="Times New Roman"/>
          <w:bCs/>
          <w:iCs/>
          <w:lang w:eastAsia="lt-LT"/>
        </w:rPr>
      </w:pPr>
      <w:r w:rsidRPr="00CE0C2B">
        <w:rPr>
          <w:rFonts w:ascii="Times New Roman" w:hAnsi="Times New Roman" w:cs="Times New Roman"/>
          <w:i/>
          <w:sz w:val="24"/>
          <w:szCs w:val="24"/>
        </w:rPr>
        <w:tab/>
      </w:r>
      <w:r w:rsidRPr="00CE0C2B">
        <w:rPr>
          <w:rFonts w:ascii="Times New Roman" w:hAnsi="Times New Roman" w:cs="Times New Roman"/>
          <w:i/>
          <w:sz w:val="24"/>
          <w:szCs w:val="24"/>
        </w:rPr>
        <w:tab/>
      </w:r>
      <w:r w:rsidR="003D380C" w:rsidRPr="003D380C">
        <w:rPr>
          <w:rFonts w:ascii="Times New Roman" w:hAnsi="Times New Roman" w:cs="Times New Roman"/>
          <w:lang w:val="en-GB" w:eastAsia="lt-LT"/>
        </w:rPr>
        <w:t xml:space="preserve">Projektas Nr. </w:t>
      </w:r>
      <w:r w:rsidR="003D380C" w:rsidRPr="003D380C">
        <w:rPr>
          <w:rFonts w:ascii="Times New Roman" w:hAnsi="Times New Roman" w:cs="Times New Roman"/>
          <w:bCs/>
          <w:iCs/>
          <w:lang w:val="en-GB" w:eastAsia="lt-LT"/>
        </w:rPr>
        <w:t xml:space="preserve">LT/2019/VSF/2.4.5.2 </w:t>
      </w:r>
      <w:r w:rsidR="003D380C" w:rsidRPr="003D380C">
        <w:rPr>
          <w:rFonts w:ascii="Times New Roman" w:hAnsi="Times New Roman" w:cs="Times New Roman"/>
          <w:bCs/>
          <w:iCs/>
          <w:lang w:eastAsia="lt-LT"/>
        </w:rPr>
        <w:t>„Atvykimo – išvykimo sistemos veiklos sąnaudos“ (VSF 2014–2020 m. programa)</w:t>
      </w:r>
    </w:p>
    <w:p w14:paraId="79D45B1F" w14:textId="77777777" w:rsidR="00835B97" w:rsidRPr="002732B5" w:rsidRDefault="00835B97" w:rsidP="002732B5">
      <w:pPr>
        <w:spacing w:line="240" w:lineRule="auto"/>
        <w:ind w:right="1386"/>
        <w:jc w:val="center"/>
        <w:rPr>
          <w:rFonts w:ascii="Times New Roman" w:hAnsi="Times New Roman" w:cs="Times New Roman"/>
          <w:lang w:val="en-GB" w:eastAsia="lt-LT"/>
        </w:rPr>
      </w:pPr>
    </w:p>
    <w:p w14:paraId="4521E1B1" w14:textId="1043C3EF" w:rsidR="00CE0C2B" w:rsidRDefault="00CE0C2B" w:rsidP="00835B97">
      <w:pPr>
        <w:pStyle w:val="Sraopastraipa"/>
        <w:numPr>
          <w:ilvl w:val="0"/>
          <w:numId w:val="1"/>
        </w:numPr>
        <w:tabs>
          <w:tab w:val="left" w:pos="1335"/>
        </w:tabs>
        <w:spacing w:before="60" w:after="60" w:line="276" w:lineRule="auto"/>
        <w:ind w:hanging="229"/>
        <w:jc w:val="center"/>
        <w:rPr>
          <w:rFonts w:ascii="Times New Roman" w:hAnsi="Times New Roman" w:cs="Times New Roman"/>
          <w:b/>
          <w:sz w:val="24"/>
          <w:szCs w:val="24"/>
        </w:rPr>
      </w:pPr>
      <w:r w:rsidRPr="00CE0C2B">
        <w:rPr>
          <w:rFonts w:ascii="Times New Roman" w:hAnsi="Times New Roman" w:cs="Times New Roman"/>
          <w:b/>
          <w:sz w:val="24"/>
          <w:szCs w:val="24"/>
        </w:rPr>
        <w:t>BENDROSIOS NUOSTATOS</w:t>
      </w:r>
    </w:p>
    <w:p w14:paraId="12C0644B" w14:textId="77777777" w:rsidR="00835B97" w:rsidRPr="00835B97" w:rsidRDefault="00835B97" w:rsidP="00835B97">
      <w:pPr>
        <w:pStyle w:val="Sraopastraipa"/>
        <w:tabs>
          <w:tab w:val="left" w:pos="1335"/>
        </w:tabs>
        <w:spacing w:before="60" w:after="60" w:line="276" w:lineRule="auto"/>
        <w:ind w:left="1080"/>
        <w:rPr>
          <w:rFonts w:ascii="Times New Roman" w:hAnsi="Times New Roman" w:cs="Times New Roman"/>
          <w:b/>
          <w:sz w:val="24"/>
          <w:szCs w:val="24"/>
        </w:rPr>
      </w:pPr>
    </w:p>
    <w:p w14:paraId="3FDC0F0E" w14:textId="0FD4C55B" w:rsidR="00CE0C2B" w:rsidRPr="00CE0C2B" w:rsidRDefault="00CE0C2B" w:rsidP="00835B97">
      <w:pPr>
        <w:tabs>
          <w:tab w:val="left" w:pos="851"/>
        </w:tabs>
        <w:spacing w:before="60" w:after="60" w:line="276" w:lineRule="auto"/>
        <w:ind w:firstLine="567"/>
        <w:contextualSpacing/>
        <w:rPr>
          <w:rFonts w:ascii="Times New Roman" w:hAnsi="Times New Roman" w:cs="Times New Roman"/>
          <w:sz w:val="24"/>
          <w:szCs w:val="24"/>
        </w:rPr>
      </w:pPr>
      <w:r w:rsidRPr="00CE0C2B">
        <w:rPr>
          <w:rFonts w:ascii="Times New Roman" w:hAnsi="Times New Roman" w:cs="Times New Roman"/>
          <w:sz w:val="24"/>
          <w:szCs w:val="24"/>
        </w:rPr>
        <w:t>1.</w:t>
      </w:r>
      <w:r w:rsidRPr="00CE0C2B">
        <w:rPr>
          <w:rFonts w:ascii="Times New Roman" w:hAnsi="Times New Roman" w:cs="Times New Roman"/>
          <w:sz w:val="24"/>
          <w:szCs w:val="24"/>
        </w:rPr>
        <w:tab/>
        <w:t>Informatikos ir ryšių departamentas prie Lietuvos Respublikos vidaus reikalų ministerijos (adresas Šventaragio g. 2, LT-01510 Vilnius, įstaigos kodas 188774822) (toliau –  IRD</w:t>
      </w:r>
      <w:r w:rsidR="002732B5">
        <w:rPr>
          <w:rFonts w:ascii="Times New Roman" w:hAnsi="Times New Roman" w:cs="Times New Roman"/>
          <w:sz w:val="24"/>
          <w:szCs w:val="24"/>
        </w:rPr>
        <w:t>, Pirkėjas</w:t>
      </w:r>
      <w:r w:rsidRPr="00CE0C2B">
        <w:rPr>
          <w:rFonts w:ascii="Times New Roman" w:hAnsi="Times New Roman" w:cs="Times New Roman"/>
          <w:sz w:val="24"/>
          <w:szCs w:val="24"/>
        </w:rPr>
        <w:t xml:space="preserve"> arba Perkančioji organizacija) </w:t>
      </w:r>
      <w:r w:rsidR="002732B5">
        <w:rPr>
          <w:rFonts w:ascii="Times New Roman" w:hAnsi="Times New Roman" w:cs="Times New Roman"/>
          <w:sz w:val="24"/>
          <w:szCs w:val="24"/>
        </w:rPr>
        <w:t>įsigyja</w:t>
      </w:r>
      <w:r w:rsidRPr="00CE0C2B">
        <w:rPr>
          <w:rFonts w:ascii="Times New Roman" w:hAnsi="Times New Roman" w:cs="Times New Roman"/>
          <w:sz w:val="24"/>
          <w:szCs w:val="24"/>
        </w:rPr>
        <w:t xml:space="preserve"> licencijuotą programinę įrangą.</w:t>
      </w:r>
    </w:p>
    <w:p w14:paraId="54DF0742" w14:textId="67E8DECB" w:rsidR="00CE0C2B" w:rsidRPr="00CE0C2B" w:rsidRDefault="00CE0C2B" w:rsidP="00835B97">
      <w:pPr>
        <w:spacing w:before="60" w:after="60" w:line="276" w:lineRule="auto"/>
        <w:ind w:firstLine="567"/>
        <w:contextualSpacing/>
        <w:rPr>
          <w:rFonts w:ascii="Times New Roman" w:hAnsi="Times New Roman" w:cs="Times New Roman"/>
          <w:sz w:val="24"/>
          <w:szCs w:val="24"/>
        </w:rPr>
      </w:pPr>
      <w:r w:rsidRPr="00CE0C2B">
        <w:rPr>
          <w:rFonts w:ascii="Times New Roman" w:hAnsi="Times New Roman" w:cs="Times New Roman"/>
          <w:sz w:val="24"/>
          <w:szCs w:val="24"/>
        </w:rPr>
        <w:t>2. Antra</w:t>
      </w:r>
      <w:r w:rsidR="002732B5">
        <w:rPr>
          <w:rFonts w:ascii="Times New Roman" w:hAnsi="Times New Roman" w:cs="Times New Roman"/>
          <w:sz w:val="24"/>
          <w:szCs w:val="24"/>
        </w:rPr>
        <w:t xml:space="preserve"> pirkimo ob</w:t>
      </w:r>
      <w:r w:rsidR="003D380C">
        <w:rPr>
          <w:rFonts w:ascii="Times New Roman" w:hAnsi="Times New Roman" w:cs="Times New Roman"/>
          <w:sz w:val="24"/>
          <w:szCs w:val="24"/>
        </w:rPr>
        <w:t>je</w:t>
      </w:r>
      <w:r w:rsidR="002732B5">
        <w:rPr>
          <w:rFonts w:ascii="Times New Roman" w:hAnsi="Times New Roman" w:cs="Times New Roman"/>
          <w:sz w:val="24"/>
          <w:szCs w:val="24"/>
        </w:rPr>
        <w:t>kto</w:t>
      </w:r>
      <w:r w:rsidRPr="00CE0C2B">
        <w:rPr>
          <w:rFonts w:ascii="Times New Roman" w:hAnsi="Times New Roman" w:cs="Times New Roman"/>
          <w:sz w:val="24"/>
          <w:szCs w:val="24"/>
        </w:rPr>
        <w:t xml:space="preserve"> dalis:  Rezervinio kopijavimo „Veeam Availability Suite for VMWare Enterprise Plus“ licencijos arba lygiavertės (24 vnt.)</w:t>
      </w:r>
      <w:r w:rsidR="002B495D">
        <w:rPr>
          <w:rFonts w:ascii="Times New Roman" w:hAnsi="Times New Roman" w:cs="Times New Roman"/>
          <w:sz w:val="24"/>
          <w:szCs w:val="24"/>
        </w:rPr>
        <w:t>.</w:t>
      </w:r>
    </w:p>
    <w:p w14:paraId="2208BDD2" w14:textId="2FF770A5" w:rsidR="00CE0C2B" w:rsidRPr="00CE0C2B" w:rsidRDefault="00CE0C2B" w:rsidP="00835B97">
      <w:pPr>
        <w:spacing w:before="60" w:after="60" w:line="276" w:lineRule="auto"/>
        <w:ind w:firstLine="567"/>
        <w:contextualSpacing/>
        <w:rPr>
          <w:rFonts w:ascii="Times New Roman" w:hAnsi="Times New Roman" w:cs="Times New Roman"/>
          <w:sz w:val="24"/>
          <w:szCs w:val="24"/>
        </w:rPr>
      </w:pPr>
      <w:r w:rsidRPr="00CE0C2B">
        <w:rPr>
          <w:rFonts w:ascii="Times New Roman" w:hAnsi="Times New Roman" w:cs="Times New Roman"/>
          <w:sz w:val="24"/>
          <w:szCs w:val="24"/>
        </w:rPr>
        <w:t xml:space="preserve">3. Licencijuota programinė įranga su programinės įrangos gamintojo techniniu palaikymu turi būti pristatyta adresu Šventaragio g. 2, LT-01510 Vilnius ir aktyvuota 2020 m. gruodžio 1 dieną ir turi galioti iki 2022 m. gruodžio 31 dienos. </w:t>
      </w:r>
    </w:p>
    <w:p w14:paraId="4466D763" w14:textId="77777777" w:rsidR="00CE0C2B" w:rsidRPr="00CE0C2B" w:rsidRDefault="00CE0C2B" w:rsidP="00835B97">
      <w:pPr>
        <w:spacing w:before="60" w:after="60" w:line="276" w:lineRule="auto"/>
        <w:ind w:firstLine="567"/>
        <w:contextualSpacing/>
        <w:rPr>
          <w:rFonts w:ascii="Times New Roman" w:hAnsi="Times New Roman" w:cs="Times New Roman"/>
          <w:sz w:val="24"/>
          <w:szCs w:val="24"/>
        </w:rPr>
      </w:pPr>
      <w:r w:rsidRPr="00CE0C2B">
        <w:rPr>
          <w:rFonts w:ascii="Times New Roman" w:hAnsi="Times New Roman" w:cs="Times New Roman"/>
          <w:sz w:val="24"/>
          <w:szCs w:val="24"/>
        </w:rPr>
        <w:t>4. Licencijuotos programinės įrangos (toliau – Prekės) įsigijimas finansuojamas projekto Nr. LT/2019/VSF/ 2.4.5.2 „Atvykimo – išvykimo sistemos veiklos sąnaudos “ (toliau – Projektas) (VSF 2014–2020 m. programa) lėšomis.</w:t>
      </w:r>
    </w:p>
    <w:p w14:paraId="3861D059" w14:textId="77777777" w:rsidR="00CE0C2B" w:rsidRPr="00CE0C2B" w:rsidRDefault="00CE0C2B" w:rsidP="00835B97">
      <w:pPr>
        <w:spacing w:before="60" w:after="60" w:line="276" w:lineRule="auto"/>
        <w:ind w:firstLine="567"/>
        <w:contextualSpacing/>
        <w:rPr>
          <w:rFonts w:ascii="Times New Roman" w:hAnsi="Times New Roman" w:cs="Times New Roman"/>
          <w:sz w:val="24"/>
          <w:szCs w:val="24"/>
        </w:rPr>
      </w:pPr>
      <w:r w:rsidRPr="00CE0C2B">
        <w:rPr>
          <w:rFonts w:ascii="Times New Roman" w:hAnsi="Times New Roman" w:cs="Times New Roman"/>
          <w:sz w:val="24"/>
          <w:szCs w:val="24"/>
        </w:rPr>
        <w:t>5. Bendra informacija apie Projektą:</w:t>
      </w:r>
    </w:p>
    <w:p w14:paraId="1B82C8F1" w14:textId="77777777" w:rsidR="00CE0C2B" w:rsidRPr="00CE0C2B" w:rsidRDefault="00CE0C2B" w:rsidP="00835B97">
      <w:pPr>
        <w:spacing w:before="60" w:after="60" w:line="276" w:lineRule="auto"/>
        <w:ind w:firstLine="567"/>
        <w:contextualSpacing/>
        <w:rPr>
          <w:rFonts w:ascii="Times New Roman" w:hAnsi="Times New Roman" w:cs="Times New Roman"/>
          <w:sz w:val="24"/>
          <w:szCs w:val="24"/>
        </w:rPr>
      </w:pPr>
      <w:r w:rsidRPr="00CE0C2B">
        <w:rPr>
          <w:rFonts w:ascii="Times New Roman" w:hAnsi="Times New Roman" w:cs="Times New Roman"/>
          <w:sz w:val="24"/>
          <w:szCs w:val="24"/>
        </w:rPr>
        <w:t xml:space="preserve">Dėl kylančių piliečių migracijos srautų  ir siekiant stiprinti Europos Sąjungos (toliau – ES) išorės sienų kontrolę, vidaus saugumą, Šengeno erdvės veikimą bei kovą su terorizmu ir organizuotu nusikalstamumu, išnaudojant dėl technologijų pažangos atsirandančias naujas galimybes, 2017 m. lapkričio 20 d. Europos Parlamentas  ir ES Taryba  priėmė reglamentą  (toliau – ES reglamentas) dėl vieningos Europos skaitmeninės automatizuotos atvykimo ir išvykimo sistemos (toliau – AIS) kūrimo ir reglamentą, kuriuo iš dalies keičiamos Šengeno sienų kodekso nuostatos, susijusios su naujos sistemos kūrimu. Sistemoje bus registruojami trečiųjų šalių piliečių asmeniniai ir biometriniai duomenys bei užsieniečių, kertančių ES valstybių narių išorės sienas, atvykimo, išvykimo bei atsisakymo leisti jiems atvykti duomenys. AIS turėtų pradėti veikti bandomuoju režimu ne vėliau kaip 2020 m. AIS reikalinga siekiant gerinti išorės sienų valdymą ir kontrolę, tvarkytis su didėjančiu į ES atvykstančių ir iš jos išvykstančių keliautojų skaičiumi, nustatyti užsibuvusių asmenų tapatybę, padės užkirsti kelią neteisėtai imigracijai, stiprinti kovą su terorizmu ir kita sunkia nusikalstama veika bei atskleisti ir tirti tokius atvejus. Pilnai įdiegus sistemą bus užtikrinta saugi ir efektyvi valstybių narių sienų kontrolė, patikrinimai kertant valstybių sienas prailgės, bet ne itin reikšmingai ir bus įvykdyti įsipareigojimai numatyti ES reglamente. </w:t>
      </w:r>
    </w:p>
    <w:p w14:paraId="03637A87" w14:textId="77777777" w:rsidR="00CE0C2B" w:rsidRPr="00CE0C2B" w:rsidRDefault="00CE0C2B" w:rsidP="00835B97">
      <w:pPr>
        <w:spacing w:before="60" w:after="60" w:line="276" w:lineRule="auto"/>
        <w:ind w:firstLine="567"/>
        <w:contextualSpacing/>
        <w:rPr>
          <w:rFonts w:ascii="Times New Roman" w:hAnsi="Times New Roman" w:cs="Times New Roman"/>
          <w:sz w:val="24"/>
          <w:szCs w:val="24"/>
        </w:rPr>
      </w:pPr>
      <w:r w:rsidRPr="00CE0C2B">
        <w:rPr>
          <w:rFonts w:ascii="Times New Roman" w:hAnsi="Times New Roman" w:cs="Times New Roman"/>
          <w:sz w:val="24"/>
          <w:szCs w:val="24"/>
        </w:rPr>
        <w:lastRenderedPageBreak/>
        <w:t>Projekto tikslas – užtikrinti, kad   būtų  tinkamai  pasirengta dirbti  su  AIS, nacionaline sienų infrastruktūra  ir užtikrintas nepertraukiamas  vienodos visose valstybėse narėse nacionalinės sąsajos (toliau – VNS, angl. - NUI)  įrangos  veikimas. Tuo tikslu planuojama parengti duomenų centrus VNS  įrangos bei tinklo prieigos punkto (toliau – angl. TAP) įrangos talpinimui ir  veikimui, užtikrinti duomenų centrų infrastruktūros priežiūrą ir palaikymą. Taip  bus užtikrinamas saugus AIS centrinės sistemos ryšys su nacionaline infrastruktūra.</w:t>
      </w:r>
    </w:p>
    <w:p w14:paraId="1A6050A2" w14:textId="42A92AD4" w:rsidR="00CE0C2B" w:rsidRPr="00CE0C2B" w:rsidRDefault="00CE0C2B" w:rsidP="00835B97">
      <w:pPr>
        <w:spacing w:before="60" w:after="60" w:line="276" w:lineRule="auto"/>
        <w:ind w:firstLine="567"/>
        <w:contextualSpacing/>
        <w:rPr>
          <w:rFonts w:ascii="Times New Roman" w:hAnsi="Times New Roman" w:cs="Times New Roman"/>
          <w:sz w:val="24"/>
          <w:szCs w:val="24"/>
        </w:rPr>
      </w:pPr>
      <w:r w:rsidRPr="00CE0C2B">
        <w:rPr>
          <w:rFonts w:ascii="Times New Roman" w:hAnsi="Times New Roman" w:cs="Times New Roman"/>
          <w:sz w:val="24"/>
          <w:szCs w:val="24"/>
        </w:rPr>
        <w:t xml:space="preserve">6. Pirkimo objektui (Prekėms) apibūdinti galimai nurodyti konkretūs techniniai parametrai, technologijos, procesai, gamintojai ar prekės ženklai, standartai, tipai yra tik informacinio pobūdžio. </w:t>
      </w:r>
      <w:r w:rsidR="002732B5">
        <w:rPr>
          <w:rFonts w:ascii="Times New Roman" w:hAnsi="Times New Roman" w:cs="Times New Roman"/>
          <w:sz w:val="24"/>
          <w:szCs w:val="24"/>
        </w:rPr>
        <w:t>Pardavėjas</w:t>
      </w:r>
      <w:r w:rsidR="002732B5" w:rsidRPr="00CE0C2B">
        <w:rPr>
          <w:rFonts w:ascii="Times New Roman" w:hAnsi="Times New Roman" w:cs="Times New Roman"/>
          <w:sz w:val="24"/>
          <w:szCs w:val="24"/>
        </w:rPr>
        <w:t xml:space="preserve"> </w:t>
      </w:r>
      <w:r w:rsidRPr="00CE0C2B">
        <w:rPr>
          <w:rFonts w:ascii="Times New Roman" w:hAnsi="Times New Roman" w:cs="Times New Roman"/>
          <w:sz w:val="24"/>
          <w:szCs w:val="24"/>
        </w:rPr>
        <w:t xml:space="preserve">gali siūlyti ir lygiaverčius produktus, tačiau siūlomų analogiškų arba lygiaverčių produktų parametrai negali būti prastesni nei reikalaujami. Siūlomų „lygiaverčių“ prekių lygiavertiškumą turi įrodyti </w:t>
      </w:r>
      <w:r w:rsidR="002732B5">
        <w:rPr>
          <w:rFonts w:ascii="Times New Roman" w:hAnsi="Times New Roman" w:cs="Times New Roman"/>
          <w:sz w:val="24"/>
          <w:szCs w:val="24"/>
        </w:rPr>
        <w:t>Pardavėjas</w:t>
      </w:r>
      <w:r w:rsidRPr="00CE0C2B">
        <w:rPr>
          <w:rFonts w:ascii="Times New Roman" w:hAnsi="Times New Roman" w:cs="Times New Roman"/>
          <w:sz w:val="24"/>
          <w:szCs w:val="24"/>
        </w:rPr>
        <w:t>.</w:t>
      </w:r>
    </w:p>
    <w:p w14:paraId="7C02042E" w14:textId="77777777" w:rsidR="00CE0C2B" w:rsidRPr="00CE0C2B" w:rsidRDefault="00CE0C2B" w:rsidP="00835B97">
      <w:pPr>
        <w:spacing w:before="60" w:after="60" w:line="276" w:lineRule="auto"/>
        <w:contextualSpacing/>
        <w:rPr>
          <w:rFonts w:ascii="Times New Roman" w:hAnsi="Times New Roman" w:cs="Times New Roman"/>
          <w:sz w:val="24"/>
          <w:szCs w:val="24"/>
        </w:rPr>
      </w:pPr>
    </w:p>
    <w:p w14:paraId="51DFF170" w14:textId="6CE52648" w:rsidR="00835B97" w:rsidRPr="00835B97" w:rsidRDefault="00835B97" w:rsidP="00835B97">
      <w:pPr>
        <w:pStyle w:val="Sraopastraipa"/>
        <w:spacing w:before="60" w:after="60" w:line="276" w:lineRule="auto"/>
        <w:ind w:left="4406" w:hanging="3839"/>
        <w:jc w:val="center"/>
        <w:rPr>
          <w:rFonts w:ascii="Times New Roman" w:hAnsi="Times New Roman" w:cs="Times New Roman"/>
          <w:b/>
          <w:sz w:val="24"/>
          <w:szCs w:val="24"/>
        </w:rPr>
      </w:pPr>
      <w:r w:rsidRPr="00835B97">
        <w:rPr>
          <w:rFonts w:ascii="Times New Roman" w:hAnsi="Times New Roman" w:cs="Times New Roman"/>
          <w:b/>
          <w:sz w:val="24"/>
          <w:szCs w:val="24"/>
        </w:rPr>
        <w:t xml:space="preserve"> II. </w:t>
      </w:r>
      <w:r w:rsidRPr="00835B97">
        <w:rPr>
          <w:rFonts w:ascii="Times New Roman" w:hAnsi="Times New Roman" w:cs="Times New Roman"/>
          <w:b/>
          <w:sz w:val="24"/>
          <w:szCs w:val="24"/>
        </w:rPr>
        <w:t>ANTRA PIRKIMO OBJEKTO DALIS</w:t>
      </w:r>
    </w:p>
    <w:p w14:paraId="173E47E2" w14:textId="77777777" w:rsidR="00835B97" w:rsidRPr="00835B97" w:rsidRDefault="00835B97" w:rsidP="00835B97">
      <w:pPr>
        <w:spacing w:before="60" w:after="60" w:line="276" w:lineRule="auto"/>
        <w:ind w:firstLine="567"/>
        <w:rPr>
          <w:rFonts w:ascii="Times New Roman" w:hAnsi="Times New Roman" w:cs="Times New Roman"/>
          <w:sz w:val="24"/>
          <w:szCs w:val="24"/>
        </w:rPr>
      </w:pPr>
      <w:r w:rsidRPr="00835B97">
        <w:rPr>
          <w:rFonts w:ascii="Times New Roman" w:hAnsi="Times New Roman" w:cs="Times New Roman"/>
          <w:sz w:val="24"/>
          <w:szCs w:val="24"/>
        </w:rPr>
        <w:t>Rezervinio kopijavimo „Veeam Availability Suite for VMWare Enterprise Plus” licencijos arba lygiavertės (24 vnt.) su programinės įrangos gamintojo techniniu palaikymu:</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818"/>
        <w:gridCol w:w="11772"/>
      </w:tblGrid>
      <w:tr w:rsidR="00835B97" w:rsidRPr="00835B97" w14:paraId="65C9D7D6" w14:textId="77777777" w:rsidTr="00835B97">
        <w:trPr>
          <w:tblHeader/>
        </w:trPr>
        <w:tc>
          <w:tcPr>
            <w:tcW w:w="742" w:type="dxa"/>
            <w:shd w:val="clear" w:color="auto" w:fill="auto"/>
            <w:vAlign w:val="center"/>
          </w:tcPr>
          <w:p w14:paraId="4B5855AF" w14:textId="77777777" w:rsidR="00835B97" w:rsidRPr="00835B97" w:rsidRDefault="00835B97" w:rsidP="00835B97">
            <w:pPr>
              <w:tabs>
                <w:tab w:val="left" w:pos="1089"/>
              </w:tabs>
              <w:spacing w:before="40" w:after="40" w:line="276" w:lineRule="auto"/>
              <w:jc w:val="center"/>
              <w:rPr>
                <w:rFonts w:ascii="Times New Roman" w:eastAsia="Times New Roman" w:hAnsi="Times New Roman" w:cs="Times New Roman"/>
                <w:b/>
                <w:sz w:val="24"/>
                <w:szCs w:val="24"/>
              </w:rPr>
            </w:pPr>
            <w:r w:rsidRPr="00835B97">
              <w:rPr>
                <w:rFonts w:ascii="Times New Roman" w:eastAsia="Times New Roman" w:hAnsi="Times New Roman" w:cs="Times New Roman"/>
                <w:b/>
                <w:sz w:val="24"/>
                <w:szCs w:val="24"/>
              </w:rPr>
              <w:t>Eil. Nr.</w:t>
            </w:r>
          </w:p>
        </w:tc>
        <w:tc>
          <w:tcPr>
            <w:tcW w:w="1818" w:type="dxa"/>
            <w:shd w:val="clear" w:color="auto" w:fill="auto"/>
            <w:vAlign w:val="center"/>
          </w:tcPr>
          <w:p w14:paraId="16DBF757" w14:textId="77777777" w:rsidR="00835B97" w:rsidRPr="00835B97" w:rsidRDefault="00835B97" w:rsidP="00835B97">
            <w:pPr>
              <w:tabs>
                <w:tab w:val="left" w:pos="1089"/>
              </w:tabs>
              <w:spacing w:before="40" w:after="40" w:line="276" w:lineRule="auto"/>
              <w:jc w:val="center"/>
              <w:rPr>
                <w:rFonts w:ascii="Times New Roman" w:eastAsia="Times New Roman" w:hAnsi="Times New Roman" w:cs="Times New Roman"/>
                <w:b/>
                <w:sz w:val="24"/>
                <w:szCs w:val="24"/>
              </w:rPr>
            </w:pPr>
            <w:r w:rsidRPr="00835B97">
              <w:rPr>
                <w:rFonts w:ascii="Times New Roman" w:eastAsia="Times New Roman" w:hAnsi="Times New Roman" w:cs="Times New Roman"/>
                <w:b/>
                <w:sz w:val="24"/>
                <w:szCs w:val="24"/>
              </w:rPr>
              <w:t>Parametras</w:t>
            </w:r>
          </w:p>
        </w:tc>
        <w:tc>
          <w:tcPr>
            <w:tcW w:w="11786" w:type="dxa"/>
            <w:shd w:val="clear" w:color="auto" w:fill="auto"/>
            <w:vAlign w:val="center"/>
          </w:tcPr>
          <w:p w14:paraId="0FAC7324" w14:textId="77777777" w:rsidR="00835B97" w:rsidRPr="00835B97" w:rsidRDefault="00835B97" w:rsidP="00835B97">
            <w:pPr>
              <w:tabs>
                <w:tab w:val="left" w:pos="1089"/>
              </w:tabs>
              <w:spacing w:before="40" w:after="40" w:line="276" w:lineRule="auto"/>
              <w:jc w:val="center"/>
              <w:rPr>
                <w:rFonts w:ascii="Times New Roman" w:eastAsia="Times New Roman" w:hAnsi="Times New Roman" w:cs="Times New Roman"/>
                <w:b/>
                <w:sz w:val="24"/>
                <w:szCs w:val="24"/>
              </w:rPr>
            </w:pPr>
            <w:r w:rsidRPr="00835B97">
              <w:rPr>
                <w:rFonts w:ascii="Times New Roman" w:eastAsia="Times New Roman" w:hAnsi="Times New Roman" w:cs="Times New Roman"/>
                <w:b/>
                <w:sz w:val="24"/>
                <w:szCs w:val="24"/>
              </w:rPr>
              <w:t>Minimalūs reikalavimai</w:t>
            </w:r>
          </w:p>
        </w:tc>
      </w:tr>
      <w:tr w:rsidR="00835B97" w:rsidRPr="00835B97" w14:paraId="511F4CB2" w14:textId="77777777" w:rsidTr="00835B97">
        <w:tc>
          <w:tcPr>
            <w:tcW w:w="742" w:type="dxa"/>
            <w:shd w:val="clear" w:color="auto" w:fill="auto"/>
          </w:tcPr>
          <w:p w14:paraId="0B6A0995" w14:textId="77777777" w:rsidR="00835B97" w:rsidRPr="00835B97" w:rsidRDefault="00835B97" w:rsidP="00835B97">
            <w:pPr>
              <w:tabs>
                <w:tab w:val="left" w:pos="1089"/>
              </w:tabs>
              <w:spacing w:before="40" w:after="40" w:line="276" w:lineRule="auto"/>
              <w:ind w:left="360"/>
              <w:jc w:val="left"/>
              <w:rPr>
                <w:rFonts w:ascii="Times New Roman" w:eastAsia="Times New Roman" w:hAnsi="Times New Roman" w:cs="Times New Roman"/>
                <w:sz w:val="24"/>
                <w:szCs w:val="24"/>
              </w:rPr>
            </w:pPr>
            <w:r w:rsidRPr="00835B97">
              <w:rPr>
                <w:rFonts w:ascii="Times New Roman" w:eastAsia="Times New Roman" w:hAnsi="Times New Roman" w:cs="Times New Roman"/>
                <w:sz w:val="24"/>
                <w:szCs w:val="24"/>
              </w:rPr>
              <w:t>1.</w:t>
            </w:r>
          </w:p>
        </w:tc>
        <w:tc>
          <w:tcPr>
            <w:tcW w:w="1818" w:type="dxa"/>
            <w:shd w:val="clear" w:color="auto" w:fill="auto"/>
          </w:tcPr>
          <w:p w14:paraId="7DFE4EA0" w14:textId="77777777" w:rsidR="00835B97" w:rsidRPr="00835B97" w:rsidRDefault="00835B97" w:rsidP="00835B97">
            <w:pPr>
              <w:tabs>
                <w:tab w:val="left" w:pos="1089"/>
              </w:tabs>
              <w:spacing w:before="40" w:after="40" w:line="276" w:lineRule="auto"/>
              <w:rPr>
                <w:rFonts w:ascii="Times New Roman" w:eastAsia="Times New Roman" w:hAnsi="Times New Roman" w:cs="Times New Roman"/>
                <w:sz w:val="24"/>
                <w:szCs w:val="24"/>
              </w:rPr>
            </w:pPr>
            <w:r w:rsidRPr="00835B97">
              <w:rPr>
                <w:rFonts w:ascii="Times New Roman" w:eastAsia="Times New Roman" w:hAnsi="Times New Roman" w:cs="Times New Roman"/>
                <w:sz w:val="24"/>
                <w:szCs w:val="24"/>
              </w:rPr>
              <w:t>Gamintojas, pavadinimas</w:t>
            </w:r>
          </w:p>
        </w:tc>
        <w:tc>
          <w:tcPr>
            <w:tcW w:w="11786" w:type="dxa"/>
            <w:shd w:val="clear" w:color="auto" w:fill="auto"/>
          </w:tcPr>
          <w:p w14:paraId="201B447E" w14:textId="01E4861E" w:rsidR="00835B97" w:rsidRPr="00835B97" w:rsidRDefault="00835B97" w:rsidP="00835B97">
            <w:pPr>
              <w:tabs>
                <w:tab w:val="left" w:pos="1089"/>
              </w:tabs>
              <w:spacing w:before="40" w:after="40" w:line="276" w:lineRule="auto"/>
              <w:jc w:val="left"/>
              <w:rPr>
                <w:rFonts w:ascii="Times New Roman" w:eastAsia="Times New Roman" w:hAnsi="Times New Roman" w:cs="Times New Roman"/>
                <w:sz w:val="24"/>
                <w:szCs w:val="24"/>
              </w:rPr>
            </w:pPr>
            <w:r w:rsidRPr="00835B97">
              <w:rPr>
                <w:rFonts w:ascii="Times New Roman" w:eastAsia="Times New Roman" w:hAnsi="Times New Roman" w:cs="Times New Roman"/>
                <w:sz w:val="24"/>
                <w:szCs w:val="24"/>
              </w:rPr>
              <w:t xml:space="preserve">Nurodo </w:t>
            </w:r>
            <w:r>
              <w:rPr>
                <w:rFonts w:ascii="Times New Roman" w:eastAsia="Times New Roman" w:hAnsi="Times New Roman" w:cs="Times New Roman"/>
                <w:sz w:val="24"/>
                <w:szCs w:val="24"/>
              </w:rPr>
              <w:t>Pardavėjas</w:t>
            </w:r>
          </w:p>
        </w:tc>
      </w:tr>
      <w:tr w:rsidR="00835B97" w:rsidRPr="00835B97" w14:paraId="6A3E8EEB" w14:textId="77777777" w:rsidTr="00835B97">
        <w:tc>
          <w:tcPr>
            <w:tcW w:w="742" w:type="dxa"/>
            <w:shd w:val="clear" w:color="auto" w:fill="auto"/>
          </w:tcPr>
          <w:p w14:paraId="38CE27F9" w14:textId="77777777" w:rsidR="00835B97" w:rsidRPr="00835B97" w:rsidRDefault="00835B97" w:rsidP="00835B97">
            <w:pPr>
              <w:tabs>
                <w:tab w:val="left" w:pos="1089"/>
              </w:tabs>
              <w:spacing w:before="40" w:after="40" w:line="276" w:lineRule="auto"/>
              <w:ind w:left="360"/>
              <w:jc w:val="left"/>
              <w:rPr>
                <w:rFonts w:ascii="Times New Roman" w:eastAsia="Times New Roman" w:hAnsi="Times New Roman" w:cs="Times New Roman"/>
                <w:sz w:val="24"/>
                <w:szCs w:val="24"/>
              </w:rPr>
            </w:pPr>
            <w:r w:rsidRPr="00835B97">
              <w:rPr>
                <w:rFonts w:ascii="Times New Roman" w:eastAsia="Times New Roman" w:hAnsi="Times New Roman" w:cs="Times New Roman"/>
                <w:sz w:val="24"/>
                <w:szCs w:val="24"/>
              </w:rPr>
              <w:t>2.</w:t>
            </w:r>
          </w:p>
        </w:tc>
        <w:tc>
          <w:tcPr>
            <w:tcW w:w="1818" w:type="dxa"/>
            <w:shd w:val="clear" w:color="auto" w:fill="auto"/>
          </w:tcPr>
          <w:p w14:paraId="57E05718" w14:textId="0B19EBC2" w:rsidR="00835B97" w:rsidRPr="00835B97" w:rsidRDefault="00835B97" w:rsidP="00835B97">
            <w:pPr>
              <w:tabs>
                <w:tab w:val="left" w:pos="1089"/>
              </w:tabs>
              <w:spacing w:before="40" w:after="40" w:line="276"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Pardavėjas</w:t>
            </w:r>
            <w:r w:rsidRPr="00835B97">
              <w:rPr>
                <w:rFonts w:ascii="Times New Roman" w:eastAsia="Times New Roman" w:hAnsi="Times New Roman" w:cs="Times New Roman"/>
                <w:sz w:val="24"/>
                <w:szCs w:val="24"/>
                <w:lang w:eastAsia="lt-LT"/>
              </w:rPr>
              <w:t xml:space="preserve"> turi </w:t>
            </w:r>
            <w:r w:rsidRPr="00835B97">
              <w:rPr>
                <w:rFonts w:ascii="Times New Roman" w:eastAsia="Times New Roman" w:hAnsi="Times New Roman" w:cs="Times New Roman"/>
                <w:sz w:val="24"/>
                <w:szCs w:val="24"/>
              </w:rPr>
              <w:t>būti įgaliotas gamintojo atstovas arba turi būti sudaręs atitinkamą sutartį su kitu ūkio subjektu, turinčiu teisę atstovauti siūlomos programinės įrangos gamintoją</w:t>
            </w:r>
          </w:p>
        </w:tc>
        <w:tc>
          <w:tcPr>
            <w:tcW w:w="11786" w:type="dxa"/>
            <w:shd w:val="clear" w:color="auto" w:fill="auto"/>
          </w:tcPr>
          <w:p w14:paraId="547A132D" w14:textId="5A270550" w:rsidR="00835B97" w:rsidRPr="00835B97" w:rsidRDefault="00835B97" w:rsidP="00835B97">
            <w:pPr>
              <w:tabs>
                <w:tab w:val="left" w:pos="1089"/>
              </w:tabs>
              <w:spacing w:before="40" w:after="40" w:line="276" w:lineRule="auto"/>
              <w:rPr>
                <w:rFonts w:ascii="Times New Roman" w:eastAsia="Times New Roman" w:hAnsi="Times New Roman" w:cs="Times New Roman"/>
                <w:sz w:val="24"/>
                <w:szCs w:val="24"/>
              </w:rPr>
            </w:pPr>
            <w:r w:rsidRPr="00835B97">
              <w:rPr>
                <w:rFonts w:ascii="Times New Roman" w:eastAsia="Times New Roman" w:hAnsi="Times New Roman" w:cs="Times New Roman"/>
                <w:sz w:val="24"/>
                <w:szCs w:val="24"/>
              </w:rPr>
              <w:t xml:space="preserve">Dokumentas, patvirtinantis, kad </w:t>
            </w:r>
            <w:r>
              <w:rPr>
                <w:rFonts w:ascii="Times New Roman" w:eastAsia="Times New Roman" w:hAnsi="Times New Roman" w:cs="Times New Roman"/>
                <w:sz w:val="24"/>
                <w:szCs w:val="24"/>
              </w:rPr>
              <w:t>Pardavėjas</w:t>
            </w:r>
            <w:r w:rsidRPr="00835B97">
              <w:rPr>
                <w:rFonts w:ascii="Times New Roman" w:eastAsia="Times New Roman" w:hAnsi="Times New Roman" w:cs="Times New Roman"/>
                <w:sz w:val="24"/>
                <w:szCs w:val="24"/>
              </w:rPr>
              <w:t xml:space="preserve"> yra siūlomos įrangos įgaliotas gamintojo atstovas arba yra sudaręs atitinkamą sutartį su kitu ūkio subjektu, turinčiu teisę atstovauti siūlomos programinės įrangos gamintoją.</w:t>
            </w:r>
          </w:p>
        </w:tc>
      </w:tr>
      <w:tr w:rsidR="00835B97" w:rsidRPr="00835B97" w14:paraId="707A003E" w14:textId="77777777" w:rsidTr="00835B97">
        <w:tc>
          <w:tcPr>
            <w:tcW w:w="742" w:type="dxa"/>
            <w:shd w:val="clear" w:color="auto" w:fill="auto"/>
          </w:tcPr>
          <w:p w14:paraId="7CFDCAF3" w14:textId="77777777" w:rsidR="00835B97" w:rsidRPr="00835B97" w:rsidRDefault="00835B97" w:rsidP="00835B97">
            <w:pPr>
              <w:tabs>
                <w:tab w:val="left" w:pos="1089"/>
              </w:tabs>
              <w:spacing w:before="40" w:after="40" w:line="276" w:lineRule="auto"/>
              <w:ind w:left="360"/>
              <w:jc w:val="left"/>
              <w:rPr>
                <w:rFonts w:ascii="Times New Roman" w:eastAsia="Times New Roman" w:hAnsi="Times New Roman" w:cs="Times New Roman"/>
                <w:sz w:val="24"/>
                <w:szCs w:val="24"/>
              </w:rPr>
            </w:pPr>
            <w:r w:rsidRPr="00835B97">
              <w:rPr>
                <w:rFonts w:ascii="Times New Roman" w:eastAsia="Times New Roman" w:hAnsi="Times New Roman" w:cs="Times New Roman"/>
                <w:sz w:val="24"/>
                <w:szCs w:val="24"/>
              </w:rPr>
              <w:t>3.</w:t>
            </w:r>
          </w:p>
        </w:tc>
        <w:tc>
          <w:tcPr>
            <w:tcW w:w="1818" w:type="dxa"/>
            <w:shd w:val="clear" w:color="auto" w:fill="auto"/>
          </w:tcPr>
          <w:p w14:paraId="2F5FB69A" w14:textId="77777777" w:rsidR="00835B97" w:rsidRPr="00835B97" w:rsidRDefault="00835B97" w:rsidP="00835B97">
            <w:pPr>
              <w:tabs>
                <w:tab w:val="left" w:pos="1089"/>
              </w:tabs>
              <w:spacing w:before="40" w:after="40" w:line="276" w:lineRule="auto"/>
              <w:rPr>
                <w:rFonts w:ascii="Times New Roman" w:eastAsia="Times New Roman" w:hAnsi="Times New Roman" w:cs="Times New Roman"/>
                <w:sz w:val="24"/>
                <w:szCs w:val="24"/>
              </w:rPr>
            </w:pPr>
            <w:r w:rsidRPr="00835B97">
              <w:rPr>
                <w:rFonts w:ascii="Times New Roman" w:eastAsia="Times New Roman" w:hAnsi="Times New Roman" w:cs="Times New Roman"/>
                <w:sz w:val="24"/>
                <w:szCs w:val="24"/>
              </w:rPr>
              <w:t>Licencijų kiekis</w:t>
            </w:r>
          </w:p>
        </w:tc>
        <w:tc>
          <w:tcPr>
            <w:tcW w:w="11786" w:type="dxa"/>
            <w:shd w:val="clear" w:color="auto" w:fill="auto"/>
          </w:tcPr>
          <w:p w14:paraId="05ED0233" w14:textId="77777777" w:rsidR="00835B97" w:rsidRPr="00835B97" w:rsidRDefault="00835B97" w:rsidP="00835B97">
            <w:pPr>
              <w:tabs>
                <w:tab w:val="left" w:pos="1089"/>
              </w:tabs>
              <w:spacing w:before="40" w:after="40" w:line="276" w:lineRule="auto"/>
              <w:rPr>
                <w:rFonts w:ascii="Times New Roman" w:eastAsia="Times New Roman" w:hAnsi="Times New Roman" w:cs="Times New Roman"/>
                <w:sz w:val="24"/>
                <w:szCs w:val="24"/>
              </w:rPr>
            </w:pPr>
            <w:r w:rsidRPr="00835B97">
              <w:rPr>
                <w:rFonts w:ascii="Times New Roman" w:eastAsia="Times New Roman" w:hAnsi="Times New Roman" w:cs="Times New Roman"/>
                <w:sz w:val="24"/>
                <w:szCs w:val="24"/>
              </w:rPr>
              <w:t>24 procesorių licencija (ang. socket) neribojant replikuojamų ar kopijuojamų virtualių serverių skaičiaus.</w:t>
            </w:r>
          </w:p>
        </w:tc>
      </w:tr>
      <w:tr w:rsidR="00835B97" w:rsidRPr="00835B97" w14:paraId="353A6FF4" w14:textId="77777777" w:rsidTr="00835B97">
        <w:tc>
          <w:tcPr>
            <w:tcW w:w="742" w:type="dxa"/>
            <w:shd w:val="clear" w:color="auto" w:fill="auto"/>
          </w:tcPr>
          <w:p w14:paraId="136840B0" w14:textId="77777777" w:rsidR="00835B97" w:rsidRPr="00835B97" w:rsidRDefault="00835B97" w:rsidP="00835B97">
            <w:pPr>
              <w:tabs>
                <w:tab w:val="left" w:pos="1089"/>
              </w:tabs>
              <w:spacing w:before="40" w:after="40" w:line="276" w:lineRule="auto"/>
              <w:ind w:left="360"/>
              <w:jc w:val="left"/>
              <w:rPr>
                <w:rFonts w:ascii="Times New Roman" w:eastAsia="Times New Roman" w:hAnsi="Times New Roman" w:cs="Times New Roman"/>
                <w:sz w:val="24"/>
                <w:szCs w:val="24"/>
              </w:rPr>
            </w:pPr>
            <w:r w:rsidRPr="00835B97">
              <w:rPr>
                <w:rFonts w:ascii="Times New Roman" w:eastAsia="Times New Roman" w:hAnsi="Times New Roman" w:cs="Times New Roman"/>
                <w:sz w:val="24"/>
                <w:szCs w:val="24"/>
              </w:rPr>
              <w:lastRenderedPageBreak/>
              <w:t>4.</w:t>
            </w:r>
          </w:p>
        </w:tc>
        <w:tc>
          <w:tcPr>
            <w:tcW w:w="1818" w:type="dxa"/>
            <w:shd w:val="clear" w:color="auto" w:fill="auto"/>
          </w:tcPr>
          <w:p w14:paraId="218664A6" w14:textId="77777777" w:rsidR="00835B97" w:rsidRPr="00835B97" w:rsidRDefault="00835B97" w:rsidP="00835B97">
            <w:pPr>
              <w:tabs>
                <w:tab w:val="left" w:pos="1089"/>
              </w:tabs>
              <w:spacing w:before="40" w:after="40" w:line="276" w:lineRule="auto"/>
              <w:jc w:val="left"/>
              <w:rPr>
                <w:rFonts w:ascii="Times New Roman" w:eastAsia="Times New Roman" w:hAnsi="Times New Roman" w:cs="Times New Roman"/>
                <w:sz w:val="24"/>
                <w:szCs w:val="24"/>
              </w:rPr>
            </w:pPr>
            <w:r w:rsidRPr="00835B97">
              <w:rPr>
                <w:rFonts w:ascii="Times New Roman" w:eastAsia="Times New Roman" w:hAnsi="Times New Roman" w:cs="Times New Roman"/>
                <w:sz w:val="24"/>
                <w:szCs w:val="24"/>
              </w:rPr>
              <w:t>Rezervinių kopijavimo ir replikavimo programinės įrangos integracija</w:t>
            </w:r>
          </w:p>
        </w:tc>
        <w:tc>
          <w:tcPr>
            <w:tcW w:w="11786" w:type="dxa"/>
            <w:shd w:val="clear" w:color="auto" w:fill="auto"/>
          </w:tcPr>
          <w:p w14:paraId="3BCFFD6F" w14:textId="77777777" w:rsidR="00835B97" w:rsidRPr="00835B97" w:rsidRDefault="00835B97" w:rsidP="00835B97">
            <w:pPr>
              <w:tabs>
                <w:tab w:val="left" w:pos="1089"/>
              </w:tabs>
              <w:spacing w:before="40" w:after="40" w:line="276" w:lineRule="auto"/>
              <w:rPr>
                <w:rFonts w:ascii="Times New Roman" w:eastAsia="Times New Roman" w:hAnsi="Times New Roman" w:cs="Times New Roman"/>
                <w:sz w:val="24"/>
                <w:szCs w:val="24"/>
              </w:rPr>
            </w:pPr>
            <w:r w:rsidRPr="00835B97">
              <w:rPr>
                <w:rFonts w:ascii="Times New Roman" w:eastAsia="Times New Roman" w:hAnsi="Times New Roman" w:cs="Times New Roman"/>
                <w:sz w:val="24"/>
                <w:szCs w:val="24"/>
              </w:rPr>
              <w:t>Privalo integruotis į esamą virtualizavimo platformą – VMware vSphere Virtualioje aplinkoje veikimas užtikrinamas nediegiant agentų į virtualius serverius (ang. agent less).</w:t>
            </w:r>
          </w:p>
        </w:tc>
      </w:tr>
      <w:tr w:rsidR="00835B97" w:rsidRPr="00835B97" w14:paraId="50B166AF" w14:textId="77777777" w:rsidTr="00835B97">
        <w:tc>
          <w:tcPr>
            <w:tcW w:w="742" w:type="dxa"/>
            <w:shd w:val="clear" w:color="auto" w:fill="auto"/>
          </w:tcPr>
          <w:p w14:paraId="1DE5BB4F" w14:textId="77777777" w:rsidR="00835B97" w:rsidRPr="00835B97" w:rsidRDefault="00835B97" w:rsidP="00835B97">
            <w:pPr>
              <w:numPr>
                <w:ilvl w:val="0"/>
                <w:numId w:val="2"/>
              </w:numPr>
              <w:tabs>
                <w:tab w:val="left" w:pos="1089"/>
              </w:tabs>
              <w:spacing w:before="40" w:after="40" w:line="276" w:lineRule="auto"/>
              <w:ind w:left="360" w:firstLine="0"/>
              <w:jc w:val="left"/>
              <w:rPr>
                <w:rFonts w:ascii="Times New Roman" w:eastAsia="Times New Roman" w:hAnsi="Times New Roman" w:cs="Times New Roman"/>
                <w:sz w:val="24"/>
                <w:szCs w:val="24"/>
              </w:rPr>
            </w:pPr>
          </w:p>
        </w:tc>
        <w:tc>
          <w:tcPr>
            <w:tcW w:w="1818" w:type="dxa"/>
            <w:shd w:val="clear" w:color="auto" w:fill="auto"/>
          </w:tcPr>
          <w:p w14:paraId="114F8D1C" w14:textId="77777777" w:rsidR="00835B97" w:rsidRPr="00835B97" w:rsidRDefault="00835B97" w:rsidP="00835B97">
            <w:pPr>
              <w:tabs>
                <w:tab w:val="left" w:pos="1089"/>
              </w:tabs>
              <w:spacing w:before="40" w:after="40" w:line="276" w:lineRule="auto"/>
              <w:rPr>
                <w:rFonts w:ascii="Times New Roman" w:eastAsia="Times New Roman" w:hAnsi="Times New Roman" w:cs="Times New Roman"/>
                <w:sz w:val="24"/>
                <w:szCs w:val="24"/>
              </w:rPr>
            </w:pPr>
            <w:r w:rsidRPr="00835B97">
              <w:rPr>
                <w:rFonts w:ascii="Times New Roman" w:eastAsia="Times New Roman" w:hAnsi="Times New Roman" w:cs="Times New Roman"/>
                <w:sz w:val="24"/>
                <w:szCs w:val="24"/>
              </w:rPr>
              <w:t>Programinės įrangos funkcionalumas</w:t>
            </w:r>
          </w:p>
        </w:tc>
        <w:tc>
          <w:tcPr>
            <w:tcW w:w="11786" w:type="dxa"/>
            <w:shd w:val="clear" w:color="auto" w:fill="auto"/>
          </w:tcPr>
          <w:p w14:paraId="33E5229F" w14:textId="77777777" w:rsidR="00835B97" w:rsidRPr="00835B97" w:rsidRDefault="00835B97" w:rsidP="00835B97">
            <w:pPr>
              <w:spacing w:after="0" w:line="276" w:lineRule="auto"/>
              <w:jc w:val="left"/>
              <w:rPr>
                <w:rFonts w:ascii="Times New Roman" w:eastAsia="Times New Roman" w:hAnsi="Times New Roman" w:cs="Times New Roman"/>
                <w:sz w:val="24"/>
                <w:szCs w:val="24"/>
              </w:rPr>
            </w:pPr>
            <w:r w:rsidRPr="00835B97">
              <w:rPr>
                <w:rFonts w:ascii="Times New Roman" w:eastAsia="Times New Roman" w:hAnsi="Times New Roman" w:cs="Times New Roman"/>
                <w:sz w:val="24"/>
                <w:szCs w:val="24"/>
              </w:rPr>
              <w:t>Turi būti pateikta licencija, užtikrinanti žemiau reikalaujamą funkcionalumą:</w:t>
            </w:r>
          </w:p>
          <w:p w14:paraId="786DF11E" w14:textId="77777777" w:rsidR="00835B97" w:rsidRPr="00835B97" w:rsidRDefault="00835B97" w:rsidP="00835B97">
            <w:pPr>
              <w:numPr>
                <w:ilvl w:val="0"/>
                <w:numId w:val="4"/>
              </w:numPr>
              <w:spacing w:after="0" w:line="276" w:lineRule="auto"/>
              <w:contextualSpacing/>
              <w:jc w:val="left"/>
              <w:rPr>
                <w:rFonts w:ascii="Times New Roman" w:eastAsia="Calibri" w:hAnsi="Times New Roman" w:cs="Times New Roman"/>
                <w:sz w:val="24"/>
                <w:szCs w:val="24"/>
              </w:rPr>
            </w:pPr>
            <w:r w:rsidRPr="00835B97">
              <w:rPr>
                <w:rFonts w:ascii="Times New Roman" w:eastAsia="Calibri" w:hAnsi="Times New Roman" w:cs="Times New Roman"/>
                <w:sz w:val="24"/>
                <w:szCs w:val="24"/>
              </w:rPr>
              <w:t>daryti/atstyti virtualių serverių rezervines kopijas jų nestabdant;</w:t>
            </w:r>
          </w:p>
          <w:p w14:paraId="2CC8176B" w14:textId="77777777" w:rsidR="00835B97" w:rsidRPr="00835B97" w:rsidRDefault="00835B97" w:rsidP="00835B97">
            <w:pPr>
              <w:numPr>
                <w:ilvl w:val="0"/>
                <w:numId w:val="4"/>
              </w:numPr>
              <w:spacing w:after="0" w:line="276" w:lineRule="auto"/>
              <w:contextualSpacing/>
              <w:jc w:val="left"/>
              <w:rPr>
                <w:rFonts w:ascii="Times New Roman" w:eastAsia="Calibri" w:hAnsi="Times New Roman" w:cs="Times New Roman"/>
                <w:sz w:val="24"/>
                <w:szCs w:val="24"/>
              </w:rPr>
            </w:pPr>
            <w:r w:rsidRPr="00835B97">
              <w:rPr>
                <w:rFonts w:ascii="Times New Roman" w:eastAsia="Calibri" w:hAnsi="Times New Roman" w:cs="Times New Roman"/>
                <w:sz w:val="24"/>
                <w:szCs w:val="24"/>
              </w:rPr>
              <w:t>asinchroniškai replikuoti serverius į iš anksto aprašytą duomenų laikmeną ar nutolusį duomenų centrą;</w:t>
            </w:r>
          </w:p>
          <w:p w14:paraId="13371FBE" w14:textId="77777777" w:rsidR="00835B97" w:rsidRPr="00835B97" w:rsidRDefault="00835B97" w:rsidP="00835B97">
            <w:pPr>
              <w:numPr>
                <w:ilvl w:val="0"/>
                <w:numId w:val="4"/>
              </w:numPr>
              <w:spacing w:after="0" w:line="276" w:lineRule="auto"/>
              <w:contextualSpacing/>
              <w:jc w:val="left"/>
              <w:rPr>
                <w:rFonts w:ascii="Times New Roman" w:eastAsia="Calibri" w:hAnsi="Times New Roman" w:cs="Times New Roman"/>
                <w:sz w:val="24"/>
                <w:szCs w:val="24"/>
              </w:rPr>
            </w:pPr>
            <w:r w:rsidRPr="00835B97">
              <w:rPr>
                <w:rFonts w:ascii="Times New Roman" w:eastAsia="Calibri" w:hAnsi="Times New Roman" w:cs="Times New Roman"/>
                <w:sz w:val="24"/>
                <w:szCs w:val="24"/>
              </w:rPr>
              <w:t>turi daryti rezervines kopijas naudojant VSS (Volume Snapshot Service) technologiją. Privalo palaikyti ne tik failinių sistemų, bet ir taikomosios programinės įrangos (tokios kaip MS Exchange, MS SQL, MS AD, MS Sharepoint) korektišką duomenų rezervinį kopijavimą naudojant VSS integraciją;</w:t>
            </w:r>
          </w:p>
          <w:p w14:paraId="44C97485" w14:textId="77777777" w:rsidR="00835B97" w:rsidRPr="00835B97" w:rsidRDefault="00835B97" w:rsidP="00835B97">
            <w:pPr>
              <w:numPr>
                <w:ilvl w:val="0"/>
                <w:numId w:val="4"/>
              </w:numPr>
              <w:spacing w:after="0" w:line="276" w:lineRule="auto"/>
              <w:contextualSpacing/>
              <w:jc w:val="left"/>
              <w:rPr>
                <w:rFonts w:ascii="Times New Roman" w:eastAsia="Calibri" w:hAnsi="Times New Roman" w:cs="Times New Roman"/>
                <w:sz w:val="24"/>
                <w:szCs w:val="24"/>
              </w:rPr>
            </w:pPr>
            <w:r w:rsidRPr="00835B97">
              <w:rPr>
                <w:rFonts w:ascii="Times New Roman" w:eastAsia="Calibri" w:hAnsi="Times New Roman" w:cs="Times New Roman"/>
                <w:sz w:val="24"/>
                <w:szCs w:val="24"/>
              </w:rPr>
              <w:t>privalo gebėti atlikti rezervinį kopijavimą panaudojant sukurtas momentines rezervines kopijas duomenų saugykloje;</w:t>
            </w:r>
          </w:p>
          <w:p w14:paraId="7F87EA81" w14:textId="77777777" w:rsidR="00835B97" w:rsidRPr="00835B97" w:rsidRDefault="00835B97" w:rsidP="00835B97">
            <w:pPr>
              <w:numPr>
                <w:ilvl w:val="0"/>
                <w:numId w:val="4"/>
              </w:numPr>
              <w:spacing w:after="0" w:line="276" w:lineRule="auto"/>
              <w:contextualSpacing/>
              <w:jc w:val="left"/>
              <w:rPr>
                <w:rFonts w:ascii="Times New Roman" w:eastAsia="Calibri" w:hAnsi="Times New Roman" w:cs="Times New Roman"/>
                <w:sz w:val="24"/>
                <w:szCs w:val="24"/>
              </w:rPr>
            </w:pPr>
            <w:r w:rsidRPr="00835B97">
              <w:rPr>
                <w:rFonts w:ascii="Times New Roman" w:eastAsia="Calibri" w:hAnsi="Times New Roman" w:cs="Times New Roman"/>
                <w:sz w:val="24"/>
                <w:szCs w:val="24"/>
              </w:rPr>
              <w:t>privalo palaikyti objektų atstatymą iš momentinių kopijų.</w:t>
            </w:r>
          </w:p>
          <w:p w14:paraId="1C3C4F0D" w14:textId="77777777" w:rsidR="00835B97" w:rsidRPr="00835B97" w:rsidRDefault="00835B97" w:rsidP="00835B97">
            <w:pPr>
              <w:tabs>
                <w:tab w:val="left" w:pos="1089"/>
              </w:tabs>
              <w:spacing w:before="40" w:after="40" w:line="276" w:lineRule="auto"/>
              <w:rPr>
                <w:rFonts w:ascii="Times New Roman" w:eastAsia="Times New Roman" w:hAnsi="Times New Roman" w:cs="Times New Roman"/>
                <w:sz w:val="24"/>
                <w:szCs w:val="24"/>
              </w:rPr>
            </w:pPr>
            <w:r w:rsidRPr="00835B97">
              <w:rPr>
                <w:rFonts w:ascii="Times New Roman" w:eastAsia="Calibri" w:hAnsi="Times New Roman" w:cs="Times New Roman"/>
                <w:sz w:val="24"/>
                <w:szCs w:val="24"/>
              </w:rPr>
              <w:t>Turi būti galimybė deleguoti duomenų ar virtualių mašinų atstatymo užduotis.</w:t>
            </w:r>
          </w:p>
        </w:tc>
      </w:tr>
      <w:tr w:rsidR="00835B97" w:rsidRPr="00835B97" w14:paraId="0CF914C2" w14:textId="77777777" w:rsidTr="00835B97">
        <w:tc>
          <w:tcPr>
            <w:tcW w:w="742" w:type="dxa"/>
            <w:shd w:val="clear" w:color="auto" w:fill="auto"/>
          </w:tcPr>
          <w:p w14:paraId="40BD33EC" w14:textId="77777777" w:rsidR="00835B97" w:rsidRPr="00835B97" w:rsidRDefault="00835B97" w:rsidP="00835B97">
            <w:pPr>
              <w:numPr>
                <w:ilvl w:val="0"/>
                <w:numId w:val="2"/>
              </w:numPr>
              <w:tabs>
                <w:tab w:val="left" w:pos="1089"/>
              </w:tabs>
              <w:spacing w:before="40" w:after="40" w:line="276" w:lineRule="auto"/>
              <w:ind w:left="360" w:firstLine="0"/>
              <w:jc w:val="left"/>
              <w:rPr>
                <w:rFonts w:ascii="Times New Roman" w:eastAsia="Times New Roman" w:hAnsi="Times New Roman" w:cs="Times New Roman"/>
                <w:sz w:val="24"/>
                <w:szCs w:val="24"/>
              </w:rPr>
            </w:pPr>
          </w:p>
        </w:tc>
        <w:tc>
          <w:tcPr>
            <w:tcW w:w="1818" w:type="dxa"/>
            <w:shd w:val="clear" w:color="auto" w:fill="auto"/>
          </w:tcPr>
          <w:p w14:paraId="357DB13D" w14:textId="77777777" w:rsidR="00835B97" w:rsidRPr="00835B97" w:rsidRDefault="00835B97" w:rsidP="00835B97">
            <w:pPr>
              <w:tabs>
                <w:tab w:val="left" w:pos="1089"/>
              </w:tabs>
              <w:spacing w:before="40" w:after="40" w:line="276" w:lineRule="auto"/>
              <w:jc w:val="left"/>
              <w:rPr>
                <w:rFonts w:ascii="Times New Roman" w:eastAsia="Times New Roman" w:hAnsi="Times New Roman" w:cs="Times New Roman"/>
                <w:sz w:val="24"/>
                <w:szCs w:val="24"/>
              </w:rPr>
            </w:pPr>
            <w:r w:rsidRPr="00835B97">
              <w:rPr>
                <w:rFonts w:ascii="Times New Roman" w:eastAsia="Times New Roman" w:hAnsi="Times New Roman" w:cs="Times New Roman"/>
                <w:sz w:val="24"/>
                <w:szCs w:val="24"/>
              </w:rPr>
              <w:t>Duomenų išdubliavimo (atsarginių kopijų darymo būdas), versijavimo užtikrinimas</w:t>
            </w:r>
          </w:p>
        </w:tc>
        <w:tc>
          <w:tcPr>
            <w:tcW w:w="11786" w:type="dxa"/>
            <w:shd w:val="clear" w:color="auto" w:fill="auto"/>
          </w:tcPr>
          <w:p w14:paraId="32053618" w14:textId="77777777" w:rsidR="00835B97" w:rsidRPr="00835B97" w:rsidRDefault="00835B97" w:rsidP="00835B97">
            <w:pPr>
              <w:tabs>
                <w:tab w:val="left" w:pos="1089"/>
              </w:tabs>
              <w:spacing w:before="40" w:after="40" w:line="276" w:lineRule="auto"/>
              <w:rPr>
                <w:rFonts w:ascii="Times New Roman" w:eastAsia="Times New Roman" w:hAnsi="Times New Roman" w:cs="Times New Roman"/>
                <w:sz w:val="24"/>
                <w:szCs w:val="24"/>
              </w:rPr>
            </w:pPr>
            <w:r w:rsidRPr="00835B97">
              <w:rPr>
                <w:rFonts w:ascii="Times New Roman" w:eastAsia="Times New Roman" w:hAnsi="Times New Roman" w:cs="Times New Roman"/>
                <w:sz w:val="24"/>
                <w:szCs w:val="24"/>
              </w:rPr>
              <w:t>Turi turėti rezervinių duomenų kopijų išdubliavimo (“deduplication”) ir versijavimo funkcionalumą.</w:t>
            </w:r>
          </w:p>
        </w:tc>
      </w:tr>
      <w:tr w:rsidR="00835B97" w:rsidRPr="00835B97" w14:paraId="21E3791C" w14:textId="77777777" w:rsidTr="00835B97">
        <w:tc>
          <w:tcPr>
            <w:tcW w:w="742" w:type="dxa"/>
            <w:shd w:val="clear" w:color="auto" w:fill="auto"/>
          </w:tcPr>
          <w:p w14:paraId="4A9E0861" w14:textId="77777777" w:rsidR="00835B97" w:rsidRPr="00835B97" w:rsidRDefault="00835B97" w:rsidP="00835B97">
            <w:pPr>
              <w:numPr>
                <w:ilvl w:val="0"/>
                <w:numId w:val="2"/>
              </w:numPr>
              <w:tabs>
                <w:tab w:val="left" w:pos="1089"/>
              </w:tabs>
              <w:spacing w:before="40" w:after="40" w:line="276" w:lineRule="auto"/>
              <w:ind w:left="360" w:firstLine="0"/>
              <w:jc w:val="left"/>
              <w:rPr>
                <w:rFonts w:ascii="Times New Roman" w:eastAsia="Times New Roman" w:hAnsi="Times New Roman" w:cs="Times New Roman"/>
                <w:sz w:val="24"/>
                <w:szCs w:val="24"/>
              </w:rPr>
            </w:pPr>
          </w:p>
        </w:tc>
        <w:tc>
          <w:tcPr>
            <w:tcW w:w="1818" w:type="dxa"/>
            <w:shd w:val="clear" w:color="auto" w:fill="auto"/>
          </w:tcPr>
          <w:p w14:paraId="2BB44A08" w14:textId="77777777" w:rsidR="00835B97" w:rsidRPr="00835B97" w:rsidRDefault="00835B97" w:rsidP="00835B97">
            <w:pPr>
              <w:tabs>
                <w:tab w:val="left" w:pos="1089"/>
              </w:tabs>
              <w:spacing w:before="40" w:after="40" w:line="276" w:lineRule="auto"/>
              <w:rPr>
                <w:rFonts w:ascii="Times New Roman" w:eastAsia="Times New Roman" w:hAnsi="Times New Roman" w:cs="Times New Roman"/>
                <w:sz w:val="24"/>
                <w:szCs w:val="24"/>
              </w:rPr>
            </w:pPr>
            <w:r w:rsidRPr="00835B97">
              <w:rPr>
                <w:rFonts w:ascii="Times New Roman" w:eastAsia="Times New Roman" w:hAnsi="Times New Roman" w:cs="Times New Roman"/>
                <w:sz w:val="24"/>
                <w:szCs w:val="24"/>
              </w:rPr>
              <w:t>Paieškos funkcionalumas</w:t>
            </w:r>
          </w:p>
        </w:tc>
        <w:tc>
          <w:tcPr>
            <w:tcW w:w="11786" w:type="dxa"/>
            <w:shd w:val="clear" w:color="auto" w:fill="auto"/>
          </w:tcPr>
          <w:p w14:paraId="3E88D1C0" w14:textId="77777777" w:rsidR="00835B97" w:rsidRPr="00835B97" w:rsidRDefault="00835B97" w:rsidP="00835B97">
            <w:pPr>
              <w:tabs>
                <w:tab w:val="left" w:pos="1089"/>
              </w:tabs>
              <w:spacing w:before="40" w:after="40" w:line="276" w:lineRule="auto"/>
              <w:rPr>
                <w:rFonts w:ascii="Times New Roman" w:eastAsia="Times New Roman" w:hAnsi="Times New Roman" w:cs="Times New Roman"/>
                <w:b/>
                <w:sz w:val="24"/>
                <w:szCs w:val="24"/>
              </w:rPr>
            </w:pPr>
            <w:r w:rsidRPr="00835B97">
              <w:rPr>
                <w:rFonts w:ascii="Times New Roman" w:eastAsia="Times New Roman" w:hAnsi="Times New Roman" w:cs="Times New Roman"/>
                <w:sz w:val="24"/>
                <w:szCs w:val="24"/>
              </w:rPr>
              <w:t>Turi užtikrinti rezervinių kopijų indeksavimą bei paieškos funkciją visoje rezervinių kopijų bibliotekoje (einamoji kopija ir visos archyvinės).</w:t>
            </w:r>
          </w:p>
        </w:tc>
      </w:tr>
      <w:tr w:rsidR="00835B97" w:rsidRPr="00835B97" w14:paraId="23B01B0A" w14:textId="77777777" w:rsidTr="00835B97">
        <w:tc>
          <w:tcPr>
            <w:tcW w:w="742" w:type="dxa"/>
            <w:shd w:val="clear" w:color="auto" w:fill="auto"/>
          </w:tcPr>
          <w:p w14:paraId="2EA9F027" w14:textId="77777777" w:rsidR="00835B97" w:rsidRPr="00835B97" w:rsidRDefault="00835B97" w:rsidP="00835B97">
            <w:pPr>
              <w:numPr>
                <w:ilvl w:val="0"/>
                <w:numId w:val="2"/>
              </w:numPr>
              <w:tabs>
                <w:tab w:val="left" w:pos="1089"/>
              </w:tabs>
              <w:spacing w:before="40" w:after="40" w:line="276" w:lineRule="auto"/>
              <w:ind w:left="360" w:firstLine="0"/>
              <w:jc w:val="left"/>
              <w:rPr>
                <w:rFonts w:ascii="Times New Roman" w:eastAsia="Times New Roman" w:hAnsi="Times New Roman" w:cs="Times New Roman"/>
                <w:sz w:val="24"/>
                <w:szCs w:val="24"/>
              </w:rPr>
            </w:pPr>
          </w:p>
        </w:tc>
        <w:tc>
          <w:tcPr>
            <w:tcW w:w="1818" w:type="dxa"/>
            <w:shd w:val="clear" w:color="auto" w:fill="auto"/>
          </w:tcPr>
          <w:p w14:paraId="486EDEDC" w14:textId="77777777" w:rsidR="00835B97" w:rsidRPr="00835B97" w:rsidRDefault="00835B97" w:rsidP="00835B97">
            <w:pPr>
              <w:tabs>
                <w:tab w:val="left" w:pos="1089"/>
              </w:tabs>
              <w:spacing w:before="40" w:after="40" w:line="276" w:lineRule="auto"/>
              <w:rPr>
                <w:rFonts w:ascii="Times New Roman" w:eastAsia="Times New Roman" w:hAnsi="Times New Roman" w:cs="Times New Roman"/>
                <w:sz w:val="24"/>
                <w:szCs w:val="24"/>
              </w:rPr>
            </w:pPr>
            <w:r w:rsidRPr="00835B97">
              <w:rPr>
                <w:rFonts w:ascii="Times New Roman" w:eastAsia="Times New Roman" w:hAnsi="Times New Roman" w:cs="Times New Roman"/>
                <w:sz w:val="24"/>
                <w:szCs w:val="24"/>
              </w:rPr>
              <w:t>Atstatomumo užtikrinimas</w:t>
            </w:r>
          </w:p>
        </w:tc>
        <w:tc>
          <w:tcPr>
            <w:tcW w:w="11786" w:type="dxa"/>
            <w:shd w:val="clear" w:color="auto" w:fill="auto"/>
          </w:tcPr>
          <w:p w14:paraId="60687DD4" w14:textId="77777777" w:rsidR="00835B97" w:rsidRPr="00835B97" w:rsidRDefault="00835B97" w:rsidP="00835B97">
            <w:pPr>
              <w:tabs>
                <w:tab w:val="left" w:pos="1089"/>
              </w:tabs>
              <w:spacing w:before="40" w:after="40" w:line="276" w:lineRule="auto"/>
              <w:rPr>
                <w:rFonts w:ascii="Times New Roman" w:eastAsia="Times New Roman" w:hAnsi="Times New Roman" w:cs="Times New Roman"/>
                <w:sz w:val="24"/>
                <w:szCs w:val="24"/>
              </w:rPr>
            </w:pPr>
            <w:r w:rsidRPr="00835B97">
              <w:rPr>
                <w:rFonts w:ascii="Times New Roman" w:eastAsia="Times New Roman" w:hAnsi="Times New Roman" w:cs="Times New Roman"/>
                <w:sz w:val="24"/>
                <w:szCs w:val="24"/>
              </w:rPr>
              <w:t>Programinė įranga privalo automatiškai patikrinti kiekvieną rezervinę kopiją, garantuojant jos atstatomumą į tą pačią būseną kai buvo atlikta rezervinė kopija.</w:t>
            </w:r>
          </w:p>
        </w:tc>
      </w:tr>
      <w:tr w:rsidR="00835B97" w:rsidRPr="00835B97" w14:paraId="27EB33F5" w14:textId="77777777" w:rsidTr="00835B97">
        <w:tc>
          <w:tcPr>
            <w:tcW w:w="742" w:type="dxa"/>
            <w:shd w:val="clear" w:color="auto" w:fill="auto"/>
          </w:tcPr>
          <w:p w14:paraId="360A0D20" w14:textId="77777777" w:rsidR="00835B97" w:rsidRPr="00835B97" w:rsidRDefault="00835B97" w:rsidP="00835B97">
            <w:pPr>
              <w:numPr>
                <w:ilvl w:val="0"/>
                <w:numId w:val="2"/>
              </w:numPr>
              <w:tabs>
                <w:tab w:val="left" w:pos="1089"/>
              </w:tabs>
              <w:spacing w:before="40" w:after="40" w:line="276" w:lineRule="auto"/>
              <w:ind w:left="360" w:firstLine="0"/>
              <w:jc w:val="left"/>
              <w:rPr>
                <w:rFonts w:ascii="Times New Roman" w:eastAsia="Times New Roman" w:hAnsi="Times New Roman" w:cs="Times New Roman"/>
                <w:sz w:val="24"/>
                <w:szCs w:val="24"/>
              </w:rPr>
            </w:pPr>
          </w:p>
        </w:tc>
        <w:tc>
          <w:tcPr>
            <w:tcW w:w="1818" w:type="dxa"/>
            <w:shd w:val="clear" w:color="auto" w:fill="auto"/>
          </w:tcPr>
          <w:p w14:paraId="3AA64AD5" w14:textId="77777777" w:rsidR="00835B97" w:rsidRPr="00835B97" w:rsidRDefault="00835B97" w:rsidP="00835B97">
            <w:pPr>
              <w:tabs>
                <w:tab w:val="left" w:pos="1089"/>
              </w:tabs>
              <w:spacing w:before="40" w:after="40" w:line="276" w:lineRule="auto"/>
              <w:jc w:val="left"/>
              <w:rPr>
                <w:rFonts w:ascii="Times New Roman" w:eastAsia="Times New Roman" w:hAnsi="Times New Roman" w:cs="Times New Roman"/>
                <w:sz w:val="24"/>
                <w:szCs w:val="24"/>
              </w:rPr>
            </w:pPr>
            <w:r w:rsidRPr="00835B97">
              <w:rPr>
                <w:rFonts w:ascii="Times New Roman" w:eastAsia="Times New Roman" w:hAnsi="Times New Roman" w:cs="Times New Roman"/>
                <w:sz w:val="24"/>
                <w:szCs w:val="24"/>
              </w:rPr>
              <w:t>Rezervinių kopijavimo ir replikavimo programinės įrangos valdymo centras</w:t>
            </w:r>
          </w:p>
        </w:tc>
        <w:tc>
          <w:tcPr>
            <w:tcW w:w="11786" w:type="dxa"/>
            <w:shd w:val="clear" w:color="auto" w:fill="auto"/>
          </w:tcPr>
          <w:p w14:paraId="1891AECA" w14:textId="77777777" w:rsidR="00835B97" w:rsidRPr="00835B97" w:rsidRDefault="00835B97" w:rsidP="00835B97">
            <w:pPr>
              <w:tabs>
                <w:tab w:val="left" w:pos="1089"/>
              </w:tabs>
              <w:spacing w:before="40" w:after="40" w:line="276" w:lineRule="auto"/>
              <w:rPr>
                <w:rFonts w:ascii="Times New Roman" w:eastAsia="Times New Roman" w:hAnsi="Times New Roman" w:cs="Times New Roman"/>
                <w:sz w:val="24"/>
                <w:szCs w:val="24"/>
              </w:rPr>
            </w:pPr>
            <w:r w:rsidRPr="00835B97">
              <w:rPr>
                <w:rFonts w:ascii="Times New Roman" w:eastAsia="Times New Roman" w:hAnsi="Times New Roman" w:cs="Times New Roman"/>
                <w:sz w:val="24"/>
                <w:szCs w:val="24"/>
              </w:rPr>
              <w:t>Turi pilnai integruotis į turimą ir naudojamą Veeam Availability Suite centralizuotą valdymo konsolę visoms rezervinėms kopijoms ir replikoms konfigūruoti, administruoti ir valdyti.</w:t>
            </w:r>
          </w:p>
        </w:tc>
      </w:tr>
      <w:tr w:rsidR="00835B97" w:rsidRPr="00835B97" w14:paraId="4DDAD84C" w14:textId="77777777" w:rsidTr="00835B97">
        <w:tc>
          <w:tcPr>
            <w:tcW w:w="742" w:type="dxa"/>
            <w:shd w:val="clear" w:color="auto" w:fill="auto"/>
          </w:tcPr>
          <w:p w14:paraId="0534F6CE" w14:textId="77777777" w:rsidR="00835B97" w:rsidRPr="00835B97" w:rsidRDefault="00835B97" w:rsidP="00835B97">
            <w:pPr>
              <w:numPr>
                <w:ilvl w:val="0"/>
                <w:numId w:val="2"/>
              </w:numPr>
              <w:tabs>
                <w:tab w:val="left" w:pos="1089"/>
              </w:tabs>
              <w:spacing w:before="40" w:after="40" w:line="276" w:lineRule="auto"/>
              <w:ind w:left="360" w:firstLine="0"/>
              <w:jc w:val="left"/>
              <w:rPr>
                <w:rFonts w:ascii="Times New Roman" w:eastAsia="Times New Roman" w:hAnsi="Times New Roman" w:cs="Times New Roman"/>
                <w:sz w:val="24"/>
                <w:szCs w:val="24"/>
              </w:rPr>
            </w:pPr>
          </w:p>
        </w:tc>
        <w:tc>
          <w:tcPr>
            <w:tcW w:w="1818" w:type="dxa"/>
            <w:shd w:val="clear" w:color="auto" w:fill="auto"/>
          </w:tcPr>
          <w:p w14:paraId="5BECE42C" w14:textId="77777777" w:rsidR="00835B97" w:rsidRPr="00835B97" w:rsidRDefault="00835B97" w:rsidP="00835B97">
            <w:pPr>
              <w:tabs>
                <w:tab w:val="left" w:pos="1089"/>
              </w:tabs>
              <w:spacing w:before="40" w:after="40" w:line="276" w:lineRule="auto"/>
              <w:rPr>
                <w:rFonts w:ascii="Times New Roman" w:eastAsia="Times New Roman" w:hAnsi="Times New Roman" w:cs="Times New Roman"/>
                <w:sz w:val="24"/>
                <w:szCs w:val="24"/>
              </w:rPr>
            </w:pPr>
            <w:r w:rsidRPr="00835B97">
              <w:rPr>
                <w:rFonts w:ascii="Times New Roman" w:eastAsia="Times New Roman" w:hAnsi="Times New Roman" w:cs="Times New Roman"/>
                <w:sz w:val="24"/>
                <w:szCs w:val="24"/>
              </w:rPr>
              <w:t>Stebėjimo funkcionalumas („monitoring“)</w:t>
            </w:r>
          </w:p>
        </w:tc>
        <w:tc>
          <w:tcPr>
            <w:tcW w:w="11786" w:type="dxa"/>
            <w:shd w:val="clear" w:color="auto" w:fill="auto"/>
          </w:tcPr>
          <w:p w14:paraId="29FA53B0" w14:textId="77777777" w:rsidR="00835B97" w:rsidRPr="00835B97" w:rsidRDefault="00835B97" w:rsidP="00835B97">
            <w:pPr>
              <w:spacing w:after="0" w:line="276" w:lineRule="auto"/>
              <w:jc w:val="left"/>
              <w:rPr>
                <w:rFonts w:ascii="Times New Roman" w:eastAsia="Times New Roman" w:hAnsi="Times New Roman" w:cs="Times New Roman"/>
                <w:sz w:val="24"/>
                <w:szCs w:val="24"/>
              </w:rPr>
            </w:pPr>
            <w:r w:rsidRPr="00835B97">
              <w:rPr>
                <w:rFonts w:ascii="Times New Roman" w:eastAsia="Times New Roman" w:hAnsi="Times New Roman" w:cs="Times New Roman"/>
                <w:sz w:val="24"/>
                <w:szCs w:val="24"/>
              </w:rPr>
              <w:t>Programinė įranga privalo:</w:t>
            </w:r>
          </w:p>
          <w:p w14:paraId="03694967" w14:textId="77777777" w:rsidR="00835B97" w:rsidRPr="00835B97" w:rsidRDefault="00835B97" w:rsidP="00835B97">
            <w:pPr>
              <w:numPr>
                <w:ilvl w:val="0"/>
                <w:numId w:val="4"/>
              </w:numPr>
              <w:spacing w:after="0" w:line="276" w:lineRule="auto"/>
              <w:contextualSpacing/>
              <w:jc w:val="left"/>
              <w:rPr>
                <w:rFonts w:ascii="Times New Roman" w:eastAsia="Calibri" w:hAnsi="Times New Roman" w:cs="Times New Roman"/>
                <w:sz w:val="24"/>
                <w:szCs w:val="24"/>
              </w:rPr>
            </w:pPr>
            <w:r w:rsidRPr="00835B97">
              <w:rPr>
                <w:rFonts w:ascii="Times New Roman" w:eastAsia="Calibri" w:hAnsi="Times New Roman" w:cs="Times New Roman"/>
                <w:sz w:val="24"/>
                <w:szCs w:val="24"/>
              </w:rPr>
              <w:t>gebėti stebėti rezervinio kopijavimo ir virtualią infrastruktūrą;</w:t>
            </w:r>
          </w:p>
          <w:p w14:paraId="7931AC50" w14:textId="77777777" w:rsidR="00835B97" w:rsidRPr="00835B97" w:rsidRDefault="00835B97" w:rsidP="00835B97">
            <w:pPr>
              <w:numPr>
                <w:ilvl w:val="0"/>
                <w:numId w:val="4"/>
              </w:numPr>
              <w:spacing w:after="0" w:line="276" w:lineRule="auto"/>
              <w:contextualSpacing/>
              <w:jc w:val="left"/>
              <w:rPr>
                <w:rFonts w:ascii="Times New Roman" w:eastAsia="Calibri" w:hAnsi="Times New Roman" w:cs="Times New Roman"/>
                <w:sz w:val="24"/>
                <w:szCs w:val="24"/>
              </w:rPr>
            </w:pPr>
            <w:r w:rsidRPr="00835B97">
              <w:rPr>
                <w:rFonts w:ascii="Times New Roman" w:eastAsia="Calibri" w:hAnsi="Times New Roman" w:cs="Times New Roman"/>
                <w:sz w:val="24"/>
                <w:szCs w:val="24"/>
              </w:rPr>
              <w:t>automatiškai siųsti pranešimus apie pastebėtus sutrikimus ar nekorektišką darbą;</w:t>
            </w:r>
          </w:p>
          <w:p w14:paraId="01AC663D" w14:textId="77777777" w:rsidR="00835B97" w:rsidRPr="00835B97" w:rsidRDefault="00835B97" w:rsidP="00835B97">
            <w:pPr>
              <w:numPr>
                <w:ilvl w:val="0"/>
                <w:numId w:val="4"/>
              </w:numPr>
              <w:spacing w:after="0" w:line="276" w:lineRule="auto"/>
              <w:contextualSpacing/>
              <w:jc w:val="left"/>
              <w:rPr>
                <w:rFonts w:ascii="Times New Roman" w:eastAsia="Calibri" w:hAnsi="Times New Roman" w:cs="Times New Roman"/>
                <w:sz w:val="24"/>
                <w:szCs w:val="24"/>
              </w:rPr>
            </w:pPr>
            <w:r w:rsidRPr="00835B97">
              <w:rPr>
                <w:rFonts w:ascii="Times New Roman" w:eastAsia="Calibri" w:hAnsi="Times New Roman" w:cs="Times New Roman"/>
                <w:sz w:val="24"/>
                <w:szCs w:val="24"/>
              </w:rPr>
              <w:t>leisti sukurti ataskaitas atspindinčias rezervinio kopijavimo ir virtualios infrastruktūros būklę.</w:t>
            </w:r>
          </w:p>
        </w:tc>
      </w:tr>
      <w:tr w:rsidR="00835B97" w:rsidRPr="00835B97" w:rsidDel="00D96D04" w14:paraId="32E99A87" w14:textId="77777777" w:rsidTr="00835B97">
        <w:tc>
          <w:tcPr>
            <w:tcW w:w="742" w:type="dxa"/>
            <w:shd w:val="clear" w:color="auto" w:fill="auto"/>
          </w:tcPr>
          <w:p w14:paraId="5FA8C6E8" w14:textId="77777777" w:rsidR="00835B97" w:rsidRPr="00835B97" w:rsidRDefault="00835B97" w:rsidP="00835B97">
            <w:pPr>
              <w:numPr>
                <w:ilvl w:val="0"/>
                <w:numId w:val="2"/>
              </w:numPr>
              <w:tabs>
                <w:tab w:val="left" w:pos="1089"/>
              </w:tabs>
              <w:spacing w:before="40" w:after="40" w:line="276" w:lineRule="auto"/>
              <w:ind w:left="360" w:firstLine="0"/>
              <w:jc w:val="left"/>
              <w:rPr>
                <w:rFonts w:ascii="Times New Roman" w:eastAsia="Times New Roman" w:hAnsi="Times New Roman" w:cs="Times New Roman"/>
                <w:sz w:val="24"/>
                <w:szCs w:val="24"/>
              </w:rPr>
            </w:pPr>
          </w:p>
        </w:tc>
        <w:tc>
          <w:tcPr>
            <w:tcW w:w="1818" w:type="dxa"/>
            <w:shd w:val="clear" w:color="auto" w:fill="auto"/>
          </w:tcPr>
          <w:p w14:paraId="68E3A751" w14:textId="77777777" w:rsidR="00835B97" w:rsidRPr="00835B97" w:rsidDel="00D96D04" w:rsidRDefault="00835B97" w:rsidP="00835B97">
            <w:pPr>
              <w:tabs>
                <w:tab w:val="left" w:pos="1089"/>
              </w:tabs>
              <w:spacing w:before="40" w:after="40" w:line="276" w:lineRule="auto"/>
              <w:rPr>
                <w:rFonts w:ascii="Times New Roman" w:eastAsia="Times New Roman" w:hAnsi="Times New Roman" w:cs="Times New Roman"/>
                <w:sz w:val="24"/>
                <w:szCs w:val="24"/>
              </w:rPr>
            </w:pPr>
            <w:r w:rsidRPr="00835B97">
              <w:rPr>
                <w:rFonts w:ascii="Times New Roman" w:eastAsia="Times New Roman" w:hAnsi="Times New Roman" w:cs="Times New Roman"/>
                <w:sz w:val="24"/>
                <w:szCs w:val="24"/>
              </w:rPr>
              <w:t>Resursų planavimo funkcionalumas</w:t>
            </w:r>
          </w:p>
        </w:tc>
        <w:tc>
          <w:tcPr>
            <w:tcW w:w="11786" w:type="dxa"/>
            <w:shd w:val="clear" w:color="auto" w:fill="auto"/>
          </w:tcPr>
          <w:p w14:paraId="0096C3FE" w14:textId="77777777" w:rsidR="00835B97" w:rsidRPr="00835B97" w:rsidDel="00D96D04" w:rsidRDefault="00835B97" w:rsidP="00835B97">
            <w:pPr>
              <w:tabs>
                <w:tab w:val="left" w:pos="1089"/>
              </w:tabs>
              <w:spacing w:before="40" w:after="40" w:line="276" w:lineRule="auto"/>
              <w:rPr>
                <w:rFonts w:ascii="Times New Roman" w:eastAsia="Times New Roman" w:hAnsi="Times New Roman" w:cs="Times New Roman"/>
                <w:sz w:val="24"/>
                <w:szCs w:val="24"/>
              </w:rPr>
            </w:pPr>
            <w:r w:rsidRPr="00835B97">
              <w:rPr>
                <w:rFonts w:ascii="Times New Roman" w:eastAsia="Times New Roman" w:hAnsi="Times New Roman" w:cs="Times New Roman"/>
                <w:sz w:val="24"/>
                <w:szCs w:val="24"/>
              </w:rPr>
              <w:t>Programinė įranga, atsižvelgdama į sukauptus našumo stebėjimo duomenis, turi galėti pateikti resursų poreikio prognozę.</w:t>
            </w:r>
          </w:p>
        </w:tc>
      </w:tr>
      <w:tr w:rsidR="00835B97" w:rsidRPr="00835B97" w:rsidDel="00D96D04" w14:paraId="71A36D9F" w14:textId="77777777" w:rsidTr="00835B97">
        <w:tc>
          <w:tcPr>
            <w:tcW w:w="742" w:type="dxa"/>
            <w:shd w:val="clear" w:color="auto" w:fill="auto"/>
          </w:tcPr>
          <w:p w14:paraId="46D9E9D0" w14:textId="77777777" w:rsidR="00835B97" w:rsidRPr="00835B97" w:rsidRDefault="00835B97" w:rsidP="00835B97">
            <w:pPr>
              <w:numPr>
                <w:ilvl w:val="0"/>
                <w:numId w:val="2"/>
              </w:numPr>
              <w:tabs>
                <w:tab w:val="left" w:pos="1089"/>
              </w:tabs>
              <w:spacing w:before="40" w:after="40" w:line="276" w:lineRule="auto"/>
              <w:ind w:left="360" w:firstLine="0"/>
              <w:jc w:val="left"/>
              <w:rPr>
                <w:rFonts w:ascii="Times New Roman" w:eastAsia="Times New Roman" w:hAnsi="Times New Roman" w:cs="Times New Roman"/>
                <w:sz w:val="24"/>
                <w:szCs w:val="24"/>
              </w:rPr>
            </w:pPr>
          </w:p>
        </w:tc>
        <w:tc>
          <w:tcPr>
            <w:tcW w:w="1818" w:type="dxa"/>
            <w:shd w:val="clear" w:color="auto" w:fill="auto"/>
          </w:tcPr>
          <w:p w14:paraId="30EB9B74" w14:textId="77777777" w:rsidR="00835B97" w:rsidRPr="00835B97" w:rsidDel="00D96D04" w:rsidRDefault="00835B97" w:rsidP="00835B97">
            <w:pPr>
              <w:tabs>
                <w:tab w:val="left" w:pos="1089"/>
              </w:tabs>
              <w:spacing w:before="40" w:after="40" w:line="276" w:lineRule="auto"/>
              <w:rPr>
                <w:rFonts w:ascii="Times New Roman" w:eastAsia="Times New Roman" w:hAnsi="Times New Roman" w:cs="Times New Roman"/>
                <w:sz w:val="24"/>
                <w:szCs w:val="24"/>
              </w:rPr>
            </w:pPr>
            <w:r w:rsidRPr="00835B97">
              <w:rPr>
                <w:rFonts w:ascii="Times New Roman" w:eastAsia="Times New Roman" w:hAnsi="Times New Roman" w:cs="Times New Roman"/>
                <w:sz w:val="24"/>
                <w:szCs w:val="24"/>
              </w:rPr>
              <w:t>Siūlomų produktų aprašymai</w:t>
            </w:r>
          </w:p>
        </w:tc>
        <w:tc>
          <w:tcPr>
            <w:tcW w:w="11786" w:type="dxa"/>
            <w:shd w:val="clear" w:color="auto" w:fill="auto"/>
          </w:tcPr>
          <w:p w14:paraId="59B78CDA" w14:textId="77777777" w:rsidR="00835B97" w:rsidRPr="00835B97" w:rsidDel="00D96D04" w:rsidRDefault="00835B97" w:rsidP="00835B97">
            <w:pPr>
              <w:tabs>
                <w:tab w:val="left" w:pos="1089"/>
              </w:tabs>
              <w:spacing w:before="40" w:after="40" w:line="276" w:lineRule="auto"/>
              <w:rPr>
                <w:rFonts w:ascii="Times New Roman" w:eastAsia="Times New Roman" w:hAnsi="Times New Roman" w:cs="Times New Roman"/>
                <w:sz w:val="24"/>
                <w:szCs w:val="24"/>
              </w:rPr>
            </w:pPr>
            <w:r w:rsidRPr="00835B97">
              <w:rPr>
                <w:rFonts w:ascii="Times New Roman" w:eastAsia="Times New Roman" w:hAnsi="Times New Roman" w:cs="Times New Roman"/>
                <w:sz w:val="24"/>
                <w:szCs w:val="24"/>
              </w:rPr>
              <w:t>Kartu su pasiūlymu turi būti pateikiami siūlomų produktų gamintojo aprašymai (pdf formatu lietuvių arba anglų kalba), kuriuose būtų nurodytos siūlomų produktų charakteristikos.</w:t>
            </w:r>
          </w:p>
        </w:tc>
      </w:tr>
      <w:tr w:rsidR="00835B97" w:rsidRPr="00835B97" w:rsidDel="00D96D04" w14:paraId="567B4FD1" w14:textId="77777777" w:rsidTr="00835B97">
        <w:tc>
          <w:tcPr>
            <w:tcW w:w="742" w:type="dxa"/>
            <w:shd w:val="clear" w:color="auto" w:fill="auto"/>
          </w:tcPr>
          <w:p w14:paraId="25B15237" w14:textId="77777777" w:rsidR="00835B97" w:rsidRPr="00835B97" w:rsidRDefault="00835B97" w:rsidP="00835B97">
            <w:pPr>
              <w:numPr>
                <w:ilvl w:val="0"/>
                <w:numId w:val="2"/>
              </w:numPr>
              <w:tabs>
                <w:tab w:val="left" w:pos="1089"/>
              </w:tabs>
              <w:spacing w:before="40" w:after="40" w:line="276" w:lineRule="auto"/>
              <w:ind w:left="360" w:firstLine="0"/>
              <w:jc w:val="left"/>
              <w:rPr>
                <w:rFonts w:ascii="Times New Roman" w:eastAsia="Times New Roman" w:hAnsi="Times New Roman" w:cs="Times New Roman"/>
                <w:sz w:val="24"/>
                <w:szCs w:val="24"/>
              </w:rPr>
            </w:pPr>
          </w:p>
        </w:tc>
        <w:tc>
          <w:tcPr>
            <w:tcW w:w="1818" w:type="dxa"/>
            <w:shd w:val="clear" w:color="auto" w:fill="auto"/>
          </w:tcPr>
          <w:p w14:paraId="1EABDFB9" w14:textId="77777777" w:rsidR="00835B97" w:rsidRPr="00835B97" w:rsidDel="00D96D04" w:rsidRDefault="00835B97" w:rsidP="00835B97">
            <w:pPr>
              <w:tabs>
                <w:tab w:val="left" w:pos="1089"/>
              </w:tabs>
              <w:spacing w:before="40" w:after="40" w:line="276" w:lineRule="auto"/>
              <w:jc w:val="left"/>
              <w:rPr>
                <w:rFonts w:ascii="Times New Roman" w:eastAsia="Times New Roman" w:hAnsi="Times New Roman" w:cs="Times New Roman"/>
                <w:sz w:val="24"/>
                <w:szCs w:val="24"/>
              </w:rPr>
            </w:pPr>
            <w:r w:rsidRPr="00835B97">
              <w:rPr>
                <w:rFonts w:ascii="Times New Roman" w:eastAsia="Times New Roman" w:hAnsi="Times New Roman" w:cs="Times New Roman"/>
                <w:sz w:val="24"/>
                <w:szCs w:val="24"/>
              </w:rPr>
              <w:t>Komponentų sąrašas ir gamintojo kodai</w:t>
            </w:r>
          </w:p>
        </w:tc>
        <w:tc>
          <w:tcPr>
            <w:tcW w:w="11786" w:type="dxa"/>
            <w:shd w:val="clear" w:color="auto" w:fill="auto"/>
          </w:tcPr>
          <w:p w14:paraId="42B28A95" w14:textId="77777777" w:rsidR="00835B97" w:rsidRPr="00835B97" w:rsidDel="00D96D04" w:rsidRDefault="00835B97" w:rsidP="00835B97">
            <w:pPr>
              <w:tabs>
                <w:tab w:val="left" w:pos="1089"/>
              </w:tabs>
              <w:spacing w:before="40" w:after="40" w:line="276" w:lineRule="auto"/>
              <w:rPr>
                <w:rFonts w:ascii="Times New Roman" w:eastAsia="Times New Roman" w:hAnsi="Times New Roman" w:cs="Times New Roman"/>
                <w:sz w:val="24"/>
                <w:szCs w:val="24"/>
              </w:rPr>
            </w:pPr>
            <w:r w:rsidRPr="00835B97">
              <w:rPr>
                <w:rFonts w:ascii="Times New Roman" w:eastAsia="Times New Roman" w:hAnsi="Times New Roman" w:cs="Times New Roman"/>
                <w:sz w:val="24"/>
                <w:szCs w:val="24"/>
              </w:rPr>
              <w:t>Atskirame dokumente, kuris pateikiamas kartu su pasiūlymu turi būti pateikiamas pilnas komplektuojamų komponentų sąrašas su gamintojo kodais, kiekiais ir pavadinimais.</w:t>
            </w:r>
          </w:p>
        </w:tc>
      </w:tr>
      <w:tr w:rsidR="00835B97" w:rsidRPr="00835B97" w:rsidDel="00D96D04" w14:paraId="05EBB195" w14:textId="77777777" w:rsidTr="00835B97">
        <w:tc>
          <w:tcPr>
            <w:tcW w:w="742" w:type="dxa"/>
            <w:shd w:val="clear" w:color="auto" w:fill="auto"/>
          </w:tcPr>
          <w:p w14:paraId="53B1EF06" w14:textId="77777777" w:rsidR="00835B97" w:rsidRPr="00835B97" w:rsidRDefault="00835B97" w:rsidP="00835B97">
            <w:pPr>
              <w:numPr>
                <w:ilvl w:val="0"/>
                <w:numId w:val="2"/>
              </w:numPr>
              <w:tabs>
                <w:tab w:val="left" w:pos="1089"/>
              </w:tabs>
              <w:spacing w:before="40" w:after="40" w:line="276" w:lineRule="auto"/>
              <w:ind w:left="360" w:firstLine="0"/>
              <w:jc w:val="left"/>
              <w:rPr>
                <w:rFonts w:ascii="Times New Roman" w:eastAsia="Times New Roman" w:hAnsi="Times New Roman" w:cs="Times New Roman"/>
                <w:sz w:val="24"/>
                <w:szCs w:val="24"/>
              </w:rPr>
            </w:pPr>
          </w:p>
        </w:tc>
        <w:tc>
          <w:tcPr>
            <w:tcW w:w="1818" w:type="dxa"/>
            <w:shd w:val="clear" w:color="auto" w:fill="auto"/>
          </w:tcPr>
          <w:p w14:paraId="6C2B9ACF" w14:textId="77777777" w:rsidR="00835B97" w:rsidRPr="00835B97" w:rsidDel="00D96D04" w:rsidRDefault="00835B97" w:rsidP="00835B97">
            <w:pPr>
              <w:tabs>
                <w:tab w:val="left" w:pos="1089"/>
              </w:tabs>
              <w:spacing w:before="40" w:after="40" w:line="276" w:lineRule="auto"/>
              <w:jc w:val="left"/>
              <w:rPr>
                <w:rFonts w:ascii="Times New Roman" w:eastAsia="Times New Roman" w:hAnsi="Times New Roman" w:cs="Times New Roman"/>
                <w:sz w:val="24"/>
                <w:szCs w:val="24"/>
              </w:rPr>
            </w:pPr>
            <w:r w:rsidRPr="00835B97">
              <w:rPr>
                <w:rFonts w:ascii="Times New Roman" w:eastAsia="Times New Roman" w:hAnsi="Times New Roman" w:cs="Times New Roman"/>
                <w:sz w:val="24"/>
                <w:szCs w:val="24"/>
              </w:rPr>
              <w:t>Programinės įrangos diegimas  (diegimo kaina įskaitoma į pasiūlymo kainą)</w:t>
            </w:r>
          </w:p>
        </w:tc>
        <w:tc>
          <w:tcPr>
            <w:tcW w:w="11786" w:type="dxa"/>
            <w:shd w:val="clear" w:color="auto" w:fill="auto"/>
          </w:tcPr>
          <w:p w14:paraId="5FDEEB09" w14:textId="77777777" w:rsidR="00835B97" w:rsidRPr="00835B97" w:rsidDel="00D96D04" w:rsidRDefault="00835B97" w:rsidP="00835B97">
            <w:pPr>
              <w:tabs>
                <w:tab w:val="left" w:pos="1089"/>
              </w:tabs>
              <w:spacing w:before="40" w:after="40" w:line="276" w:lineRule="auto"/>
              <w:rPr>
                <w:rFonts w:ascii="Times New Roman" w:eastAsia="Times New Roman" w:hAnsi="Times New Roman" w:cs="Times New Roman"/>
                <w:sz w:val="24"/>
                <w:szCs w:val="24"/>
              </w:rPr>
            </w:pPr>
            <w:r w:rsidRPr="00835B97">
              <w:rPr>
                <w:rFonts w:ascii="Times New Roman" w:eastAsia="Times New Roman" w:hAnsi="Times New Roman" w:cs="Times New Roman"/>
                <w:sz w:val="24"/>
                <w:szCs w:val="24"/>
              </w:rPr>
              <w:t>Turi būti atliktas programinės įrangos pradinis įdiegimas ir sukonfigūravimas pagal su Perkančiąja organizacija suderintą planą.</w:t>
            </w:r>
          </w:p>
        </w:tc>
      </w:tr>
      <w:tr w:rsidR="00835B97" w:rsidRPr="00835B97" w:rsidDel="00D96D04" w14:paraId="4D224DDA" w14:textId="77777777" w:rsidTr="00835B97">
        <w:tc>
          <w:tcPr>
            <w:tcW w:w="742" w:type="dxa"/>
            <w:shd w:val="clear" w:color="auto" w:fill="auto"/>
          </w:tcPr>
          <w:p w14:paraId="3E085787" w14:textId="77777777" w:rsidR="00835B97" w:rsidRPr="00835B97" w:rsidRDefault="00835B97" w:rsidP="00835B97">
            <w:pPr>
              <w:numPr>
                <w:ilvl w:val="0"/>
                <w:numId w:val="2"/>
              </w:numPr>
              <w:tabs>
                <w:tab w:val="left" w:pos="1089"/>
              </w:tabs>
              <w:spacing w:before="40" w:after="40" w:line="276" w:lineRule="auto"/>
              <w:ind w:left="360" w:firstLine="0"/>
              <w:jc w:val="left"/>
              <w:rPr>
                <w:rFonts w:ascii="Times New Roman" w:eastAsia="Times New Roman" w:hAnsi="Times New Roman" w:cs="Times New Roman"/>
                <w:sz w:val="24"/>
                <w:szCs w:val="24"/>
              </w:rPr>
            </w:pPr>
          </w:p>
        </w:tc>
        <w:tc>
          <w:tcPr>
            <w:tcW w:w="1818" w:type="dxa"/>
            <w:shd w:val="clear" w:color="auto" w:fill="auto"/>
          </w:tcPr>
          <w:p w14:paraId="6112AAEF" w14:textId="77777777" w:rsidR="00835B97" w:rsidRPr="00835B97" w:rsidDel="00D96D04" w:rsidRDefault="00835B97" w:rsidP="00835B97">
            <w:pPr>
              <w:tabs>
                <w:tab w:val="left" w:pos="1089"/>
              </w:tabs>
              <w:spacing w:before="40" w:after="40" w:line="276" w:lineRule="auto"/>
              <w:rPr>
                <w:rFonts w:ascii="Times New Roman" w:eastAsia="Times New Roman" w:hAnsi="Times New Roman" w:cs="Times New Roman"/>
                <w:sz w:val="24"/>
                <w:szCs w:val="24"/>
              </w:rPr>
            </w:pPr>
            <w:r w:rsidRPr="00835B97">
              <w:rPr>
                <w:rFonts w:ascii="Times New Roman" w:eastAsia="Times New Roman" w:hAnsi="Times New Roman" w:cs="Times New Roman"/>
                <w:sz w:val="24"/>
                <w:szCs w:val="24"/>
              </w:rPr>
              <w:t xml:space="preserve">Programinės įrangos </w:t>
            </w:r>
            <w:r w:rsidRPr="00835B97">
              <w:rPr>
                <w:rFonts w:ascii="Times New Roman" w:eastAsia="Times New Roman" w:hAnsi="Times New Roman" w:cs="Times New Roman"/>
                <w:sz w:val="24"/>
                <w:szCs w:val="24"/>
              </w:rPr>
              <w:lastRenderedPageBreak/>
              <w:t>gamintojo suteikiamas programinės įrangos palaikymas</w:t>
            </w:r>
          </w:p>
        </w:tc>
        <w:tc>
          <w:tcPr>
            <w:tcW w:w="11786" w:type="dxa"/>
            <w:shd w:val="clear" w:color="auto" w:fill="auto"/>
          </w:tcPr>
          <w:p w14:paraId="24348B50" w14:textId="77777777" w:rsidR="00835B97" w:rsidRPr="00835B97" w:rsidRDefault="00835B97" w:rsidP="00835B97">
            <w:pPr>
              <w:spacing w:after="0" w:line="276" w:lineRule="auto"/>
              <w:jc w:val="left"/>
              <w:rPr>
                <w:rFonts w:ascii="Times New Roman" w:eastAsia="Times New Roman" w:hAnsi="Times New Roman" w:cs="Times New Roman"/>
                <w:kern w:val="24"/>
                <w:sz w:val="24"/>
                <w:szCs w:val="24"/>
              </w:rPr>
            </w:pPr>
            <w:r w:rsidRPr="00835B97">
              <w:rPr>
                <w:rFonts w:ascii="Times New Roman" w:eastAsia="Times New Roman" w:hAnsi="Times New Roman" w:cs="Times New Roman"/>
                <w:sz w:val="24"/>
                <w:szCs w:val="24"/>
                <w:lang w:eastAsia="lt-LT"/>
              </w:rPr>
              <w:lastRenderedPageBreak/>
              <w:t xml:space="preserve">Licencijos turi būti pateiktos su gamintojo techninio aptarnavimu ir atnaujinimu  laikotarpiui nuo licencijų aktyvavimo gamintojo internetiniame puslapyje dienos iki </w:t>
            </w:r>
            <w:r w:rsidRPr="00835B97">
              <w:rPr>
                <w:rFonts w:ascii="Times New Roman" w:hAnsi="Times New Roman" w:cs="Times New Roman"/>
                <w:sz w:val="24"/>
                <w:szCs w:val="24"/>
              </w:rPr>
              <w:t>2022 m. gruodžio 31 d</w:t>
            </w:r>
            <w:r w:rsidRPr="00835B97">
              <w:rPr>
                <w:rFonts w:ascii="Times New Roman" w:eastAsia="Times New Roman" w:hAnsi="Times New Roman" w:cs="Times New Roman"/>
                <w:sz w:val="24"/>
                <w:szCs w:val="24"/>
                <w:lang w:eastAsia="lt-LT"/>
              </w:rPr>
              <w:t>.</w:t>
            </w:r>
          </w:p>
          <w:p w14:paraId="0ED1328A" w14:textId="77777777" w:rsidR="00835B97" w:rsidRPr="00835B97" w:rsidRDefault="00835B97" w:rsidP="00835B97">
            <w:pPr>
              <w:spacing w:after="0" w:line="276" w:lineRule="auto"/>
              <w:jc w:val="left"/>
              <w:rPr>
                <w:rFonts w:ascii="Times New Roman" w:eastAsia="Times New Roman" w:hAnsi="Times New Roman" w:cs="Times New Roman"/>
                <w:kern w:val="24"/>
                <w:sz w:val="24"/>
                <w:szCs w:val="24"/>
              </w:rPr>
            </w:pPr>
            <w:r w:rsidRPr="00835B97">
              <w:rPr>
                <w:rFonts w:ascii="Times New Roman" w:eastAsia="Times New Roman" w:hAnsi="Times New Roman" w:cs="Times New Roman"/>
                <w:kern w:val="24"/>
                <w:sz w:val="24"/>
                <w:szCs w:val="24"/>
              </w:rPr>
              <w:lastRenderedPageBreak/>
              <w:t>Programinės įrangos gamintojo palaikymas turi būti teikiamas ne mažiau kaip 9 x5 darbo dienomis ir užtikrinti nemokamą naujų programinės įrangos versijų ir pataisymų pateikimą palaikymo galiojimo metu.</w:t>
            </w:r>
            <w:r w:rsidRPr="00835B97">
              <w:rPr>
                <w:rFonts w:ascii="Times New Roman" w:eastAsia="Times New Roman" w:hAnsi="Times New Roman" w:cs="Times New Roman"/>
                <w:sz w:val="24"/>
                <w:szCs w:val="24"/>
                <w:lang w:eastAsia="lt-LT"/>
              </w:rPr>
              <w:t xml:space="preserve"> Palaikymas teikiamas laikotarpiu nuo  licencijų aktyvavimo gamintojo internetiniame puslapyje dienos </w:t>
            </w:r>
            <w:r w:rsidRPr="00835B97">
              <w:rPr>
                <w:rFonts w:ascii="Times New Roman" w:hAnsi="Times New Roman" w:cs="Times New Roman"/>
                <w:sz w:val="24"/>
                <w:szCs w:val="24"/>
              </w:rPr>
              <w:t>iki 2022 m. gruodžio 31 d</w:t>
            </w:r>
            <w:r w:rsidRPr="00835B97">
              <w:rPr>
                <w:rFonts w:ascii="Times New Roman" w:eastAsia="Times New Roman" w:hAnsi="Times New Roman" w:cs="Times New Roman"/>
                <w:sz w:val="24"/>
                <w:szCs w:val="24"/>
                <w:lang w:eastAsia="lt-LT"/>
              </w:rPr>
              <w:t>.</w:t>
            </w:r>
          </w:p>
          <w:p w14:paraId="0A8C8DA3" w14:textId="77777777" w:rsidR="00835B97" w:rsidRPr="00835B97" w:rsidDel="00D96D04" w:rsidRDefault="00835B97" w:rsidP="00835B97">
            <w:pPr>
              <w:tabs>
                <w:tab w:val="left" w:pos="1089"/>
              </w:tabs>
              <w:spacing w:before="40" w:after="40" w:line="276" w:lineRule="auto"/>
              <w:rPr>
                <w:rFonts w:ascii="Times New Roman" w:eastAsia="Times New Roman" w:hAnsi="Times New Roman" w:cs="Times New Roman"/>
                <w:sz w:val="24"/>
                <w:szCs w:val="24"/>
              </w:rPr>
            </w:pPr>
            <w:r w:rsidRPr="00835B97">
              <w:rPr>
                <w:rFonts w:ascii="Times New Roman" w:eastAsia="Times New Roman" w:hAnsi="Times New Roman" w:cs="Times New Roman"/>
                <w:kern w:val="24"/>
                <w:sz w:val="24"/>
                <w:szCs w:val="24"/>
              </w:rPr>
              <w:t>Turi būti galimybė dėl techninių problemų tiesiogiai kreiptis į programinės įrangos gamintoją, registruojant problemą telefonu arba gamintojo internetinėje svetainėje.</w:t>
            </w:r>
          </w:p>
        </w:tc>
      </w:tr>
    </w:tbl>
    <w:p w14:paraId="6F7CB3F9" w14:textId="77777777" w:rsidR="00BC49F8" w:rsidRPr="00CE0C2B" w:rsidRDefault="00BC49F8" w:rsidP="00835B97">
      <w:pPr>
        <w:spacing w:line="276" w:lineRule="auto"/>
        <w:rPr>
          <w:rFonts w:ascii="Times New Roman" w:hAnsi="Times New Roman" w:cs="Times New Roman"/>
          <w:sz w:val="24"/>
          <w:szCs w:val="24"/>
        </w:rPr>
      </w:pPr>
    </w:p>
    <w:tbl>
      <w:tblPr>
        <w:tblpPr w:leftFromText="180" w:rightFromText="180" w:vertAnchor="text" w:horzAnchor="margin" w:tblpY="18"/>
        <w:tblW w:w="8923" w:type="dxa"/>
        <w:tblLook w:val="0000" w:firstRow="0" w:lastRow="0" w:firstColumn="0" w:lastColumn="0" w:noHBand="0" w:noVBand="0"/>
      </w:tblPr>
      <w:tblGrid>
        <w:gridCol w:w="4590"/>
        <w:gridCol w:w="4333"/>
      </w:tblGrid>
      <w:tr w:rsidR="00D964D6" w:rsidRPr="00D964D6" w14:paraId="45E64DC0" w14:textId="77777777" w:rsidTr="009022EB">
        <w:trPr>
          <w:trHeight w:val="2432"/>
        </w:trPr>
        <w:tc>
          <w:tcPr>
            <w:tcW w:w="4590" w:type="dxa"/>
            <w:shd w:val="clear" w:color="auto" w:fill="auto"/>
          </w:tcPr>
          <w:p w14:paraId="1E114F92" w14:textId="77777777" w:rsidR="00D964D6" w:rsidRPr="00D964D6" w:rsidRDefault="00D964D6" w:rsidP="00835B97">
            <w:pPr>
              <w:spacing w:after="0" w:line="276" w:lineRule="auto"/>
              <w:ind w:left="420" w:hanging="420"/>
              <w:contextualSpacing/>
              <w:rPr>
                <w:rFonts w:ascii="Times New Roman" w:hAnsi="Times New Roman" w:cs="Times New Roman"/>
                <w:b/>
                <w:sz w:val="24"/>
                <w:szCs w:val="24"/>
                <w:lang w:bidi="en-US"/>
              </w:rPr>
            </w:pPr>
            <w:r>
              <w:rPr>
                <w:rFonts w:ascii="Times New Roman" w:hAnsi="Times New Roman" w:cs="Times New Roman"/>
                <w:b/>
                <w:sz w:val="24"/>
                <w:szCs w:val="24"/>
                <w:lang w:bidi="en-US"/>
              </w:rPr>
              <w:t>PIRKĖJAS</w:t>
            </w:r>
          </w:p>
          <w:p w14:paraId="19264E1C" w14:textId="77777777" w:rsidR="00D964D6" w:rsidRPr="00D964D6" w:rsidRDefault="00D964D6" w:rsidP="00835B97">
            <w:pPr>
              <w:spacing w:after="0" w:line="276" w:lineRule="auto"/>
              <w:ind w:left="420" w:hanging="420"/>
              <w:contextualSpacing/>
              <w:rPr>
                <w:rFonts w:ascii="Times New Roman" w:hAnsi="Times New Roman" w:cs="Times New Roman"/>
                <w:b/>
                <w:sz w:val="24"/>
                <w:szCs w:val="24"/>
                <w:lang w:bidi="en-US"/>
              </w:rPr>
            </w:pPr>
          </w:p>
          <w:p w14:paraId="6D8F593E" w14:textId="77777777" w:rsidR="00D964D6" w:rsidRPr="00D964D6" w:rsidRDefault="00D964D6" w:rsidP="00835B97">
            <w:pPr>
              <w:spacing w:after="0" w:line="276" w:lineRule="auto"/>
              <w:rPr>
                <w:rFonts w:ascii="Times New Roman" w:hAnsi="Times New Roman" w:cs="Times New Roman"/>
                <w:b/>
                <w:bCs/>
                <w:sz w:val="24"/>
                <w:szCs w:val="24"/>
              </w:rPr>
            </w:pPr>
            <w:r w:rsidRPr="00D964D6">
              <w:rPr>
                <w:rFonts w:ascii="Times New Roman" w:hAnsi="Times New Roman" w:cs="Times New Roman"/>
                <w:b/>
                <w:bCs/>
                <w:sz w:val="24"/>
                <w:szCs w:val="24"/>
              </w:rPr>
              <w:t xml:space="preserve">Informatikos ir ryšių departamentas </w:t>
            </w:r>
          </w:p>
          <w:p w14:paraId="2F5F8DE5" w14:textId="77777777" w:rsidR="00D964D6" w:rsidRPr="00D964D6" w:rsidRDefault="00D964D6" w:rsidP="00835B97">
            <w:pPr>
              <w:spacing w:after="0" w:line="276" w:lineRule="auto"/>
              <w:rPr>
                <w:rFonts w:ascii="Times New Roman" w:hAnsi="Times New Roman" w:cs="Times New Roman"/>
                <w:b/>
                <w:bCs/>
                <w:sz w:val="24"/>
                <w:szCs w:val="24"/>
              </w:rPr>
            </w:pPr>
            <w:r w:rsidRPr="00D964D6">
              <w:rPr>
                <w:rFonts w:ascii="Times New Roman" w:hAnsi="Times New Roman" w:cs="Times New Roman"/>
                <w:b/>
                <w:bCs/>
                <w:sz w:val="24"/>
                <w:szCs w:val="24"/>
              </w:rPr>
              <w:t>prie Lietuvos Respublikos</w:t>
            </w:r>
          </w:p>
          <w:p w14:paraId="7FD35318" w14:textId="77777777" w:rsidR="00D964D6" w:rsidRPr="00D964D6" w:rsidRDefault="00D964D6" w:rsidP="00835B97">
            <w:pPr>
              <w:spacing w:after="0" w:line="276" w:lineRule="auto"/>
              <w:rPr>
                <w:rFonts w:ascii="Times New Roman" w:hAnsi="Times New Roman" w:cs="Times New Roman"/>
                <w:b/>
                <w:bCs/>
                <w:sz w:val="24"/>
                <w:szCs w:val="24"/>
              </w:rPr>
            </w:pPr>
            <w:r w:rsidRPr="00D964D6">
              <w:rPr>
                <w:rFonts w:ascii="Times New Roman" w:hAnsi="Times New Roman" w:cs="Times New Roman"/>
                <w:b/>
                <w:bCs/>
                <w:sz w:val="24"/>
                <w:szCs w:val="24"/>
              </w:rPr>
              <w:t>vidaus reikalų ministerijos</w:t>
            </w:r>
            <w:r w:rsidRPr="00D964D6">
              <w:rPr>
                <w:rFonts w:ascii="Times New Roman" w:hAnsi="Times New Roman" w:cs="Times New Roman"/>
                <w:b/>
                <w:sz w:val="24"/>
                <w:szCs w:val="24"/>
              </w:rPr>
              <w:t xml:space="preserve"> </w:t>
            </w:r>
          </w:p>
          <w:p w14:paraId="6927B5CE" w14:textId="77777777" w:rsidR="00D964D6" w:rsidRPr="00D964D6" w:rsidRDefault="00D964D6" w:rsidP="00835B97">
            <w:pPr>
              <w:spacing w:after="0" w:line="276" w:lineRule="auto"/>
              <w:contextualSpacing/>
              <w:rPr>
                <w:rFonts w:ascii="Times New Roman" w:hAnsi="Times New Roman" w:cs="Times New Roman"/>
                <w:sz w:val="24"/>
                <w:szCs w:val="24"/>
                <w:lang w:bidi="en-US"/>
              </w:rPr>
            </w:pPr>
          </w:p>
          <w:p w14:paraId="337683DE" w14:textId="77777777" w:rsidR="004F0DB4" w:rsidRDefault="00D964D6" w:rsidP="00835B97">
            <w:pPr>
              <w:spacing w:after="0" w:line="276" w:lineRule="auto"/>
              <w:ind w:firstLine="34"/>
              <w:contextualSpacing/>
              <w:rPr>
                <w:rFonts w:ascii="Times New Roman" w:hAnsi="Times New Roman" w:cs="Times New Roman"/>
                <w:sz w:val="24"/>
                <w:szCs w:val="24"/>
                <w:lang w:bidi="en-US"/>
              </w:rPr>
            </w:pPr>
            <w:r w:rsidRPr="00D964D6">
              <w:rPr>
                <w:rFonts w:ascii="Times New Roman" w:hAnsi="Times New Roman" w:cs="Times New Roman"/>
                <w:sz w:val="24"/>
                <w:szCs w:val="24"/>
                <w:lang w:bidi="en-US"/>
              </w:rPr>
              <w:t>Direktoriaus pavaduotoja</w:t>
            </w:r>
            <w:r w:rsidR="004F0DB4">
              <w:rPr>
                <w:rFonts w:ascii="Times New Roman" w:hAnsi="Times New Roman" w:cs="Times New Roman"/>
                <w:sz w:val="24"/>
                <w:szCs w:val="24"/>
                <w:lang w:bidi="en-US"/>
              </w:rPr>
              <w:t xml:space="preserve">, </w:t>
            </w:r>
          </w:p>
          <w:p w14:paraId="742A0FD5" w14:textId="7D588558" w:rsidR="00D964D6" w:rsidRPr="00D964D6" w:rsidRDefault="004F0DB4" w:rsidP="00835B97">
            <w:pPr>
              <w:spacing w:after="0" w:line="276" w:lineRule="auto"/>
              <w:ind w:firstLine="34"/>
              <w:contextualSpacing/>
              <w:rPr>
                <w:rFonts w:ascii="Times New Roman" w:hAnsi="Times New Roman" w:cs="Times New Roman"/>
                <w:sz w:val="24"/>
                <w:szCs w:val="24"/>
                <w:lang w:bidi="en-US"/>
              </w:rPr>
            </w:pPr>
            <w:r>
              <w:rPr>
                <w:rFonts w:ascii="Times New Roman" w:hAnsi="Times New Roman" w:cs="Times New Roman"/>
                <w:sz w:val="24"/>
                <w:szCs w:val="24"/>
                <w:lang w:bidi="en-US"/>
              </w:rPr>
              <w:t>atliekanti direktoriaus funkcijas</w:t>
            </w:r>
          </w:p>
          <w:p w14:paraId="0CAE5F8F" w14:textId="77777777" w:rsidR="00D964D6" w:rsidRPr="00D964D6" w:rsidRDefault="00D964D6" w:rsidP="00835B97">
            <w:pPr>
              <w:spacing w:after="0" w:line="276" w:lineRule="auto"/>
              <w:ind w:left="420" w:hanging="386"/>
              <w:contextualSpacing/>
              <w:rPr>
                <w:rFonts w:ascii="Times New Roman" w:hAnsi="Times New Roman" w:cs="Times New Roman"/>
                <w:sz w:val="24"/>
                <w:szCs w:val="24"/>
                <w:lang w:bidi="en-US"/>
              </w:rPr>
            </w:pPr>
            <w:r w:rsidRPr="00D964D6">
              <w:rPr>
                <w:rFonts w:ascii="Times New Roman" w:hAnsi="Times New Roman" w:cs="Times New Roman"/>
                <w:sz w:val="24"/>
                <w:szCs w:val="24"/>
                <w:lang w:bidi="en-US"/>
              </w:rPr>
              <w:t xml:space="preserve">                                          A. V.</w:t>
            </w:r>
          </w:p>
          <w:p w14:paraId="1894AA1F" w14:textId="77777777" w:rsidR="00D964D6" w:rsidRPr="00D964D6" w:rsidRDefault="00D964D6" w:rsidP="00835B97">
            <w:pPr>
              <w:spacing w:after="0" w:line="276" w:lineRule="auto"/>
              <w:ind w:left="420" w:hanging="386"/>
              <w:contextualSpacing/>
              <w:rPr>
                <w:rFonts w:ascii="Times New Roman" w:hAnsi="Times New Roman" w:cs="Times New Roman"/>
                <w:b/>
                <w:sz w:val="24"/>
                <w:szCs w:val="24"/>
                <w:lang w:bidi="en-US"/>
              </w:rPr>
            </w:pPr>
            <w:r>
              <w:rPr>
                <w:rFonts w:ascii="Times New Roman" w:hAnsi="Times New Roman" w:cs="Times New Roman"/>
                <w:sz w:val="24"/>
                <w:szCs w:val="24"/>
                <w:lang w:bidi="en-US"/>
              </w:rPr>
              <w:t>Alvyda Pupkovienė</w:t>
            </w:r>
          </w:p>
        </w:tc>
        <w:tc>
          <w:tcPr>
            <w:tcW w:w="4333" w:type="dxa"/>
            <w:shd w:val="clear" w:color="auto" w:fill="auto"/>
          </w:tcPr>
          <w:p w14:paraId="1A4F3171" w14:textId="77777777" w:rsidR="00D964D6" w:rsidRPr="00D964D6" w:rsidRDefault="00D964D6" w:rsidP="00835B97">
            <w:pPr>
              <w:spacing w:after="0" w:line="276" w:lineRule="auto"/>
              <w:ind w:left="420" w:hanging="420"/>
              <w:contextualSpacing/>
              <w:rPr>
                <w:rFonts w:ascii="Times New Roman" w:hAnsi="Times New Roman" w:cs="Times New Roman"/>
                <w:b/>
                <w:sz w:val="24"/>
                <w:szCs w:val="24"/>
                <w:lang w:bidi="en-US"/>
              </w:rPr>
            </w:pPr>
            <w:r>
              <w:rPr>
                <w:rFonts w:ascii="Times New Roman" w:hAnsi="Times New Roman" w:cs="Times New Roman"/>
                <w:b/>
                <w:sz w:val="24"/>
                <w:szCs w:val="24"/>
                <w:lang w:bidi="en-US"/>
              </w:rPr>
              <w:t>PARDAVĖJAS</w:t>
            </w:r>
          </w:p>
          <w:p w14:paraId="6B288F25" w14:textId="77777777" w:rsidR="00D964D6" w:rsidRPr="00D964D6" w:rsidRDefault="00D964D6" w:rsidP="00835B97">
            <w:pPr>
              <w:spacing w:after="0" w:line="276" w:lineRule="auto"/>
              <w:ind w:left="420" w:hanging="420"/>
              <w:contextualSpacing/>
              <w:rPr>
                <w:rFonts w:ascii="Times New Roman" w:hAnsi="Times New Roman" w:cs="Times New Roman"/>
                <w:b/>
                <w:sz w:val="24"/>
                <w:szCs w:val="24"/>
                <w:lang w:bidi="en-US"/>
              </w:rPr>
            </w:pPr>
          </w:p>
          <w:p w14:paraId="73B656BA" w14:textId="5659856B" w:rsidR="00D964D6" w:rsidRPr="00D964D6" w:rsidRDefault="00DB04C6" w:rsidP="00835B97">
            <w:pPr>
              <w:spacing w:after="0" w:line="276" w:lineRule="auto"/>
              <w:contextualSpacing/>
              <w:rPr>
                <w:rFonts w:ascii="Times New Roman" w:hAnsi="Times New Roman" w:cs="Times New Roman"/>
                <w:b/>
                <w:bCs/>
                <w:sz w:val="24"/>
                <w:szCs w:val="24"/>
              </w:rPr>
            </w:pPr>
            <w:r w:rsidRPr="00DB04C6">
              <w:rPr>
                <w:rFonts w:ascii="Times New Roman" w:hAnsi="Times New Roman" w:cs="Times New Roman"/>
                <w:b/>
                <w:bCs/>
                <w:sz w:val="24"/>
                <w:szCs w:val="24"/>
              </w:rPr>
              <w:t xml:space="preserve">Ūkio subjektų grupė, sudaryta iš </w:t>
            </w:r>
            <w:r w:rsidRPr="00DB04C6">
              <w:rPr>
                <w:rFonts w:ascii="Times New Roman" w:hAnsi="Times New Roman" w:cs="Times New Roman"/>
                <w:b/>
                <w:bCs/>
                <w:iCs/>
                <w:sz w:val="24"/>
                <w:szCs w:val="24"/>
              </w:rPr>
              <w:t xml:space="preserve">UAB „Blue Bridge MSP“ </w:t>
            </w:r>
            <w:r w:rsidRPr="00DB04C6">
              <w:rPr>
                <w:rFonts w:ascii="Times New Roman" w:hAnsi="Times New Roman" w:cs="Times New Roman"/>
                <w:b/>
                <w:bCs/>
                <w:sz w:val="24"/>
                <w:szCs w:val="24"/>
              </w:rPr>
              <w:t xml:space="preserve"> ir</w:t>
            </w:r>
            <w:r w:rsidRPr="00DB04C6">
              <w:rPr>
                <w:rFonts w:ascii="Times New Roman" w:hAnsi="Times New Roman" w:cs="Times New Roman"/>
                <w:b/>
                <w:bCs/>
                <w:iCs/>
                <w:sz w:val="24"/>
                <w:szCs w:val="24"/>
              </w:rPr>
              <w:t xml:space="preserve"> UAB „Blue Bridge“, </w:t>
            </w:r>
            <w:r w:rsidRPr="00DB04C6">
              <w:rPr>
                <w:rFonts w:ascii="Times New Roman" w:hAnsi="Times New Roman" w:cs="Times New Roman"/>
                <w:b/>
                <w:bCs/>
                <w:sz w:val="24"/>
                <w:szCs w:val="24"/>
              </w:rPr>
              <w:t xml:space="preserve">atstovaujama atsakingojo partnerio </w:t>
            </w:r>
            <w:r w:rsidRPr="00DB04C6">
              <w:rPr>
                <w:rFonts w:ascii="Times New Roman" w:hAnsi="Times New Roman" w:cs="Times New Roman"/>
                <w:b/>
                <w:bCs/>
                <w:iCs/>
                <w:sz w:val="24"/>
                <w:szCs w:val="24"/>
              </w:rPr>
              <w:t>UAB „Blue Bridge MSP“</w:t>
            </w:r>
          </w:p>
          <w:p w14:paraId="352A16CE" w14:textId="77777777" w:rsidR="00D964D6" w:rsidRPr="00D964D6" w:rsidRDefault="00D964D6" w:rsidP="00835B97">
            <w:pPr>
              <w:spacing w:after="0" w:line="276" w:lineRule="auto"/>
              <w:contextualSpacing/>
              <w:rPr>
                <w:rFonts w:ascii="Times New Roman" w:hAnsi="Times New Roman" w:cs="Times New Roman"/>
                <w:b/>
                <w:bCs/>
                <w:sz w:val="24"/>
                <w:szCs w:val="24"/>
              </w:rPr>
            </w:pPr>
          </w:p>
          <w:p w14:paraId="310C633F" w14:textId="2DFA7B4A" w:rsidR="00D964D6" w:rsidRPr="00D964D6" w:rsidRDefault="00AE01E8" w:rsidP="00835B97">
            <w:pPr>
              <w:spacing w:after="0" w:line="276" w:lineRule="auto"/>
              <w:contextualSpacing/>
              <w:rPr>
                <w:rFonts w:ascii="Times New Roman" w:hAnsi="Times New Roman" w:cs="Times New Roman"/>
                <w:bCs/>
                <w:sz w:val="24"/>
                <w:szCs w:val="24"/>
                <w:lang w:bidi="en-US"/>
              </w:rPr>
            </w:pPr>
            <w:r w:rsidRPr="00AE01E8">
              <w:rPr>
                <w:rFonts w:ascii="Times New Roman" w:hAnsi="Times New Roman" w:cs="Times New Roman"/>
                <w:bCs/>
                <w:sz w:val="24"/>
                <w:szCs w:val="24"/>
                <w:lang w:bidi="en-US"/>
              </w:rPr>
              <w:t>D</w:t>
            </w:r>
            <w:r w:rsidR="00D964D6" w:rsidRPr="00AE01E8">
              <w:rPr>
                <w:rFonts w:ascii="Times New Roman" w:hAnsi="Times New Roman" w:cs="Times New Roman"/>
                <w:bCs/>
                <w:sz w:val="24"/>
                <w:szCs w:val="24"/>
                <w:lang w:bidi="en-US"/>
              </w:rPr>
              <w:t>irektorius</w:t>
            </w:r>
          </w:p>
          <w:p w14:paraId="43483164" w14:textId="77777777" w:rsidR="00D964D6" w:rsidRPr="00D964D6" w:rsidRDefault="00D964D6" w:rsidP="00835B97">
            <w:pPr>
              <w:spacing w:after="0" w:line="276" w:lineRule="auto"/>
              <w:contextualSpacing/>
              <w:rPr>
                <w:rFonts w:ascii="Times New Roman" w:hAnsi="Times New Roman" w:cs="Times New Roman"/>
                <w:bCs/>
                <w:sz w:val="24"/>
                <w:szCs w:val="24"/>
                <w:lang w:bidi="en-US"/>
              </w:rPr>
            </w:pPr>
            <w:r>
              <w:rPr>
                <w:rFonts w:ascii="Times New Roman" w:hAnsi="Times New Roman" w:cs="Times New Roman"/>
                <w:bCs/>
                <w:sz w:val="24"/>
                <w:szCs w:val="24"/>
                <w:lang w:bidi="en-US"/>
              </w:rPr>
              <w:t xml:space="preserve">          </w:t>
            </w:r>
            <w:r w:rsidRPr="00D964D6">
              <w:rPr>
                <w:rFonts w:ascii="Times New Roman" w:hAnsi="Times New Roman" w:cs="Times New Roman"/>
                <w:bCs/>
                <w:sz w:val="24"/>
                <w:szCs w:val="24"/>
                <w:lang w:bidi="en-US"/>
              </w:rPr>
              <w:t xml:space="preserve">                                          A. V.</w:t>
            </w:r>
          </w:p>
          <w:p w14:paraId="439BAA6F" w14:textId="77777777" w:rsidR="00D964D6" w:rsidRPr="00AE01E8" w:rsidRDefault="00AE01E8" w:rsidP="00835B97">
            <w:pPr>
              <w:spacing w:after="0" w:line="276" w:lineRule="auto"/>
              <w:ind w:left="83" w:hanging="83"/>
              <w:contextualSpacing/>
              <w:rPr>
                <w:rFonts w:ascii="Times New Roman" w:hAnsi="Times New Roman" w:cs="Times New Roman"/>
                <w:sz w:val="24"/>
                <w:szCs w:val="24"/>
                <w:lang w:bidi="en-US"/>
              </w:rPr>
            </w:pPr>
            <w:r w:rsidRPr="00AE01E8">
              <w:rPr>
                <w:rFonts w:ascii="Times New Roman" w:hAnsi="Times New Roman" w:cs="Times New Roman"/>
                <w:color w:val="000000"/>
                <w:sz w:val="24"/>
                <w:szCs w:val="24"/>
              </w:rPr>
              <w:t>Dalius Butkus</w:t>
            </w:r>
          </w:p>
        </w:tc>
      </w:tr>
    </w:tbl>
    <w:p w14:paraId="2F418808" w14:textId="77777777" w:rsidR="00CE0C2B" w:rsidRPr="00CE0C2B" w:rsidRDefault="00CE0C2B" w:rsidP="00835B97">
      <w:pPr>
        <w:spacing w:line="276" w:lineRule="auto"/>
        <w:rPr>
          <w:rFonts w:ascii="Times New Roman" w:hAnsi="Times New Roman" w:cs="Times New Roman"/>
          <w:sz w:val="24"/>
          <w:szCs w:val="24"/>
        </w:rPr>
      </w:pPr>
    </w:p>
    <w:sectPr w:rsidR="00CE0C2B" w:rsidRPr="00CE0C2B" w:rsidSect="00CE0C2B">
      <w:headerReference w:type="default" r:id="rId8"/>
      <w:pgSz w:w="16838" w:h="11906" w:orient="landscape"/>
      <w:pgMar w:top="1134" w:right="1135"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0AF40" w14:textId="77777777" w:rsidR="00AA29EB" w:rsidRDefault="00AA29EB" w:rsidP="00CE0C2B">
      <w:pPr>
        <w:spacing w:after="0" w:line="240" w:lineRule="auto"/>
      </w:pPr>
      <w:r>
        <w:separator/>
      </w:r>
    </w:p>
  </w:endnote>
  <w:endnote w:type="continuationSeparator" w:id="0">
    <w:p w14:paraId="7118CFD2" w14:textId="77777777" w:rsidR="00AA29EB" w:rsidRDefault="00AA29EB" w:rsidP="00CE0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299A5" w14:textId="77777777" w:rsidR="00AA29EB" w:rsidRDefault="00AA29EB" w:rsidP="00CE0C2B">
      <w:pPr>
        <w:spacing w:after="0" w:line="240" w:lineRule="auto"/>
      </w:pPr>
      <w:r>
        <w:separator/>
      </w:r>
    </w:p>
  </w:footnote>
  <w:footnote w:type="continuationSeparator" w:id="0">
    <w:p w14:paraId="4775B8FB" w14:textId="77777777" w:rsidR="00AA29EB" w:rsidRDefault="00AA29EB" w:rsidP="00CE0C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8788702"/>
      <w:docPartObj>
        <w:docPartGallery w:val="Page Numbers (Top of Page)"/>
        <w:docPartUnique/>
      </w:docPartObj>
    </w:sdtPr>
    <w:sdtEndPr/>
    <w:sdtContent>
      <w:p w14:paraId="0995C331" w14:textId="77777777" w:rsidR="00CE0C2B" w:rsidRDefault="00CE0C2B">
        <w:pPr>
          <w:pStyle w:val="Antrats"/>
          <w:jc w:val="center"/>
        </w:pPr>
        <w:r>
          <w:fldChar w:fldCharType="begin"/>
        </w:r>
        <w:r>
          <w:instrText>PAGE   \* MERGEFORMAT</w:instrText>
        </w:r>
        <w:r>
          <w:fldChar w:fldCharType="separate"/>
        </w:r>
        <w:r w:rsidR="00835B97">
          <w:rPr>
            <w:noProof/>
          </w:rPr>
          <w:t>3</w:t>
        </w:r>
        <w:r>
          <w:fldChar w:fldCharType="end"/>
        </w:r>
      </w:p>
    </w:sdtContent>
  </w:sdt>
  <w:p w14:paraId="516DE31A" w14:textId="77777777" w:rsidR="00CE0C2B" w:rsidRDefault="00CE0C2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0B1D"/>
    <w:multiLevelType w:val="hybridMultilevel"/>
    <w:tmpl w:val="7DC45B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497F33"/>
    <w:multiLevelType w:val="hybridMultilevel"/>
    <w:tmpl w:val="2B00F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131DC"/>
    <w:multiLevelType w:val="hybridMultilevel"/>
    <w:tmpl w:val="DE50296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38CC2516"/>
    <w:multiLevelType w:val="multilevel"/>
    <w:tmpl w:val="0C8225A0"/>
    <w:lvl w:ilvl="0">
      <w:start w:val="1"/>
      <w:numFmt w:val="decimal"/>
      <w:lvlText w:val="%1."/>
      <w:lvlJc w:val="left"/>
      <w:pPr>
        <w:ind w:left="720" w:hanging="360"/>
      </w:pPr>
      <w:rPr>
        <w:rFonts w:hint="default"/>
        <w:b w:val="0"/>
        <w:color w:val="auto"/>
      </w:rPr>
    </w:lvl>
    <w:lvl w:ilvl="1">
      <w:start w:val="1"/>
      <w:numFmt w:val="decimal"/>
      <w:isLgl/>
      <w:lvlText w:val="%1.%2."/>
      <w:lvlJc w:val="left"/>
      <w:pPr>
        <w:ind w:left="107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6434E9C"/>
    <w:multiLevelType w:val="hybridMultilevel"/>
    <w:tmpl w:val="084EF52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4C7575DD"/>
    <w:multiLevelType w:val="hybridMultilevel"/>
    <w:tmpl w:val="C42A3766"/>
    <w:lvl w:ilvl="0" w:tplc="3AD67D9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6" w15:restartNumberingAfterBreak="0">
    <w:nsid w:val="534A7809"/>
    <w:multiLevelType w:val="hybridMultilevel"/>
    <w:tmpl w:val="2F9E43F0"/>
    <w:lvl w:ilvl="0" w:tplc="F378CFF2">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C741864"/>
    <w:multiLevelType w:val="hybridMultilevel"/>
    <w:tmpl w:val="2B00F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6C6A3C"/>
    <w:multiLevelType w:val="hybridMultilevel"/>
    <w:tmpl w:val="2EF61A86"/>
    <w:lvl w:ilvl="0" w:tplc="73EED03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0E3D43"/>
    <w:multiLevelType w:val="hybridMultilevel"/>
    <w:tmpl w:val="C42A3766"/>
    <w:lvl w:ilvl="0" w:tplc="3AD67D9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0" w15:restartNumberingAfterBreak="0">
    <w:nsid w:val="71E776DC"/>
    <w:multiLevelType w:val="hybridMultilevel"/>
    <w:tmpl w:val="05CCA278"/>
    <w:lvl w:ilvl="0" w:tplc="3AD67D9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num w:numId="1">
    <w:abstractNumId w:val="8"/>
  </w:num>
  <w:num w:numId="2">
    <w:abstractNumId w:val="0"/>
  </w:num>
  <w:num w:numId="3">
    <w:abstractNumId w:val="3"/>
  </w:num>
  <w:num w:numId="4">
    <w:abstractNumId w:val="2"/>
  </w:num>
  <w:num w:numId="5">
    <w:abstractNumId w:val="6"/>
  </w:num>
  <w:num w:numId="6">
    <w:abstractNumId w:val="4"/>
  </w:num>
  <w:num w:numId="7">
    <w:abstractNumId w:val="1"/>
  </w:num>
  <w:num w:numId="8">
    <w:abstractNumId w:val="9"/>
  </w:num>
  <w:num w:numId="9">
    <w:abstractNumId w:val="1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C2B"/>
    <w:rsid w:val="000A7BAB"/>
    <w:rsid w:val="000D5B3C"/>
    <w:rsid w:val="00163E34"/>
    <w:rsid w:val="002732B5"/>
    <w:rsid w:val="002B495D"/>
    <w:rsid w:val="003D380C"/>
    <w:rsid w:val="00443DE3"/>
    <w:rsid w:val="004B7E05"/>
    <w:rsid w:val="004F0DB4"/>
    <w:rsid w:val="006A0551"/>
    <w:rsid w:val="00835B97"/>
    <w:rsid w:val="00913D89"/>
    <w:rsid w:val="00997B72"/>
    <w:rsid w:val="009D21D4"/>
    <w:rsid w:val="00AA29EB"/>
    <w:rsid w:val="00AB4D58"/>
    <w:rsid w:val="00AE01E8"/>
    <w:rsid w:val="00BC49F8"/>
    <w:rsid w:val="00CE0C2B"/>
    <w:rsid w:val="00D613F4"/>
    <w:rsid w:val="00D964D6"/>
    <w:rsid w:val="00DB04C6"/>
    <w:rsid w:val="00DE6F52"/>
    <w:rsid w:val="00F24C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DDCB9"/>
  <w15:chartTrackingRefBased/>
  <w15:docId w15:val="{1C4E8E50-3E32-4B57-ABC5-B58925230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0C2B"/>
    <w:pPr>
      <w:spacing w:line="252" w:lineRule="auto"/>
      <w:jc w:val="both"/>
    </w:pPr>
    <w:rPr>
      <w:rFonts w:eastAsiaTheme="minorEastAsi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CE0C2B"/>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basedOn w:val="Numatytasispastraiposriftas"/>
    <w:unhideWhenUsed/>
    <w:rsid w:val="00CE0C2B"/>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CE0C2B"/>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E0C2B"/>
    <w:rPr>
      <w:rFonts w:eastAsiaTheme="minorEastAsia"/>
    </w:rPr>
  </w:style>
  <w:style w:type="paragraph" w:styleId="Antrats">
    <w:name w:val="header"/>
    <w:basedOn w:val="prastasis"/>
    <w:link w:val="AntratsDiagrama"/>
    <w:uiPriority w:val="99"/>
    <w:unhideWhenUsed/>
    <w:rsid w:val="00CE0C2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E0C2B"/>
    <w:rPr>
      <w:rFonts w:eastAsiaTheme="minorEastAsia"/>
    </w:rPr>
  </w:style>
  <w:style w:type="paragraph" w:styleId="Porat">
    <w:name w:val="footer"/>
    <w:basedOn w:val="prastasis"/>
    <w:link w:val="PoratDiagrama"/>
    <w:uiPriority w:val="99"/>
    <w:unhideWhenUsed/>
    <w:rsid w:val="00CE0C2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E0C2B"/>
    <w:rPr>
      <w:rFonts w:eastAsiaTheme="minorEastAsia"/>
    </w:rPr>
  </w:style>
  <w:style w:type="character" w:styleId="Komentaronuoroda">
    <w:name w:val="annotation reference"/>
    <w:basedOn w:val="Numatytasispastraiposriftas"/>
    <w:uiPriority w:val="99"/>
    <w:semiHidden/>
    <w:unhideWhenUsed/>
    <w:rsid w:val="003D380C"/>
    <w:rPr>
      <w:sz w:val="16"/>
      <w:szCs w:val="16"/>
    </w:rPr>
  </w:style>
  <w:style w:type="paragraph" w:styleId="Komentarotekstas">
    <w:name w:val="annotation text"/>
    <w:basedOn w:val="prastasis"/>
    <w:link w:val="KomentarotekstasDiagrama"/>
    <w:uiPriority w:val="99"/>
    <w:semiHidden/>
    <w:unhideWhenUsed/>
    <w:rsid w:val="003D38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D380C"/>
    <w:rPr>
      <w:rFonts w:eastAsiaTheme="minorEastAsia"/>
      <w:sz w:val="20"/>
      <w:szCs w:val="20"/>
    </w:rPr>
  </w:style>
  <w:style w:type="paragraph" w:styleId="Komentarotema">
    <w:name w:val="annotation subject"/>
    <w:basedOn w:val="Komentarotekstas"/>
    <w:next w:val="Komentarotekstas"/>
    <w:link w:val="KomentarotemaDiagrama"/>
    <w:uiPriority w:val="99"/>
    <w:semiHidden/>
    <w:unhideWhenUsed/>
    <w:rsid w:val="003D380C"/>
    <w:rPr>
      <w:b/>
      <w:bCs/>
    </w:rPr>
  </w:style>
  <w:style w:type="character" w:customStyle="1" w:styleId="KomentarotemaDiagrama">
    <w:name w:val="Komentaro tema Diagrama"/>
    <w:basedOn w:val="KomentarotekstasDiagrama"/>
    <w:link w:val="Komentarotema"/>
    <w:uiPriority w:val="99"/>
    <w:semiHidden/>
    <w:rsid w:val="003D380C"/>
    <w:rPr>
      <w:rFonts w:eastAsiaTheme="minorEastAsia"/>
      <w:b/>
      <w:bCs/>
      <w:sz w:val="20"/>
      <w:szCs w:val="20"/>
    </w:rPr>
  </w:style>
  <w:style w:type="paragraph" w:styleId="Debesliotekstas">
    <w:name w:val="Balloon Text"/>
    <w:basedOn w:val="prastasis"/>
    <w:link w:val="DebesliotekstasDiagrama"/>
    <w:uiPriority w:val="99"/>
    <w:semiHidden/>
    <w:unhideWhenUsed/>
    <w:rsid w:val="003D38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380C"/>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5445</Words>
  <Characters>3104</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8532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Plentaitė</dc:creator>
  <cp:keywords/>
  <dc:description/>
  <cp:lastModifiedBy>Miglė Plentaitė</cp:lastModifiedBy>
  <cp:revision>4</cp:revision>
  <dcterms:created xsi:type="dcterms:W3CDTF">2020-10-06T13:32:00Z</dcterms:created>
  <dcterms:modified xsi:type="dcterms:W3CDTF">2020-10-07T06:50:00Z</dcterms:modified>
</cp:coreProperties>
</file>