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C355" w14:textId="2541BE8A" w:rsidR="002705F2" w:rsidRDefault="002705F2" w:rsidP="00A024A8">
      <w:pPr>
        <w:jc w:val="right"/>
      </w:pPr>
      <w:r>
        <w:t xml:space="preserve">Pirkimo dokumentų A dalies </w:t>
      </w:r>
    </w:p>
    <w:p w14:paraId="47B37FD7" w14:textId="49606A38" w:rsidR="00E36711" w:rsidRDefault="00A024A8" w:rsidP="00A024A8">
      <w:pPr>
        <w:jc w:val="right"/>
      </w:pPr>
      <w:r>
        <w:t xml:space="preserve">1 priedas </w:t>
      </w:r>
    </w:p>
    <w:p w14:paraId="6C8710F4" w14:textId="77777777" w:rsidR="00A024A8" w:rsidRDefault="00A024A8" w:rsidP="00A024A8">
      <w:pPr>
        <w:jc w:val="right"/>
      </w:pPr>
    </w:p>
    <w:p w14:paraId="31ACAFC6" w14:textId="41C4034F" w:rsidR="00A024A8" w:rsidRPr="001101F6" w:rsidRDefault="00A024A8" w:rsidP="00A024A8">
      <w:pPr>
        <w:jc w:val="center"/>
        <w:rPr>
          <w:b/>
          <w:bCs/>
        </w:rPr>
      </w:pPr>
      <w:r w:rsidRPr="001101F6">
        <w:rPr>
          <w:b/>
          <w:bCs/>
        </w:rPr>
        <w:t>TECHNINĖ SPECIFIKACIJA</w:t>
      </w:r>
    </w:p>
    <w:p w14:paraId="3093AA9F" w14:textId="77777777" w:rsidR="00A024A8" w:rsidRDefault="00A024A8" w:rsidP="00A024A8">
      <w:pPr>
        <w:jc w:val="center"/>
      </w:pPr>
    </w:p>
    <w:p w14:paraId="6438DF6A" w14:textId="6FFE019B" w:rsidR="00A024A8" w:rsidRDefault="00A024A8" w:rsidP="00A024A8">
      <w:pPr>
        <w:jc w:val="both"/>
      </w:pPr>
      <w:r>
        <w:t>Valstybinis Šiaulių dramos teatras (toliau – perkančioji organizacija) šiuo pirkimu siekia sudaryti terminuotą 12 (dvylikos) mėnesių sutartį, su galimybe ją pratęsti dar 2 kartus iki bus išplatintas Perkančiosios organizacijos</w:t>
      </w:r>
      <w:r w:rsidR="00DD14CD">
        <w:t xml:space="preserve"> numatomas išplatinti bilietų ir kvietimų kiekis.</w:t>
      </w:r>
    </w:p>
    <w:p w14:paraId="758A4010" w14:textId="77777777" w:rsidR="00583181" w:rsidRDefault="00583181" w:rsidP="00A024A8">
      <w:pPr>
        <w:jc w:val="both"/>
      </w:pPr>
    </w:p>
    <w:p w14:paraId="4FDE43EE" w14:textId="2B02E108" w:rsidR="00583181" w:rsidRDefault="00583181" w:rsidP="00A024A8">
      <w:pPr>
        <w:jc w:val="both"/>
      </w:pPr>
      <w:r>
        <w:t>Perkančioji organizacija per 12 (dvylik</w:t>
      </w:r>
      <w:r w:rsidR="002705F2">
        <w:t>os</w:t>
      </w:r>
      <w:r>
        <w:t>) mėnesių sutarties laikotarpį preliminariai planuoja bilietų platintojui atiduoti platinti 20000 (dvidešimt tūkstančių) mokamų ir 2000 (du tūkstančius) nemokamų bilietų. Preliminarus grąžinamų bilietų kiekis gali siekti 1500 (vien</w:t>
      </w:r>
      <w:r w:rsidR="002705F2">
        <w:t>ą</w:t>
      </w:r>
      <w:r>
        <w:t xml:space="preserve"> tūkstant</w:t>
      </w:r>
      <w:r w:rsidR="002705F2">
        <w:t>į</w:t>
      </w:r>
      <w:r>
        <w:t xml:space="preserve"> penki</w:t>
      </w:r>
      <w:r w:rsidR="002705F2">
        <w:t>s</w:t>
      </w:r>
      <w:r>
        <w:t xml:space="preserve"> šimt</w:t>
      </w:r>
      <w:r w:rsidR="002705F2">
        <w:t>us</w:t>
      </w:r>
      <w:r>
        <w:t>) vnt.</w:t>
      </w:r>
    </w:p>
    <w:p w14:paraId="452AA31D" w14:textId="77777777" w:rsidR="00D7551A" w:rsidRDefault="00D7551A" w:rsidP="00A024A8">
      <w:pPr>
        <w:jc w:val="both"/>
      </w:pPr>
    </w:p>
    <w:p w14:paraId="63581C64" w14:textId="287FB0DF" w:rsidR="00D7551A" w:rsidRDefault="00D7551A" w:rsidP="00A024A8">
      <w:pPr>
        <w:jc w:val="both"/>
        <w:rPr>
          <w:sz w:val="23"/>
          <w:szCs w:val="23"/>
          <w:lang w:eastAsia="lt-LT"/>
        </w:rPr>
      </w:pPr>
      <w:r>
        <w:rPr>
          <w:sz w:val="23"/>
          <w:szCs w:val="23"/>
          <w:lang w:eastAsia="lt-LT"/>
        </w:rPr>
        <w:t>Perkančioji organizacija paaiškina, jog šie paslaugų kiekiai yra tik prognozuojami ir faktinės paslaugų apimtys priklausys nuo faktinės Perkančiosios organizacijos renginių paklausos, todėl p</w:t>
      </w:r>
      <w:r w:rsidR="00C104A9">
        <w:rPr>
          <w:sz w:val="23"/>
          <w:szCs w:val="23"/>
          <w:lang w:eastAsia="lt-LT"/>
        </w:rPr>
        <w:t>latinamų</w:t>
      </w:r>
      <w:r>
        <w:rPr>
          <w:sz w:val="23"/>
          <w:szCs w:val="23"/>
          <w:lang w:eastAsia="lt-LT"/>
        </w:rPr>
        <w:t xml:space="preserve"> bilietų ir kvietimų bei kitų paslaugų kiekiai gali būti didesni arba mažesni.</w:t>
      </w:r>
    </w:p>
    <w:p w14:paraId="0A9CB95C" w14:textId="77777777" w:rsidR="00557B7A" w:rsidRDefault="00557B7A" w:rsidP="00A024A8">
      <w:pPr>
        <w:jc w:val="both"/>
        <w:rPr>
          <w:sz w:val="23"/>
          <w:szCs w:val="23"/>
          <w:lang w:eastAsia="lt-LT"/>
        </w:rPr>
      </w:pPr>
    </w:p>
    <w:p w14:paraId="708870DD" w14:textId="42855B86" w:rsidR="00557B7A" w:rsidRDefault="00557B7A" w:rsidP="00A024A8">
      <w:pPr>
        <w:jc w:val="both"/>
        <w:rPr>
          <w:sz w:val="23"/>
          <w:szCs w:val="23"/>
          <w:lang w:eastAsia="lt-LT"/>
        </w:rPr>
      </w:pPr>
      <w:r>
        <w:rPr>
          <w:sz w:val="23"/>
          <w:szCs w:val="23"/>
          <w:lang w:eastAsia="lt-LT"/>
        </w:rPr>
        <w:t xml:space="preserve">Pirkimo objektas - </w:t>
      </w:r>
      <w:r w:rsidRPr="00AA0BD3">
        <w:rPr>
          <w:sz w:val="23"/>
          <w:szCs w:val="23"/>
        </w:rPr>
        <w:t>biliet</w:t>
      </w:r>
      <w:r>
        <w:rPr>
          <w:sz w:val="23"/>
          <w:szCs w:val="23"/>
        </w:rPr>
        <w:t>ų</w:t>
      </w:r>
      <w:r w:rsidRPr="00AA0BD3">
        <w:rPr>
          <w:sz w:val="23"/>
          <w:szCs w:val="23"/>
        </w:rPr>
        <w:t xml:space="preserve"> į </w:t>
      </w:r>
      <w:r>
        <w:rPr>
          <w:sz w:val="23"/>
          <w:szCs w:val="23"/>
        </w:rPr>
        <w:t>Perkančiosios organizacijos</w:t>
      </w:r>
      <w:r w:rsidRPr="00AA0BD3">
        <w:rPr>
          <w:sz w:val="23"/>
          <w:szCs w:val="23"/>
        </w:rPr>
        <w:t xml:space="preserve"> renginius Paslaugų tiekėjo tinklapyje, Paslaugų tiekėjo ir partnerių kasose, ir kituose Paslaugų t</w:t>
      </w:r>
      <w:r w:rsidR="00104B03">
        <w:rPr>
          <w:sz w:val="23"/>
          <w:szCs w:val="23"/>
        </w:rPr>
        <w:t>ie</w:t>
      </w:r>
      <w:r w:rsidRPr="00AA0BD3">
        <w:rPr>
          <w:sz w:val="23"/>
          <w:szCs w:val="23"/>
        </w:rPr>
        <w:t>kėjo valdomuose pardavimų kanaluose</w:t>
      </w:r>
      <w:r>
        <w:rPr>
          <w:sz w:val="23"/>
          <w:szCs w:val="23"/>
        </w:rPr>
        <w:t xml:space="preserve"> platinimas.</w:t>
      </w:r>
    </w:p>
    <w:p w14:paraId="2D53830C" w14:textId="77777777" w:rsidR="00D7551A" w:rsidRDefault="00D7551A" w:rsidP="00A024A8">
      <w:pPr>
        <w:jc w:val="both"/>
        <w:rPr>
          <w:sz w:val="23"/>
          <w:szCs w:val="23"/>
          <w:lang w:eastAsia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072"/>
      </w:tblGrid>
      <w:tr w:rsidR="00D7551A" w:rsidRPr="00211C94" w14:paraId="7254EF82" w14:textId="77777777" w:rsidTr="004508D3">
        <w:tc>
          <w:tcPr>
            <w:tcW w:w="817" w:type="dxa"/>
            <w:shd w:val="clear" w:color="auto" w:fill="auto"/>
          </w:tcPr>
          <w:p w14:paraId="1764B2C5" w14:textId="77777777" w:rsidR="00D7551A" w:rsidRPr="00211C94" w:rsidRDefault="00D7551A" w:rsidP="004508D3">
            <w:pPr>
              <w:tabs>
                <w:tab w:val="left" w:pos="426"/>
              </w:tabs>
              <w:jc w:val="both"/>
              <w:outlineLvl w:val="1"/>
              <w:rPr>
                <w:rFonts w:eastAsia="Times New Roman"/>
                <w:b/>
                <w:bCs/>
                <w:szCs w:val="24"/>
              </w:rPr>
            </w:pPr>
            <w:r w:rsidRPr="00211C94">
              <w:rPr>
                <w:rFonts w:eastAsia="Times New Roman"/>
                <w:b/>
                <w:bCs/>
                <w:szCs w:val="24"/>
              </w:rPr>
              <w:t>Eil. Nr.</w:t>
            </w:r>
          </w:p>
        </w:tc>
        <w:tc>
          <w:tcPr>
            <w:tcW w:w="9072" w:type="dxa"/>
            <w:shd w:val="clear" w:color="auto" w:fill="auto"/>
          </w:tcPr>
          <w:p w14:paraId="0D2AE30C" w14:textId="695CF38C" w:rsidR="00D7551A" w:rsidRPr="00211C94" w:rsidRDefault="00D7551A" w:rsidP="004508D3">
            <w:pPr>
              <w:jc w:val="center"/>
              <w:rPr>
                <w:b/>
                <w:bCs/>
                <w:szCs w:val="24"/>
              </w:rPr>
            </w:pPr>
            <w:r w:rsidRPr="00211C94">
              <w:rPr>
                <w:b/>
                <w:bCs/>
                <w:szCs w:val="24"/>
              </w:rPr>
              <w:t>Reikalavimai</w:t>
            </w:r>
            <w:r>
              <w:rPr>
                <w:b/>
                <w:bCs/>
                <w:szCs w:val="24"/>
              </w:rPr>
              <w:t xml:space="preserve"> bilietų platinimui</w:t>
            </w:r>
          </w:p>
          <w:p w14:paraId="4154EEAB" w14:textId="77777777" w:rsidR="00D7551A" w:rsidRPr="00211C94" w:rsidRDefault="00D7551A" w:rsidP="004508D3">
            <w:pPr>
              <w:ind w:left="44"/>
              <w:jc w:val="center"/>
              <w:rPr>
                <w:b/>
                <w:bCs/>
                <w:snapToGrid w:val="0"/>
                <w:color w:val="000000"/>
                <w:szCs w:val="24"/>
              </w:rPr>
            </w:pPr>
          </w:p>
        </w:tc>
      </w:tr>
      <w:tr w:rsidR="00D7551A" w:rsidRPr="003D4F6F" w14:paraId="29463A31" w14:textId="77777777" w:rsidTr="004508D3">
        <w:tc>
          <w:tcPr>
            <w:tcW w:w="817" w:type="dxa"/>
            <w:shd w:val="clear" w:color="auto" w:fill="auto"/>
          </w:tcPr>
          <w:p w14:paraId="3F7542D1" w14:textId="77777777" w:rsidR="00D7551A" w:rsidRPr="003D4F6F" w:rsidRDefault="00D7551A" w:rsidP="004508D3">
            <w:pPr>
              <w:tabs>
                <w:tab w:val="left" w:pos="426"/>
              </w:tabs>
              <w:jc w:val="both"/>
              <w:outlineLvl w:val="1"/>
              <w:rPr>
                <w:rFonts w:eastAsia="Times New Roman"/>
                <w:szCs w:val="24"/>
              </w:rPr>
            </w:pPr>
            <w:r w:rsidRPr="003D4F6F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14:paraId="109117AE" w14:textId="5CA70301" w:rsidR="00D7551A" w:rsidRPr="003D4F6F" w:rsidRDefault="00D7551A" w:rsidP="004508D3">
            <w:pPr>
              <w:ind w:left="44"/>
              <w:jc w:val="both"/>
              <w:rPr>
                <w:snapToGrid w:val="0"/>
                <w:color w:val="000000"/>
                <w:szCs w:val="24"/>
              </w:rPr>
            </w:pPr>
            <w:r w:rsidRPr="003D4F6F">
              <w:rPr>
                <w:rFonts w:eastAsia="Times New Roman"/>
                <w:szCs w:val="24"/>
              </w:rPr>
              <w:t xml:space="preserve">Vadovaujantis LR Valstybės ir savivaldybių turto valdymo, naudojimo ir disponavimo juo įstatymo 15 straipsnio 2 dalies 3 </w:t>
            </w:r>
            <w:r w:rsidRPr="00C61EFB">
              <w:rPr>
                <w:rFonts w:eastAsia="Times New Roman"/>
                <w:szCs w:val="24"/>
              </w:rPr>
              <w:t>punktu Paslaugų tiekėjas privalės išsinuomoti</w:t>
            </w:r>
            <w:r w:rsidRPr="003D4F6F">
              <w:rPr>
                <w:rFonts w:eastAsia="Times New Roman"/>
                <w:szCs w:val="24"/>
              </w:rPr>
              <w:t xml:space="preserve"> Perkančiosios organizacijos patikėjimo teise valdomo valstybės turto dalį, t. y. kasos patalpą</w:t>
            </w:r>
            <w:r w:rsidR="00F009FA">
              <w:rPr>
                <w:rFonts w:eastAsia="Times New Roman"/>
                <w:szCs w:val="24"/>
              </w:rPr>
              <w:t>, Tilžės g. 155, Šiauliai</w:t>
            </w:r>
            <w:r w:rsidRPr="003D4F6F">
              <w:rPr>
                <w:rFonts w:eastAsia="Times New Roman"/>
                <w:szCs w:val="24"/>
              </w:rPr>
              <w:t xml:space="preserve">. </w:t>
            </w:r>
            <w:r w:rsidRPr="003D4F6F">
              <w:rPr>
                <w:rFonts w:eastAsia="Times New Roman"/>
                <w:noProof/>
                <w:szCs w:val="24"/>
              </w:rPr>
              <w:t xml:space="preserve">Kasos </w:t>
            </w:r>
            <w:r w:rsidRPr="00231F66">
              <w:rPr>
                <w:rFonts w:eastAsia="Times New Roman"/>
                <w:noProof/>
                <w:szCs w:val="24"/>
              </w:rPr>
              <w:t>patalpos plotas 7,85 m</w:t>
            </w:r>
            <w:r w:rsidRPr="00231F66">
              <w:rPr>
                <w:rFonts w:eastAsia="Times New Roman"/>
                <w:noProof/>
                <w:szCs w:val="24"/>
                <w:vertAlign w:val="superscript"/>
              </w:rPr>
              <w:t>2</w:t>
            </w:r>
            <w:r w:rsidRPr="00231F66">
              <w:rPr>
                <w:rFonts w:eastAsia="Times New Roman"/>
                <w:noProof/>
                <w:szCs w:val="24"/>
              </w:rPr>
              <w:t xml:space="preserve">. Minimali valstybės turto (kasos) nuomos kaina </w:t>
            </w:r>
            <w:r w:rsidRPr="007E4DE0">
              <w:rPr>
                <w:rFonts w:eastAsia="Times New Roman"/>
                <w:noProof/>
                <w:szCs w:val="24"/>
              </w:rPr>
              <w:t>100,00 (vienas šimtas eurų) Eur</w:t>
            </w:r>
            <w:r w:rsidRPr="00231F66">
              <w:rPr>
                <w:rFonts w:eastAsia="Times New Roman"/>
                <w:noProof/>
                <w:szCs w:val="24"/>
              </w:rPr>
              <w:t xml:space="preserve"> per mėnesį. </w:t>
            </w:r>
            <w:r w:rsidR="00C61EFB">
              <w:rPr>
                <w:rFonts w:eastAsia="Times New Roman"/>
                <w:noProof/>
                <w:szCs w:val="24"/>
              </w:rPr>
              <w:t>Paslaugų tiekėjas (</w:t>
            </w:r>
            <w:r w:rsidR="00C61EFB">
              <w:rPr>
                <w:rFonts w:eastAsia="Times New Roman"/>
                <w:i/>
                <w:iCs/>
                <w:noProof/>
                <w:szCs w:val="24"/>
              </w:rPr>
              <w:t>N</w:t>
            </w:r>
            <w:r w:rsidRPr="00C61EFB">
              <w:rPr>
                <w:rFonts w:eastAsia="Times New Roman"/>
                <w:i/>
                <w:iCs/>
                <w:noProof/>
                <w:szCs w:val="24"/>
              </w:rPr>
              <w:t>uomininkas</w:t>
            </w:r>
            <w:r w:rsidR="00C61EFB">
              <w:rPr>
                <w:rFonts w:eastAsia="Times New Roman"/>
                <w:noProof/>
                <w:szCs w:val="24"/>
              </w:rPr>
              <w:t>)</w:t>
            </w:r>
            <w:r w:rsidRPr="00231F66">
              <w:rPr>
                <w:rFonts w:eastAsia="Times New Roman"/>
                <w:noProof/>
                <w:szCs w:val="24"/>
              </w:rPr>
              <w:t xml:space="preserve"> mokės komunalinius mokesčius už nuomojamą plotą, pagal</w:t>
            </w:r>
            <w:r w:rsidRPr="003D4F6F">
              <w:rPr>
                <w:rFonts w:eastAsia="Times New Roman"/>
                <w:noProof/>
                <w:szCs w:val="24"/>
              </w:rPr>
              <w:t xml:space="preserve"> </w:t>
            </w:r>
            <w:r w:rsidR="00C61EFB">
              <w:rPr>
                <w:rFonts w:eastAsia="Times New Roman"/>
                <w:noProof/>
                <w:szCs w:val="24"/>
              </w:rPr>
              <w:t>Perkančiosios organizacijos (</w:t>
            </w:r>
            <w:r w:rsidRPr="00C61EFB">
              <w:rPr>
                <w:rFonts w:eastAsia="Times New Roman"/>
                <w:i/>
                <w:iCs/>
                <w:noProof/>
                <w:szCs w:val="24"/>
              </w:rPr>
              <w:t>Nuomotojo</w:t>
            </w:r>
            <w:r w:rsidR="00C61EFB">
              <w:rPr>
                <w:rFonts w:eastAsia="Times New Roman"/>
                <w:noProof/>
                <w:szCs w:val="24"/>
              </w:rPr>
              <w:t>)</w:t>
            </w:r>
            <w:r w:rsidRPr="003D4F6F">
              <w:rPr>
                <w:rFonts w:eastAsia="Times New Roman"/>
                <w:noProof/>
                <w:szCs w:val="24"/>
              </w:rPr>
              <w:t xml:space="preserve"> kas mėnesį išrašomas sąskaitas faktūras – proporcingai nuomojamam plotui.</w:t>
            </w:r>
          </w:p>
        </w:tc>
      </w:tr>
      <w:tr w:rsidR="00897137" w:rsidRPr="003D4F6F" w14:paraId="3BFA6AF3" w14:textId="77777777" w:rsidTr="00C104A9">
        <w:trPr>
          <w:trHeight w:val="1476"/>
        </w:trPr>
        <w:tc>
          <w:tcPr>
            <w:tcW w:w="817" w:type="dxa"/>
            <w:shd w:val="clear" w:color="auto" w:fill="auto"/>
          </w:tcPr>
          <w:p w14:paraId="21D4AA6F" w14:textId="7C68A37B" w:rsidR="00897137" w:rsidRPr="003D4F6F" w:rsidRDefault="00897137" w:rsidP="00897137">
            <w:pPr>
              <w:tabs>
                <w:tab w:val="left" w:pos="426"/>
              </w:tabs>
              <w:jc w:val="both"/>
              <w:outlineLvl w:val="1"/>
              <w:rPr>
                <w:rFonts w:eastAsia="Times New Roman"/>
                <w:szCs w:val="24"/>
              </w:rPr>
            </w:pPr>
            <w:r w:rsidRPr="00B67E77">
              <w:t>2.</w:t>
            </w:r>
          </w:p>
        </w:tc>
        <w:tc>
          <w:tcPr>
            <w:tcW w:w="9072" w:type="dxa"/>
            <w:shd w:val="clear" w:color="auto" w:fill="auto"/>
          </w:tcPr>
          <w:p w14:paraId="18C56223" w14:textId="22C40466" w:rsidR="00897137" w:rsidRPr="00AA0BD3" w:rsidRDefault="00897137" w:rsidP="00897137">
            <w:pPr>
              <w:ind w:left="44"/>
              <w:rPr>
                <w:rFonts w:eastAsia="Times New Roman"/>
                <w:sz w:val="23"/>
                <w:szCs w:val="23"/>
              </w:rPr>
            </w:pPr>
            <w:r w:rsidRPr="00AA0BD3">
              <w:rPr>
                <w:rFonts w:eastAsia="Times New Roman"/>
                <w:sz w:val="23"/>
                <w:szCs w:val="23"/>
              </w:rPr>
              <w:t>Perkančiosios organizacijos kasoje 6 dienas per savaitę, ne mažiau kaip 6 valandas per dieną, turi dirbti Paslaugos tiekėjo darbuotojas, kuris turės būti susipažinęs su Teatro repertuaru.</w:t>
            </w:r>
          </w:p>
          <w:p w14:paraId="675292A2" w14:textId="79C1EA82" w:rsidR="00897137" w:rsidRPr="00AA0BD3" w:rsidRDefault="00897137" w:rsidP="00897137">
            <w:pPr>
              <w:ind w:left="44"/>
              <w:rPr>
                <w:rFonts w:eastAsia="Times New Roman"/>
                <w:sz w:val="23"/>
                <w:szCs w:val="23"/>
              </w:rPr>
            </w:pPr>
            <w:r w:rsidRPr="00AA0BD3">
              <w:rPr>
                <w:rFonts w:eastAsia="Times New Roman"/>
                <w:sz w:val="23"/>
                <w:szCs w:val="23"/>
              </w:rPr>
              <w:t>Kasos darbo laikas – antradienis-sekmadienis:</w:t>
            </w:r>
          </w:p>
          <w:p w14:paraId="65D0515A" w14:textId="794BA6FE" w:rsidR="00897137" w:rsidRDefault="00897137" w:rsidP="00897137">
            <w:pPr>
              <w:ind w:left="44"/>
              <w:rPr>
                <w:rFonts w:eastAsia="Times New Roman"/>
                <w:sz w:val="23"/>
                <w:szCs w:val="23"/>
              </w:rPr>
            </w:pPr>
            <w:r w:rsidRPr="00AA0BD3">
              <w:rPr>
                <w:rFonts w:eastAsia="Times New Roman"/>
                <w:sz w:val="23"/>
                <w:szCs w:val="23"/>
              </w:rPr>
              <w:t xml:space="preserve">- vykstant renginiams bilietų kasa dirba iki </w:t>
            </w:r>
            <w:r w:rsidR="00C104A9" w:rsidRPr="00AA0BD3">
              <w:rPr>
                <w:rFonts w:eastAsia="Times New Roman"/>
                <w:sz w:val="23"/>
                <w:szCs w:val="23"/>
              </w:rPr>
              <w:t>renginio</w:t>
            </w:r>
            <w:r w:rsidRPr="00AA0BD3">
              <w:rPr>
                <w:rFonts w:eastAsia="Times New Roman"/>
                <w:sz w:val="23"/>
                <w:szCs w:val="23"/>
              </w:rPr>
              <w:t xml:space="preserve"> pradžios;</w:t>
            </w:r>
          </w:p>
          <w:p w14:paraId="18CA1420" w14:textId="0096C42A" w:rsidR="003D3699" w:rsidRPr="00F009FA" w:rsidRDefault="003D3699" w:rsidP="00897137">
            <w:pPr>
              <w:ind w:left="44"/>
              <w:rPr>
                <w:rFonts w:eastAsia="Times New Roman"/>
                <w:sz w:val="23"/>
                <w:szCs w:val="23"/>
              </w:rPr>
            </w:pPr>
            <w:r w:rsidRPr="00F009FA">
              <w:rPr>
                <w:rFonts w:eastAsia="Times New Roman"/>
                <w:sz w:val="23"/>
                <w:szCs w:val="23"/>
              </w:rPr>
              <w:t xml:space="preserve">- vykstant </w:t>
            </w:r>
            <w:r w:rsidR="00F009FA" w:rsidRPr="00F009FA">
              <w:rPr>
                <w:rFonts w:eastAsia="Times New Roman"/>
                <w:sz w:val="23"/>
                <w:szCs w:val="23"/>
              </w:rPr>
              <w:t>renginiams</w:t>
            </w:r>
            <w:r w:rsidRPr="00F009FA">
              <w:rPr>
                <w:rFonts w:eastAsia="Times New Roman"/>
                <w:sz w:val="23"/>
                <w:szCs w:val="23"/>
              </w:rPr>
              <w:t xml:space="preserve"> savaitgalį</w:t>
            </w:r>
            <w:r w:rsidR="00F009FA" w:rsidRPr="00F009FA">
              <w:rPr>
                <w:rFonts w:eastAsia="Times New Roman"/>
                <w:sz w:val="23"/>
                <w:szCs w:val="23"/>
              </w:rPr>
              <w:t>, kasos darbo laikas turi apimti ne mažiau kaip 1 (vieną) val. iki renginio.</w:t>
            </w:r>
          </w:p>
          <w:p w14:paraId="769B3984" w14:textId="2F8451C7" w:rsidR="00897137" w:rsidRPr="00AA0BD3" w:rsidRDefault="00897137" w:rsidP="00897137">
            <w:pPr>
              <w:ind w:left="44"/>
              <w:jc w:val="both"/>
              <w:rPr>
                <w:rFonts w:eastAsia="Times New Roman"/>
                <w:szCs w:val="24"/>
              </w:rPr>
            </w:pPr>
            <w:r w:rsidRPr="00F009FA">
              <w:rPr>
                <w:rFonts w:eastAsia="Times New Roman"/>
                <w:sz w:val="23"/>
                <w:szCs w:val="23"/>
              </w:rPr>
              <w:t>- neįvykus numatytam</w:t>
            </w:r>
            <w:r w:rsidR="00C104A9" w:rsidRPr="00F009FA">
              <w:rPr>
                <w:rFonts w:eastAsia="Times New Roman"/>
                <w:sz w:val="23"/>
                <w:szCs w:val="23"/>
              </w:rPr>
              <w:t xml:space="preserve"> renginiui</w:t>
            </w:r>
            <w:r w:rsidRPr="00F009FA">
              <w:rPr>
                <w:rFonts w:eastAsia="Times New Roman"/>
                <w:sz w:val="23"/>
                <w:szCs w:val="23"/>
              </w:rPr>
              <w:t>, bilietų kas</w:t>
            </w:r>
            <w:r w:rsidR="00F009FA">
              <w:rPr>
                <w:rFonts w:eastAsia="Times New Roman"/>
                <w:sz w:val="23"/>
                <w:szCs w:val="23"/>
              </w:rPr>
              <w:t xml:space="preserve">os darbo laikas turi apimti ne mažiau kaip 1 (vieną) val. </w:t>
            </w:r>
            <w:r w:rsidR="00C104A9" w:rsidRPr="00F009FA">
              <w:rPr>
                <w:rFonts w:eastAsia="Times New Roman"/>
                <w:sz w:val="23"/>
                <w:szCs w:val="23"/>
              </w:rPr>
              <w:t xml:space="preserve">iki </w:t>
            </w:r>
            <w:r w:rsidRPr="00F009FA">
              <w:rPr>
                <w:rFonts w:eastAsia="Times New Roman"/>
                <w:sz w:val="23"/>
                <w:szCs w:val="23"/>
              </w:rPr>
              <w:t>turėjus</w:t>
            </w:r>
            <w:r w:rsidR="00C104A9" w:rsidRPr="00F009FA">
              <w:rPr>
                <w:rFonts w:eastAsia="Times New Roman"/>
                <w:sz w:val="23"/>
                <w:szCs w:val="23"/>
              </w:rPr>
              <w:t xml:space="preserve">io </w:t>
            </w:r>
            <w:r w:rsidRPr="00F009FA">
              <w:rPr>
                <w:rFonts w:eastAsia="Times New Roman"/>
                <w:sz w:val="23"/>
                <w:szCs w:val="23"/>
              </w:rPr>
              <w:t>įvykti rengin</w:t>
            </w:r>
            <w:r w:rsidR="00C104A9" w:rsidRPr="00F009FA">
              <w:rPr>
                <w:rFonts w:eastAsia="Times New Roman"/>
                <w:sz w:val="23"/>
                <w:szCs w:val="23"/>
              </w:rPr>
              <w:t>io pradžios</w:t>
            </w:r>
            <w:r w:rsidRPr="00F009FA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C104A9" w:rsidRPr="003D4F6F" w14:paraId="70C8EB5E" w14:textId="77777777" w:rsidTr="008526FC">
        <w:trPr>
          <w:trHeight w:val="1695"/>
        </w:trPr>
        <w:tc>
          <w:tcPr>
            <w:tcW w:w="817" w:type="dxa"/>
            <w:shd w:val="clear" w:color="auto" w:fill="auto"/>
          </w:tcPr>
          <w:p w14:paraId="4B66E4D7" w14:textId="3A0A469E" w:rsidR="00C104A9" w:rsidRPr="00B67E77" w:rsidRDefault="00C104A9" w:rsidP="00897137">
            <w:pPr>
              <w:tabs>
                <w:tab w:val="left" w:pos="426"/>
              </w:tabs>
              <w:jc w:val="both"/>
              <w:outlineLvl w:val="1"/>
            </w:pPr>
            <w:r>
              <w:t xml:space="preserve">3. </w:t>
            </w:r>
          </w:p>
        </w:tc>
        <w:tc>
          <w:tcPr>
            <w:tcW w:w="9072" w:type="dxa"/>
            <w:shd w:val="clear" w:color="auto" w:fill="auto"/>
          </w:tcPr>
          <w:p w14:paraId="4565E32C" w14:textId="4137B24B" w:rsidR="009E5082" w:rsidRPr="00AA0BD3" w:rsidRDefault="00C104A9" w:rsidP="008526FC">
            <w:pPr>
              <w:ind w:left="44"/>
              <w:rPr>
                <w:rFonts w:eastAsia="Calibri" w:cs="Times New Roman"/>
                <w:lang w:eastAsia="lt-LT"/>
              </w:rPr>
            </w:pPr>
            <w:r w:rsidRPr="00AA0BD3">
              <w:rPr>
                <w:rFonts w:eastAsia="Times New Roman"/>
                <w:sz w:val="23"/>
                <w:szCs w:val="23"/>
              </w:rPr>
              <w:t>Paslaugų tiekėjas turi užtikrinti bilietų platinimą kasose didžiausiuose Lietuvos miestuose –</w:t>
            </w:r>
            <w:r w:rsidRPr="00F009FA">
              <w:rPr>
                <w:rFonts w:eastAsia="Times New Roman"/>
                <w:sz w:val="23"/>
                <w:szCs w:val="23"/>
              </w:rPr>
              <w:t>Kaune, Klaipėdoje, Panevėžyje, Šiauliuose.</w:t>
            </w:r>
            <w:r w:rsidRPr="00AA0BD3">
              <w:rPr>
                <w:rFonts w:eastAsia="Times New Roman"/>
                <w:sz w:val="23"/>
                <w:szCs w:val="23"/>
              </w:rPr>
              <w:t xml:space="preserve"> Tuo atveju, jei Paslaugų tiekėjas atitinkamame mieste neturi bilietų kasų, </w:t>
            </w:r>
            <w:r w:rsidRPr="00F009FA">
              <w:rPr>
                <w:rFonts w:eastAsia="Times New Roman"/>
                <w:sz w:val="23"/>
                <w:szCs w:val="23"/>
              </w:rPr>
              <w:t xml:space="preserve">jis privalo pasiūlyme aiškiai </w:t>
            </w:r>
            <w:r w:rsidR="007F6074" w:rsidRPr="00F009FA">
              <w:rPr>
                <w:rFonts w:eastAsia="Calibri" w:cs="Times New Roman"/>
                <w:lang w:eastAsia="lt-LT"/>
              </w:rPr>
              <w:t>įvardinti priemones ir jų įgyvendinimo terminus (priemonių įgyvendinimo termino pradžia turi būti ne vėlesnė nei bilietų platinimo sutarties įsigaliojimo diena</w:t>
            </w:r>
            <w:r w:rsidR="00F009FA">
              <w:rPr>
                <w:rFonts w:eastAsia="Calibri" w:cs="Times New Roman"/>
                <w:lang w:eastAsia="lt-LT"/>
              </w:rPr>
              <w:t>, jų įgyvendinimo terminas ne ilgesnis nei 1 mėn.</w:t>
            </w:r>
            <w:r w:rsidR="007F6074" w:rsidRPr="00F009FA">
              <w:rPr>
                <w:rFonts w:eastAsia="Calibri" w:cs="Times New Roman"/>
                <w:lang w:eastAsia="lt-LT"/>
              </w:rPr>
              <w:t>), kurių laikantis tuose miestuose bus užtikrintas</w:t>
            </w:r>
            <w:r w:rsidR="00194038">
              <w:rPr>
                <w:rFonts w:eastAsia="Calibri" w:cs="Times New Roman"/>
                <w:lang w:eastAsia="lt-LT"/>
              </w:rPr>
              <w:t xml:space="preserve"> </w:t>
            </w:r>
            <w:r w:rsidR="007F6074" w:rsidRPr="00AA0BD3">
              <w:rPr>
                <w:rFonts w:eastAsia="Calibri" w:cs="Times New Roman"/>
                <w:lang w:eastAsia="lt-LT"/>
              </w:rPr>
              <w:t>bilietų platinimas kasose.</w:t>
            </w:r>
            <w:r w:rsidR="00F009FA">
              <w:rPr>
                <w:rFonts w:eastAsia="Calibri" w:cs="Times New Roman"/>
                <w:lang w:eastAsia="lt-LT"/>
              </w:rPr>
              <w:t xml:space="preserve"> (Pateikiamas patvirtinimas, kuriame tiekėjas aprašo, kokias priemones taikys ir kada planuoja įgyvendinti).</w:t>
            </w:r>
          </w:p>
        </w:tc>
      </w:tr>
      <w:tr w:rsidR="007F6074" w:rsidRPr="003D4F6F" w14:paraId="783DAA0D" w14:textId="77777777" w:rsidTr="008526FC">
        <w:trPr>
          <w:trHeight w:val="840"/>
        </w:trPr>
        <w:tc>
          <w:tcPr>
            <w:tcW w:w="817" w:type="dxa"/>
            <w:shd w:val="clear" w:color="auto" w:fill="auto"/>
          </w:tcPr>
          <w:p w14:paraId="7EA4E11A" w14:textId="60B4C4A2" w:rsidR="007F6074" w:rsidRDefault="007F6074" w:rsidP="00897137">
            <w:pPr>
              <w:tabs>
                <w:tab w:val="left" w:pos="426"/>
              </w:tabs>
              <w:jc w:val="both"/>
              <w:outlineLvl w:val="1"/>
            </w:pPr>
            <w:r>
              <w:t xml:space="preserve">4. </w:t>
            </w:r>
          </w:p>
        </w:tc>
        <w:tc>
          <w:tcPr>
            <w:tcW w:w="9072" w:type="dxa"/>
            <w:shd w:val="clear" w:color="auto" w:fill="auto"/>
          </w:tcPr>
          <w:p w14:paraId="165C9144" w14:textId="60942101" w:rsidR="007F6074" w:rsidRPr="00AA0BD3" w:rsidRDefault="006E1ED7" w:rsidP="00897137">
            <w:pPr>
              <w:ind w:left="44"/>
              <w:rPr>
                <w:rFonts w:eastAsia="Times New Roman"/>
                <w:sz w:val="23"/>
                <w:szCs w:val="23"/>
              </w:rPr>
            </w:pPr>
            <w:r w:rsidRPr="00AA0BD3">
              <w:rPr>
                <w:rFonts w:eastAsia="Calibri" w:cs="Times New Roman"/>
                <w:lang w:eastAsia="lt-LT"/>
              </w:rPr>
              <w:t>Užtikrinti įvairių bilietų tipų – popierinio, elektroninio ir kitų, šioje techninėje specifikacijoje nepaminėtų, tačiau Paslaugų t</w:t>
            </w:r>
            <w:r w:rsidR="00104B03">
              <w:rPr>
                <w:rFonts w:eastAsia="Calibri" w:cs="Times New Roman"/>
                <w:lang w:eastAsia="lt-LT"/>
              </w:rPr>
              <w:t>ie</w:t>
            </w:r>
            <w:r w:rsidRPr="00AA0BD3">
              <w:rPr>
                <w:rFonts w:eastAsia="Calibri" w:cs="Times New Roman"/>
                <w:lang w:eastAsia="lt-LT"/>
              </w:rPr>
              <w:t xml:space="preserve">kėjo sistemoje galimų bilietų tipų, – platinimą. </w:t>
            </w:r>
          </w:p>
        </w:tc>
      </w:tr>
      <w:tr w:rsidR="006E1ED7" w:rsidRPr="003D4F6F" w14:paraId="694CCA6D" w14:textId="77777777" w:rsidTr="006E1ED7">
        <w:trPr>
          <w:trHeight w:val="406"/>
        </w:trPr>
        <w:tc>
          <w:tcPr>
            <w:tcW w:w="817" w:type="dxa"/>
            <w:shd w:val="clear" w:color="auto" w:fill="auto"/>
          </w:tcPr>
          <w:p w14:paraId="69E45408" w14:textId="0198F71A" w:rsidR="006E1ED7" w:rsidRPr="006E1ED7" w:rsidRDefault="006E1ED7" w:rsidP="00897137">
            <w:pPr>
              <w:tabs>
                <w:tab w:val="left" w:pos="426"/>
              </w:tabs>
              <w:jc w:val="both"/>
              <w:outlineLvl w:val="1"/>
              <w:rPr>
                <w:b/>
                <w:bCs/>
              </w:rPr>
            </w:pPr>
            <w:r w:rsidRPr="006E1ED7">
              <w:rPr>
                <w:b/>
                <w:bCs/>
              </w:rPr>
              <w:t xml:space="preserve">5. </w:t>
            </w:r>
          </w:p>
        </w:tc>
        <w:tc>
          <w:tcPr>
            <w:tcW w:w="9072" w:type="dxa"/>
            <w:shd w:val="clear" w:color="auto" w:fill="auto"/>
          </w:tcPr>
          <w:p w14:paraId="77789DDB" w14:textId="01DAD66A" w:rsidR="006E1ED7" w:rsidRPr="00AA0BD3" w:rsidRDefault="006E1ED7" w:rsidP="00897137">
            <w:pPr>
              <w:ind w:left="44"/>
              <w:rPr>
                <w:rFonts w:eastAsia="Calibri" w:cs="Times New Roman"/>
                <w:lang w:eastAsia="lt-LT"/>
              </w:rPr>
            </w:pPr>
            <w:r w:rsidRPr="00AA0BD3">
              <w:rPr>
                <w:rFonts w:eastAsia="Times New Roman"/>
                <w:b/>
                <w:sz w:val="23"/>
                <w:szCs w:val="23"/>
              </w:rPr>
              <w:t>Reikalavimai bilietų platinimui:</w:t>
            </w:r>
          </w:p>
        </w:tc>
      </w:tr>
      <w:tr w:rsidR="002450E8" w:rsidRPr="003D4F6F" w14:paraId="3D33707A" w14:textId="77777777" w:rsidTr="008526FC">
        <w:trPr>
          <w:trHeight w:val="844"/>
        </w:trPr>
        <w:tc>
          <w:tcPr>
            <w:tcW w:w="817" w:type="dxa"/>
            <w:shd w:val="clear" w:color="auto" w:fill="auto"/>
          </w:tcPr>
          <w:p w14:paraId="22C17F01" w14:textId="05EA7449" w:rsidR="002450E8" w:rsidRPr="006E1ED7" w:rsidRDefault="002450E8" w:rsidP="002450E8">
            <w:pPr>
              <w:tabs>
                <w:tab w:val="left" w:pos="426"/>
              </w:tabs>
              <w:jc w:val="both"/>
              <w:outlineLvl w:val="1"/>
            </w:pPr>
            <w:r w:rsidRPr="006E1ED7">
              <w:t>5.1.</w:t>
            </w:r>
          </w:p>
        </w:tc>
        <w:tc>
          <w:tcPr>
            <w:tcW w:w="9072" w:type="dxa"/>
            <w:shd w:val="clear" w:color="auto" w:fill="auto"/>
          </w:tcPr>
          <w:p w14:paraId="7431FFE9" w14:textId="77085F7E" w:rsidR="002450E8" w:rsidRPr="00AA0BD3" w:rsidRDefault="002450E8" w:rsidP="002450E8">
            <w:pPr>
              <w:ind w:left="44"/>
              <w:rPr>
                <w:rFonts w:eastAsia="Times New Roman"/>
                <w:sz w:val="23"/>
                <w:szCs w:val="23"/>
              </w:rPr>
            </w:pPr>
            <w:r w:rsidRPr="00AA0BD3">
              <w:rPr>
                <w:rFonts w:eastAsia="Times New Roman"/>
                <w:sz w:val="23"/>
                <w:szCs w:val="23"/>
              </w:rPr>
              <w:t xml:space="preserve">Užtikrinti  bilietų platinimą į Perkančiosios organizacijos organizuojamus renginius, išskyrus tuos atvejus, kai už Valstybiniame Šiaulių dramos teatre organizuojamų renginių bilietų platinimą nėra atsakinga Perkančioji organizacija ir nėra susitarimo dėl tokių bilietų platinimo. </w:t>
            </w:r>
            <w:r w:rsidRPr="00AA0BD3">
              <w:rPr>
                <w:rFonts w:eastAsia="Times New Roman"/>
                <w:b/>
                <w:sz w:val="23"/>
                <w:szCs w:val="23"/>
              </w:rPr>
              <w:t xml:space="preserve"> </w:t>
            </w:r>
          </w:p>
        </w:tc>
      </w:tr>
      <w:tr w:rsidR="002450E8" w:rsidRPr="003D4F6F" w14:paraId="6B56DAB9" w14:textId="77777777" w:rsidTr="008526FC">
        <w:trPr>
          <w:trHeight w:val="559"/>
        </w:trPr>
        <w:tc>
          <w:tcPr>
            <w:tcW w:w="817" w:type="dxa"/>
            <w:shd w:val="clear" w:color="auto" w:fill="auto"/>
          </w:tcPr>
          <w:p w14:paraId="46472365" w14:textId="5675C7D8" w:rsidR="002450E8" w:rsidRPr="006E1ED7" w:rsidRDefault="002450E8" w:rsidP="002450E8">
            <w:pPr>
              <w:tabs>
                <w:tab w:val="left" w:pos="426"/>
              </w:tabs>
              <w:jc w:val="both"/>
              <w:outlineLvl w:val="1"/>
            </w:pPr>
            <w:r>
              <w:lastRenderedPageBreak/>
              <w:t>5.2.</w:t>
            </w:r>
          </w:p>
        </w:tc>
        <w:tc>
          <w:tcPr>
            <w:tcW w:w="9072" w:type="dxa"/>
            <w:shd w:val="clear" w:color="auto" w:fill="auto"/>
          </w:tcPr>
          <w:p w14:paraId="3225B328" w14:textId="6629C8BB" w:rsidR="002450E8" w:rsidRPr="00AA0BD3" w:rsidRDefault="00122D47" w:rsidP="009722A0">
            <w:pPr>
              <w:ind w:left="44"/>
              <w:rPr>
                <w:rFonts w:eastAsia="Times New Roman"/>
                <w:sz w:val="23"/>
                <w:szCs w:val="23"/>
              </w:rPr>
            </w:pPr>
            <w:r w:rsidRPr="00122D47">
              <w:rPr>
                <w:sz w:val="23"/>
                <w:szCs w:val="23"/>
              </w:rPr>
              <w:t>Leisti</w:t>
            </w:r>
            <w:r w:rsidR="00557B7A" w:rsidRPr="00122D47">
              <w:rPr>
                <w:sz w:val="23"/>
                <w:szCs w:val="23"/>
              </w:rPr>
              <w:t xml:space="preserve"> (gastrolių atveju) Perkančiajai</w:t>
            </w:r>
            <w:r w:rsidR="00302517">
              <w:rPr>
                <w:sz w:val="23"/>
                <w:szCs w:val="23"/>
              </w:rPr>
              <w:t>-</w:t>
            </w:r>
            <w:r w:rsidR="00557B7A" w:rsidRPr="00122D47">
              <w:rPr>
                <w:sz w:val="23"/>
                <w:szCs w:val="23"/>
              </w:rPr>
              <w:t>organizacijai</w:t>
            </w:r>
            <w:r w:rsidR="00557B7A" w:rsidRPr="00AA0BD3">
              <w:rPr>
                <w:sz w:val="23"/>
                <w:szCs w:val="23"/>
              </w:rPr>
              <w:t xml:space="preserve"> </w:t>
            </w:r>
            <w:r w:rsidR="00685CBE">
              <w:rPr>
                <w:sz w:val="23"/>
                <w:szCs w:val="23"/>
              </w:rPr>
              <w:t xml:space="preserve"> </w:t>
            </w:r>
            <w:r w:rsidR="00557B7A" w:rsidRPr="00AA0BD3">
              <w:rPr>
                <w:sz w:val="23"/>
                <w:szCs w:val="23"/>
              </w:rPr>
              <w:t>dalį bilietų platinti per kitą bilietų platintoją, kurio paslaugomis naudojasi gastroles priimanti organizacija.</w:t>
            </w:r>
          </w:p>
        </w:tc>
      </w:tr>
      <w:tr w:rsidR="00557B7A" w:rsidRPr="003D4F6F" w14:paraId="3A81597F" w14:textId="77777777" w:rsidTr="00FA6097">
        <w:trPr>
          <w:trHeight w:val="553"/>
        </w:trPr>
        <w:tc>
          <w:tcPr>
            <w:tcW w:w="817" w:type="dxa"/>
            <w:shd w:val="clear" w:color="auto" w:fill="auto"/>
          </w:tcPr>
          <w:p w14:paraId="70D914E2" w14:textId="49CD87D9" w:rsidR="00557B7A" w:rsidRDefault="00557B7A" w:rsidP="00557B7A">
            <w:pPr>
              <w:tabs>
                <w:tab w:val="left" w:pos="426"/>
              </w:tabs>
              <w:jc w:val="both"/>
              <w:outlineLvl w:val="1"/>
            </w:pPr>
            <w:r>
              <w:t>5.3.</w:t>
            </w:r>
          </w:p>
        </w:tc>
        <w:tc>
          <w:tcPr>
            <w:tcW w:w="9072" w:type="dxa"/>
            <w:shd w:val="clear" w:color="auto" w:fill="auto"/>
          </w:tcPr>
          <w:p w14:paraId="530323CD" w14:textId="4640BF88" w:rsidR="00557B7A" w:rsidRPr="00AA0BD3" w:rsidRDefault="00557B7A" w:rsidP="00557B7A">
            <w:pPr>
              <w:ind w:left="44"/>
              <w:rPr>
                <w:sz w:val="23"/>
                <w:szCs w:val="23"/>
              </w:rPr>
            </w:pPr>
            <w:r w:rsidRPr="00AA0BD3">
              <w:rPr>
                <w:sz w:val="23"/>
                <w:szCs w:val="23"/>
              </w:rPr>
              <w:t>Užtikrinti galimybę Perkančiajai organizacijai naudotis elektroninio kvietimo paslauga, t.y. atspausdinti elektroninius kvietimus, daryti rezervacijas (</w:t>
            </w:r>
            <w:r>
              <w:rPr>
                <w:sz w:val="23"/>
                <w:szCs w:val="23"/>
              </w:rPr>
              <w:t>„</w:t>
            </w:r>
            <w:r w:rsidRPr="00AA0BD3">
              <w:rPr>
                <w:sz w:val="23"/>
                <w:szCs w:val="23"/>
              </w:rPr>
              <w:t>užšaldyti</w:t>
            </w:r>
            <w:r>
              <w:rPr>
                <w:sz w:val="23"/>
                <w:szCs w:val="23"/>
              </w:rPr>
              <w:t>“</w:t>
            </w:r>
            <w:r w:rsidRPr="00AA0BD3">
              <w:rPr>
                <w:sz w:val="23"/>
                <w:szCs w:val="23"/>
              </w:rPr>
              <w:t xml:space="preserve"> vietas).</w:t>
            </w:r>
          </w:p>
        </w:tc>
      </w:tr>
      <w:tr w:rsidR="00557B7A" w:rsidRPr="003D4F6F" w14:paraId="277AA8E2" w14:textId="77777777" w:rsidTr="00FA6097">
        <w:trPr>
          <w:trHeight w:val="556"/>
        </w:trPr>
        <w:tc>
          <w:tcPr>
            <w:tcW w:w="817" w:type="dxa"/>
            <w:shd w:val="clear" w:color="auto" w:fill="auto"/>
          </w:tcPr>
          <w:p w14:paraId="0DB39446" w14:textId="36777065" w:rsidR="00557B7A" w:rsidRDefault="00557B7A" w:rsidP="00557B7A">
            <w:pPr>
              <w:tabs>
                <w:tab w:val="left" w:pos="426"/>
              </w:tabs>
              <w:jc w:val="both"/>
              <w:outlineLvl w:val="1"/>
            </w:pPr>
            <w:r>
              <w:t>5.4.</w:t>
            </w:r>
          </w:p>
        </w:tc>
        <w:tc>
          <w:tcPr>
            <w:tcW w:w="9072" w:type="dxa"/>
            <w:shd w:val="clear" w:color="auto" w:fill="auto"/>
          </w:tcPr>
          <w:p w14:paraId="3D4BFECC" w14:textId="5CACE2F6" w:rsidR="00557B7A" w:rsidRPr="00AA0BD3" w:rsidRDefault="00557B7A" w:rsidP="00557B7A">
            <w:pPr>
              <w:ind w:left="44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Platinti nemokamus bilietus (kvietimus) į nemokamus Perkančiosios organizacijos renginius be paslaugos mokesčio galutiniam vartotojui – žiūrovui.</w:t>
            </w:r>
          </w:p>
        </w:tc>
      </w:tr>
      <w:tr w:rsidR="00557B7A" w:rsidRPr="003D4F6F" w14:paraId="338C07EF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714DD5F5" w14:textId="526AE4D5" w:rsidR="00557B7A" w:rsidRDefault="00557B7A" w:rsidP="00557B7A">
            <w:pPr>
              <w:tabs>
                <w:tab w:val="left" w:pos="426"/>
              </w:tabs>
              <w:jc w:val="both"/>
              <w:outlineLvl w:val="1"/>
            </w:pPr>
            <w:r>
              <w:t>5.5.</w:t>
            </w:r>
          </w:p>
        </w:tc>
        <w:tc>
          <w:tcPr>
            <w:tcW w:w="9072" w:type="dxa"/>
            <w:shd w:val="clear" w:color="auto" w:fill="auto"/>
          </w:tcPr>
          <w:p w14:paraId="521610B6" w14:textId="429D153E" w:rsidR="00557B7A" w:rsidRPr="00901DB1" w:rsidRDefault="00557B7A" w:rsidP="00887E43">
            <w:pPr>
              <w:tabs>
                <w:tab w:val="left" w:pos="426"/>
              </w:tabs>
              <w:outlineLvl w:val="1"/>
              <w:rPr>
                <w:szCs w:val="24"/>
                <w:lang w:eastAsia="lt-LT"/>
              </w:rPr>
            </w:pPr>
            <w:r w:rsidRPr="00901DB1">
              <w:rPr>
                <w:rFonts w:eastAsia="Times New Roman"/>
                <w:sz w:val="23"/>
                <w:szCs w:val="23"/>
              </w:rPr>
              <w:t xml:space="preserve">Paslaugų tiekėjas, gavęs informaciją iš Perkančiosios organizacijos, pradeda bilietų platinimą į renginius (pateikiama iki 10 renginių informacija) ne </w:t>
            </w:r>
            <w:r w:rsidRPr="00901DB1">
              <w:rPr>
                <w:rFonts w:eastAsia="ヒラギノ角ゴ Pro W3"/>
                <w:sz w:val="23"/>
                <w:szCs w:val="23"/>
              </w:rPr>
              <w:t>vėliau kaip per 1 (vieną) darbo</w:t>
            </w:r>
            <w:r w:rsidRPr="00901DB1">
              <w:rPr>
                <w:rFonts w:eastAsia="Times New Roman"/>
                <w:sz w:val="23"/>
                <w:szCs w:val="23"/>
              </w:rPr>
              <w:t xml:space="preserve"> dieną po tokios informacijos pateikimo.</w:t>
            </w:r>
          </w:p>
        </w:tc>
      </w:tr>
      <w:tr w:rsidR="00557B7A" w:rsidRPr="003D4F6F" w14:paraId="30CA06AA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39189C2B" w14:textId="22CFA611" w:rsidR="00557B7A" w:rsidRDefault="00557B7A" w:rsidP="00557B7A">
            <w:pPr>
              <w:tabs>
                <w:tab w:val="left" w:pos="426"/>
              </w:tabs>
              <w:jc w:val="both"/>
              <w:outlineLvl w:val="1"/>
            </w:pPr>
            <w:r>
              <w:t>5.6.</w:t>
            </w:r>
          </w:p>
        </w:tc>
        <w:tc>
          <w:tcPr>
            <w:tcW w:w="9072" w:type="dxa"/>
            <w:shd w:val="clear" w:color="auto" w:fill="auto"/>
          </w:tcPr>
          <w:p w14:paraId="002BF105" w14:textId="1CC7B7F5" w:rsidR="00557B7A" w:rsidRPr="00901DB1" w:rsidRDefault="00557B7A" w:rsidP="00557B7A">
            <w:pPr>
              <w:tabs>
                <w:tab w:val="left" w:pos="426"/>
              </w:tabs>
              <w:outlineLvl w:val="1"/>
              <w:rPr>
                <w:rFonts w:eastAsia="Times New Roman"/>
                <w:sz w:val="23"/>
                <w:szCs w:val="23"/>
              </w:rPr>
            </w:pPr>
            <w:r w:rsidRPr="00901DB1">
              <w:rPr>
                <w:sz w:val="23"/>
                <w:szCs w:val="23"/>
                <w:lang w:eastAsia="lt-LT"/>
              </w:rPr>
              <w:t xml:space="preserve">Jei renginiams, kurių prekyba bilietais jau vykdoma, yra paskelbiamos kaininės akcijos arba jiems taikoma dinaminė kainodara, tokiu atveju nuolaidos, akcijos ir kainų keitimas turi būti pritaikyti per 1 valandą darbo dienomis. </w:t>
            </w:r>
          </w:p>
        </w:tc>
      </w:tr>
      <w:tr w:rsidR="00557B7A" w:rsidRPr="003D4F6F" w14:paraId="5BFD3460" w14:textId="77777777" w:rsidTr="000E3D86">
        <w:trPr>
          <w:trHeight w:val="556"/>
        </w:trPr>
        <w:tc>
          <w:tcPr>
            <w:tcW w:w="817" w:type="dxa"/>
            <w:shd w:val="clear" w:color="auto" w:fill="auto"/>
          </w:tcPr>
          <w:p w14:paraId="69CAA6C8" w14:textId="625948B9" w:rsidR="00557B7A" w:rsidRDefault="00557B7A" w:rsidP="00557B7A">
            <w:pPr>
              <w:tabs>
                <w:tab w:val="left" w:pos="426"/>
              </w:tabs>
              <w:jc w:val="both"/>
              <w:outlineLvl w:val="1"/>
            </w:pPr>
            <w:r>
              <w:t>5.7.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23A5" w14:textId="37D4A946" w:rsidR="00557B7A" w:rsidRDefault="00557B7A" w:rsidP="00557B7A">
            <w:pPr>
              <w:tabs>
                <w:tab w:val="left" w:pos="426"/>
              </w:tabs>
              <w:outlineLvl w:val="1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  <w:lang w:eastAsia="lt-LT"/>
              </w:rPr>
              <w:t>Jei renginiams, kurių prekyba bilietais jau vykdoma, reikia atlikti korekcijas renginio informacijoje (pvz.: pavadinime, trukmėje, datoje, aprašyme ir pan.) tai tokios korekcijos turi būti atliktos ne vėliau kaip per 1 valandą darbo dienomis.</w:t>
            </w:r>
          </w:p>
        </w:tc>
      </w:tr>
      <w:tr w:rsidR="00557B7A" w:rsidRPr="003D4F6F" w14:paraId="1739E591" w14:textId="77777777" w:rsidTr="000E3D86">
        <w:trPr>
          <w:trHeight w:val="556"/>
        </w:trPr>
        <w:tc>
          <w:tcPr>
            <w:tcW w:w="817" w:type="dxa"/>
            <w:shd w:val="clear" w:color="auto" w:fill="auto"/>
          </w:tcPr>
          <w:p w14:paraId="4440CEA1" w14:textId="34F968DF" w:rsidR="00557B7A" w:rsidRDefault="00557B7A" w:rsidP="00557B7A">
            <w:pPr>
              <w:tabs>
                <w:tab w:val="left" w:pos="426"/>
              </w:tabs>
              <w:jc w:val="both"/>
              <w:outlineLvl w:val="1"/>
            </w:pPr>
            <w:r>
              <w:t>5.8.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B1F" w14:textId="746EAE67" w:rsidR="00557B7A" w:rsidRDefault="00557B7A" w:rsidP="00557B7A">
            <w:pPr>
              <w:tabs>
                <w:tab w:val="left" w:pos="426"/>
              </w:tabs>
              <w:outlineLvl w:val="1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  <w:lang w:eastAsia="lt-LT"/>
              </w:rPr>
              <w:t>Užtikrinti galimybę vartotojams patiems pasirinkti vietas perkant bilietus internetu arba bilietų pardavimo vietose.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</w:tr>
      <w:tr w:rsidR="00557B7A" w:rsidRPr="003D4F6F" w14:paraId="4BD7BE38" w14:textId="77777777" w:rsidTr="000E3D86">
        <w:trPr>
          <w:trHeight w:val="556"/>
        </w:trPr>
        <w:tc>
          <w:tcPr>
            <w:tcW w:w="817" w:type="dxa"/>
            <w:shd w:val="clear" w:color="auto" w:fill="auto"/>
          </w:tcPr>
          <w:p w14:paraId="74A90846" w14:textId="27F7E5BD" w:rsidR="00557B7A" w:rsidRDefault="00557B7A" w:rsidP="00557B7A">
            <w:pPr>
              <w:tabs>
                <w:tab w:val="left" w:pos="426"/>
              </w:tabs>
              <w:jc w:val="both"/>
              <w:outlineLvl w:val="1"/>
            </w:pPr>
            <w:r>
              <w:t>5.9.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6C3B" w14:textId="5525ACAA" w:rsidR="00557B7A" w:rsidRDefault="00557B7A" w:rsidP="00557B7A">
            <w:pPr>
              <w:tabs>
                <w:tab w:val="left" w:pos="426"/>
              </w:tabs>
              <w:outlineLvl w:val="1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Užtikrinti galimybę vartotojams atsiimti bilietus, įsigytus internetu, bilietų kasoje (nurodytoje šios specifikacijos </w:t>
            </w:r>
            <w:r w:rsidRPr="00234248">
              <w:rPr>
                <w:rFonts w:eastAsia="Times New Roman"/>
                <w:sz w:val="23"/>
                <w:szCs w:val="23"/>
              </w:rPr>
              <w:t>2 p. ar kitose Paslaugų tiekėjo</w:t>
            </w:r>
            <w:r>
              <w:rPr>
                <w:rFonts w:eastAsia="Times New Roman"/>
                <w:sz w:val="23"/>
                <w:szCs w:val="23"/>
              </w:rPr>
              <w:t xml:space="preserve"> bilietų platinimo vietose) - nemokamai.</w:t>
            </w:r>
          </w:p>
        </w:tc>
      </w:tr>
      <w:tr w:rsidR="00557B7A" w:rsidRPr="003D4F6F" w14:paraId="7755DDB0" w14:textId="77777777" w:rsidTr="000E3D86">
        <w:trPr>
          <w:trHeight w:val="556"/>
        </w:trPr>
        <w:tc>
          <w:tcPr>
            <w:tcW w:w="817" w:type="dxa"/>
            <w:shd w:val="clear" w:color="auto" w:fill="auto"/>
          </w:tcPr>
          <w:p w14:paraId="369A1630" w14:textId="49E1DB51" w:rsidR="00557B7A" w:rsidRDefault="00557B7A" w:rsidP="00557B7A">
            <w:pPr>
              <w:tabs>
                <w:tab w:val="left" w:pos="426"/>
              </w:tabs>
              <w:jc w:val="both"/>
              <w:outlineLvl w:val="1"/>
            </w:pPr>
            <w:r>
              <w:t>5.10.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0A8" w14:textId="215DCA5B" w:rsidR="00557B7A" w:rsidRDefault="00557B7A" w:rsidP="00557B7A">
            <w:pPr>
              <w:tabs>
                <w:tab w:val="left" w:pos="426"/>
              </w:tabs>
              <w:outlineLvl w:val="1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Užtikrinti galimybę platinti bilietus interneto parduotuvėje ir bilietų pardavimo vietose iki numatyto spektaklio pradžios laiko pagal sudarytą repertuarą.</w:t>
            </w:r>
          </w:p>
        </w:tc>
      </w:tr>
      <w:tr w:rsidR="00557B7A" w:rsidRPr="003D4F6F" w14:paraId="6352F7BD" w14:textId="77777777" w:rsidTr="000E3D86">
        <w:trPr>
          <w:trHeight w:val="556"/>
        </w:trPr>
        <w:tc>
          <w:tcPr>
            <w:tcW w:w="817" w:type="dxa"/>
            <w:shd w:val="clear" w:color="auto" w:fill="auto"/>
          </w:tcPr>
          <w:p w14:paraId="66A5B35C" w14:textId="1CDC72C5" w:rsidR="00557B7A" w:rsidRDefault="00557B7A" w:rsidP="00557B7A">
            <w:pPr>
              <w:tabs>
                <w:tab w:val="left" w:pos="426"/>
              </w:tabs>
              <w:jc w:val="both"/>
              <w:outlineLvl w:val="1"/>
            </w:pPr>
            <w:r>
              <w:t>5.11.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B1AB" w14:textId="57B3482F" w:rsidR="00557B7A" w:rsidRDefault="00E81AFD" w:rsidP="00557B7A">
            <w:pPr>
              <w:tabs>
                <w:tab w:val="left" w:pos="426"/>
              </w:tabs>
              <w:outlineLvl w:val="1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Užtikrinti</w:t>
            </w:r>
            <w:r w:rsidR="00557B7A">
              <w:rPr>
                <w:rFonts w:eastAsia="Times New Roman"/>
                <w:sz w:val="23"/>
                <w:szCs w:val="23"/>
              </w:rPr>
              <w:t xml:space="preserve"> galimybę sukurti Perkančiosios organizacijos dovanų kuponą, abonementą, nuolaidų ir lojalumo korteles ir pan.</w:t>
            </w:r>
          </w:p>
        </w:tc>
      </w:tr>
      <w:tr w:rsidR="00557B7A" w:rsidRPr="003D4F6F" w14:paraId="35CFDCAA" w14:textId="77777777" w:rsidTr="000E3D86">
        <w:trPr>
          <w:trHeight w:val="556"/>
        </w:trPr>
        <w:tc>
          <w:tcPr>
            <w:tcW w:w="817" w:type="dxa"/>
            <w:shd w:val="clear" w:color="auto" w:fill="auto"/>
          </w:tcPr>
          <w:p w14:paraId="2C3023E0" w14:textId="2C152A2D" w:rsidR="00557B7A" w:rsidRDefault="00557B7A" w:rsidP="00557B7A">
            <w:pPr>
              <w:tabs>
                <w:tab w:val="left" w:pos="426"/>
              </w:tabs>
              <w:jc w:val="both"/>
              <w:outlineLvl w:val="1"/>
            </w:pPr>
            <w:r>
              <w:t>5.12.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1733" w14:textId="4D410879" w:rsidR="00557B7A" w:rsidRDefault="00BA7422" w:rsidP="00557B7A">
            <w:pPr>
              <w:tabs>
                <w:tab w:val="left" w:pos="426"/>
              </w:tabs>
              <w:outlineLvl w:val="1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Paslaugų tiekėjas turi užtikrinti galimybę rinkti žiūrovų, įsigyjančių bilietus kasoje ir/ar perkant internetu, duomenis pagal Bendrąjį duomenų apsaugos reglamentą. </w:t>
            </w:r>
            <w:r w:rsidRPr="00B52DE7">
              <w:rPr>
                <w:rFonts w:eastAsia="Calibri" w:cs="Times New Roman"/>
                <w:lang w:eastAsia="lt-LT"/>
              </w:rPr>
              <w:t>Esant reikalavimams registruoti žiūrovus (sugriežtinti reikalavimai dėl pandemijos ir pan.), bilietų platintojas užtikrina šios funkcijos atlikimą ir internetu, ir kaso</w:t>
            </w:r>
            <w:r>
              <w:rPr>
                <w:rFonts w:eastAsia="Calibri" w:cs="Times New Roman"/>
                <w:lang w:eastAsia="lt-LT"/>
              </w:rPr>
              <w:t>je.</w:t>
            </w:r>
          </w:p>
        </w:tc>
      </w:tr>
      <w:tr w:rsidR="00C9489A" w:rsidRPr="003D4F6F" w14:paraId="06B36830" w14:textId="77777777" w:rsidTr="000E3D86">
        <w:trPr>
          <w:trHeight w:val="556"/>
        </w:trPr>
        <w:tc>
          <w:tcPr>
            <w:tcW w:w="817" w:type="dxa"/>
            <w:shd w:val="clear" w:color="auto" w:fill="auto"/>
          </w:tcPr>
          <w:p w14:paraId="28B2FBAB" w14:textId="0C652790" w:rsidR="00C9489A" w:rsidRDefault="00C9489A" w:rsidP="00C9489A">
            <w:pPr>
              <w:tabs>
                <w:tab w:val="left" w:pos="426"/>
              </w:tabs>
              <w:jc w:val="both"/>
              <w:outlineLvl w:val="1"/>
            </w:pPr>
            <w:r>
              <w:rPr>
                <w:rFonts w:eastAsia="Times New Roman"/>
                <w:b/>
                <w:szCs w:val="24"/>
              </w:rPr>
              <w:t>6</w:t>
            </w:r>
            <w:r w:rsidRPr="003D4F6F">
              <w:rPr>
                <w:rFonts w:eastAsia="Times New Roman"/>
                <w:b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8C7C" w14:textId="44E76C0B" w:rsidR="00C9489A" w:rsidRDefault="00C9489A" w:rsidP="00C9489A">
            <w:pPr>
              <w:tabs>
                <w:tab w:val="left" w:pos="426"/>
              </w:tabs>
              <w:outlineLvl w:val="1"/>
              <w:rPr>
                <w:rFonts w:eastAsia="Times New Roman"/>
                <w:sz w:val="23"/>
                <w:szCs w:val="23"/>
              </w:rPr>
            </w:pPr>
            <w:r w:rsidRPr="00500F20">
              <w:rPr>
                <w:rFonts w:eastAsia="Times New Roman"/>
                <w:b/>
                <w:szCs w:val="24"/>
              </w:rPr>
              <w:t>Paslaugų tiekėjo bilietų platinimo sistemos techninių galimybių taikymas Perkančiosios organizacijos rinkodariniams sprendimams įgyvendinti be papildomo atlyginimo:</w:t>
            </w:r>
            <w:r w:rsidR="007C54BE">
              <w:rPr>
                <w:rFonts w:eastAsia="Times New Roman"/>
                <w:b/>
                <w:szCs w:val="24"/>
              </w:rPr>
              <w:t xml:space="preserve"> </w:t>
            </w:r>
            <w:r w:rsidR="003C2710" w:rsidRPr="00CF4093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</w:tr>
      <w:tr w:rsidR="00C9489A" w:rsidRPr="003D4F6F" w14:paraId="6E03E60A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4263EF3D" w14:textId="5BD30A8D" w:rsidR="00C9489A" w:rsidRDefault="00C9489A" w:rsidP="00C9489A">
            <w:pPr>
              <w:tabs>
                <w:tab w:val="left" w:pos="426"/>
              </w:tabs>
              <w:jc w:val="both"/>
              <w:outlineLvl w:val="1"/>
            </w:pPr>
            <w:r>
              <w:t xml:space="preserve">6.1. </w:t>
            </w:r>
          </w:p>
        </w:tc>
        <w:tc>
          <w:tcPr>
            <w:tcW w:w="9072" w:type="dxa"/>
            <w:shd w:val="clear" w:color="auto" w:fill="auto"/>
          </w:tcPr>
          <w:p w14:paraId="0EDDCCBB" w14:textId="19D46AF1" w:rsidR="00C9489A" w:rsidRDefault="00BF53F3" w:rsidP="00C9489A">
            <w:pPr>
              <w:tabs>
                <w:tab w:val="left" w:pos="426"/>
              </w:tabs>
              <w:outlineLvl w:val="1"/>
              <w:rPr>
                <w:rFonts w:eastAsia="Times New Roman"/>
                <w:sz w:val="23"/>
                <w:szCs w:val="23"/>
              </w:rPr>
            </w:pPr>
            <w:r w:rsidRPr="00500F20">
              <w:rPr>
                <w:rFonts w:eastAsia="Times New Roman"/>
                <w:szCs w:val="24"/>
              </w:rPr>
              <w:t>Paslaugų tiekėjas privalo užtikrinti bilietų platinimo sistemos techninių galimybių pritaikymą Perkančiosios organizacijos rinkodariniams sprendiniams įgyvendinti netaikant jokių papildomų mokesčių</w:t>
            </w:r>
            <w:r w:rsidR="00E03C2C">
              <w:rPr>
                <w:rFonts w:eastAsia="Times New Roman"/>
                <w:szCs w:val="24"/>
              </w:rPr>
              <w:t xml:space="preserve"> </w:t>
            </w:r>
            <w:r w:rsidR="00E03C2C" w:rsidRPr="009A31E4">
              <w:rPr>
                <w:rFonts w:eastAsia="Times New Roman"/>
                <w:sz w:val="23"/>
                <w:szCs w:val="23"/>
              </w:rPr>
              <w:t>(Pateikti ataskaitos DEMO versiją)</w:t>
            </w:r>
            <w:r w:rsidR="0077567E" w:rsidRPr="009A31E4">
              <w:rPr>
                <w:rFonts w:eastAsia="Times New Roman"/>
                <w:szCs w:val="24"/>
              </w:rPr>
              <w:t>:</w:t>
            </w:r>
          </w:p>
        </w:tc>
      </w:tr>
      <w:tr w:rsidR="0077567E" w:rsidRPr="003D4F6F" w14:paraId="1230EBEC" w14:textId="77777777" w:rsidTr="0077567E">
        <w:trPr>
          <w:trHeight w:val="305"/>
        </w:trPr>
        <w:tc>
          <w:tcPr>
            <w:tcW w:w="817" w:type="dxa"/>
            <w:shd w:val="clear" w:color="auto" w:fill="auto"/>
          </w:tcPr>
          <w:p w14:paraId="400F4440" w14:textId="04A1427D" w:rsidR="0077567E" w:rsidRDefault="0077567E" w:rsidP="0077567E">
            <w:pPr>
              <w:tabs>
                <w:tab w:val="left" w:pos="426"/>
              </w:tabs>
              <w:jc w:val="both"/>
              <w:outlineLvl w:val="1"/>
            </w:pPr>
            <w:r>
              <w:t>6.1.1.</w:t>
            </w:r>
          </w:p>
        </w:tc>
        <w:tc>
          <w:tcPr>
            <w:tcW w:w="9072" w:type="dxa"/>
            <w:shd w:val="clear" w:color="auto" w:fill="auto"/>
          </w:tcPr>
          <w:p w14:paraId="24BA17D4" w14:textId="058D7A83" w:rsidR="0077567E" w:rsidRDefault="0077567E" w:rsidP="0077567E">
            <w:pPr>
              <w:tabs>
                <w:tab w:val="left" w:pos="426"/>
              </w:tabs>
              <w:outlineLvl w:val="1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lojalumo programos, abonementai, nuolaidų kodai;</w:t>
            </w:r>
          </w:p>
        </w:tc>
      </w:tr>
      <w:tr w:rsidR="0077567E" w:rsidRPr="003D4F6F" w14:paraId="1C016EA9" w14:textId="77777777" w:rsidTr="0077567E">
        <w:trPr>
          <w:trHeight w:val="268"/>
        </w:trPr>
        <w:tc>
          <w:tcPr>
            <w:tcW w:w="817" w:type="dxa"/>
            <w:shd w:val="clear" w:color="auto" w:fill="auto"/>
          </w:tcPr>
          <w:p w14:paraId="0C0DE562" w14:textId="685E71C7" w:rsidR="0077567E" w:rsidRDefault="0077567E" w:rsidP="0077567E">
            <w:pPr>
              <w:tabs>
                <w:tab w:val="left" w:pos="426"/>
              </w:tabs>
              <w:jc w:val="both"/>
              <w:outlineLvl w:val="1"/>
            </w:pPr>
            <w:r>
              <w:t>6.1.2.</w:t>
            </w:r>
          </w:p>
        </w:tc>
        <w:tc>
          <w:tcPr>
            <w:tcW w:w="9072" w:type="dxa"/>
            <w:shd w:val="clear" w:color="auto" w:fill="auto"/>
          </w:tcPr>
          <w:p w14:paraId="0C25AA42" w14:textId="1FA1966F" w:rsidR="0077567E" w:rsidRDefault="0077567E" w:rsidP="0077567E">
            <w:pPr>
              <w:tabs>
                <w:tab w:val="left" w:pos="426"/>
              </w:tabs>
              <w:outlineLvl w:val="1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bilietų įsigijimas naudojantis Perkančiosios organizacijos ar trečiųjų šalių lojalumo kortelėmis;</w:t>
            </w:r>
          </w:p>
        </w:tc>
      </w:tr>
      <w:tr w:rsidR="0077567E" w:rsidRPr="003D4F6F" w14:paraId="0516EEE1" w14:textId="77777777" w:rsidTr="0077567E">
        <w:trPr>
          <w:trHeight w:val="413"/>
        </w:trPr>
        <w:tc>
          <w:tcPr>
            <w:tcW w:w="817" w:type="dxa"/>
            <w:shd w:val="clear" w:color="auto" w:fill="auto"/>
          </w:tcPr>
          <w:p w14:paraId="4CC63C92" w14:textId="5A83DC6C" w:rsidR="0077567E" w:rsidRDefault="0077567E" w:rsidP="0077567E">
            <w:pPr>
              <w:tabs>
                <w:tab w:val="left" w:pos="426"/>
              </w:tabs>
              <w:jc w:val="both"/>
              <w:outlineLvl w:val="1"/>
            </w:pPr>
            <w:r>
              <w:t>6.1.3.</w:t>
            </w:r>
          </w:p>
        </w:tc>
        <w:tc>
          <w:tcPr>
            <w:tcW w:w="9072" w:type="dxa"/>
            <w:shd w:val="clear" w:color="auto" w:fill="auto"/>
          </w:tcPr>
          <w:p w14:paraId="6C0E8BD2" w14:textId="1514E590" w:rsidR="0077567E" w:rsidRDefault="0077567E" w:rsidP="0077567E">
            <w:pPr>
              <w:tabs>
                <w:tab w:val="left" w:pos="426"/>
              </w:tabs>
              <w:outlineLvl w:val="1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rėmėjų ar svarbiausios anonsinės informacijos pateikimas ant elektroninių ir popierinių bilietų;</w:t>
            </w:r>
          </w:p>
        </w:tc>
      </w:tr>
      <w:tr w:rsidR="0077567E" w:rsidRPr="003D4F6F" w14:paraId="6E804739" w14:textId="77777777" w:rsidTr="0077567E">
        <w:trPr>
          <w:trHeight w:val="278"/>
        </w:trPr>
        <w:tc>
          <w:tcPr>
            <w:tcW w:w="817" w:type="dxa"/>
            <w:shd w:val="clear" w:color="auto" w:fill="auto"/>
          </w:tcPr>
          <w:p w14:paraId="121A5EA9" w14:textId="0EE990C5" w:rsidR="0077567E" w:rsidRDefault="0077567E" w:rsidP="0077567E">
            <w:pPr>
              <w:tabs>
                <w:tab w:val="left" w:pos="426"/>
              </w:tabs>
              <w:jc w:val="both"/>
              <w:outlineLvl w:val="1"/>
            </w:pPr>
            <w:r>
              <w:t>6.1.4.</w:t>
            </w:r>
          </w:p>
        </w:tc>
        <w:tc>
          <w:tcPr>
            <w:tcW w:w="9072" w:type="dxa"/>
            <w:shd w:val="clear" w:color="auto" w:fill="auto"/>
          </w:tcPr>
          <w:p w14:paraId="18AE36FD" w14:textId="5DB7727E" w:rsidR="0077567E" w:rsidRDefault="0077567E" w:rsidP="0077567E">
            <w:pPr>
              <w:tabs>
                <w:tab w:val="left" w:pos="426"/>
              </w:tabs>
              <w:outlineLvl w:val="1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įvairios kainų akcijos; </w:t>
            </w:r>
          </w:p>
        </w:tc>
      </w:tr>
      <w:tr w:rsidR="0077567E" w:rsidRPr="003D4F6F" w14:paraId="2CF62CF1" w14:textId="77777777" w:rsidTr="0077567E">
        <w:trPr>
          <w:trHeight w:val="281"/>
        </w:trPr>
        <w:tc>
          <w:tcPr>
            <w:tcW w:w="817" w:type="dxa"/>
            <w:shd w:val="clear" w:color="auto" w:fill="auto"/>
          </w:tcPr>
          <w:p w14:paraId="63E74DA3" w14:textId="4398F983" w:rsidR="0077567E" w:rsidRDefault="0077567E" w:rsidP="0077567E">
            <w:pPr>
              <w:tabs>
                <w:tab w:val="left" w:pos="426"/>
              </w:tabs>
              <w:jc w:val="both"/>
              <w:outlineLvl w:val="1"/>
            </w:pPr>
            <w:r>
              <w:t>6.1.5.</w:t>
            </w:r>
          </w:p>
        </w:tc>
        <w:tc>
          <w:tcPr>
            <w:tcW w:w="9072" w:type="dxa"/>
            <w:shd w:val="clear" w:color="auto" w:fill="auto"/>
          </w:tcPr>
          <w:p w14:paraId="3B9A63DF" w14:textId="61B039EB" w:rsidR="0077567E" w:rsidRDefault="0077567E" w:rsidP="0077567E">
            <w:pPr>
              <w:tabs>
                <w:tab w:val="left" w:pos="426"/>
              </w:tabs>
              <w:outlineLvl w:val="1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įvairūs kainodariniai sprendimai (pvz. „pirkinių krepšelio“ nuolaida, dinaminė kainodara); </w:t>
            </w:r>
          </w:p>
        </w:tc>
      </w:tr>
      <w:tr w:rsidR="0077567E" w:rsidRPr="003D4F6F" w14:paraId="6199E233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3FB00996" w14:textId="52CCE375" w:rsidR="0077567E" w:rsidRDefault="0077567E" w:rsidP="0077567E">
            <w:pPr>
              <w:tabs>
                <w:tab w:val="left" w:pos="426"/>
              </w:tabs>
              <w:jc w:val="both"/>
              <w:outlineLvl w:val="1"/>
            </w:pPr>
            <w:r>
              <w:t>6.2.</w:t>
            </w:r>
          </w:p>
        </w:tc>
        <w:tc>
          <w:tcPr>
            <w:tcW w:w="9072" w:type="dxa"/>
            <w:shd w:val="clear" w:color="auto" w:fill="auto"/>
          </w:tcPr>
          <w:p w14:paraId="5F6C8792" w14:textId="40AAC6A9" w:rsidR="0077567E" w:rsidRDefault="0077567E" w:rsidP="0077567E">
            <w:pPr>
              <w:tabs>
                <w:tab w:val="left" w:pos="426"/>
              </w:tabs>
              <w:outlineLvl w:val="1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Paslaugų tiekėjas privalo užtikrinti šioje techninėje specifikacijoje nepaminėtų sprendinių, kuriuos jis taiko savo bilietų platinimo sistemoje, taikymą ir pritaikymą Perkančiosios organizacijos bilietų platinimui netaikant jokių papildomų mokesčių.</w:t>
            </w:r>
          </w:p>
        </w:tc>
      </w:tr>
      <w:tr w:rsidR="0077567E" w:rsidRPr="003D4F6F" w14:paraId="65DB9776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787CF6CF" w14:textId="6861E549" w:rsidR="0077567E" w:rsidRDefault="0077567E" w:rsidP="0077567E">
            <w:pPr>
              <w:tabs>
                <w:tab w:val="left" w:pos="426"/>
              </w:tabs>
              <w:jc w:val="both"/>
              <w:outlineLvl w:val="1"/>
            </w:pPr>
            <w:r>
              <w:t>6.3.</w:t>
            </w:r>
          </w:p>
        </w:tc>
        <w:tc>
          <w:tcPr>
            <w:tcW w:w="9072" w:type="dxa"/>
            <w:shd w:val="clear" w:color="auto" w:fill="auto"/>
          </w:tcPr>
          <w:p w14:paraId="6D155144" w14:textId="7CE10B78" w:rsidR="0077567E" w:rsidRDefault="0077567E" w:rsidP="0077567E">
            <w:pPr>
              <w:tabs>
                <w:tab w:val="left" w:pos="426"/>
              </w:tabs>
              <w:outlineLvl w:val="1"/>
              <w:rPr>
                <w:rFonts w:eastAsia="Times New Roman"/>
                <w:sz w:val="23"/>
                <w:szCs w:val="23"/>
              </w:rPr>
            </w:pPr>
            <w:r w:rsidRPr="00B24B1B">
              <w:rPr>
                <w:rFonts w:eastAsia="Calibri" w:cs="Times New Roman"/>
                <w:lang w:eastAsia="lt-LT"/>
              </w:rPr>
              <w:t>Paslaugų t</w:t>
            </w:r>
            <w:r w:rsidR="00104B03">
              <w:rPr>
                <w:rFonts w:eastAsia="Calibri" w:cs="Times New Roman"/>
                <w:lang w:eastAsia="lt-LT"/>
              </w:rPr>
              <w:t>ie</w:t>
            </w:r>
            <w:r w:rsidRPr="00B24B1B">
              <w:rPr>
                <w:rFonts w:eastAsia="Calibri" w:cs="Times New Roman"/>
                <w:lang w:eastAsia="lt-LT"/>
              </w:rPr>
              <w:t xml:space="preserve">kėjas </w:t>
            </w:r>
            <w:r>
              <w:rPr>
                <w:rFonts w:eastAsia="Calibri" w:cs="Times New Roman"/>
                <w:lang w:eastAsia="lt-LT"/>
              </w:rPr>
              <w:t xml:space="preserve">įsipareigoja netaikyti </w:t>
            </w:r>
            <w:r w:rsidRPr="0075250E">
              <w:rPr>
                <w:rFonts w:eastAsia="Calibri" w:cs="Times New Roman"/>
                <w:lang w:eastAsia="lt-LT"/>
              </w:rPr>
              <w:t>bilieto rezervacijos mokesčio tuo atveju, jei  rinkodaros sprendimus administruoja ir įgyvendina patys Perkančiosios</w:t>
            </w:r>
            <w:r w:rsidRPr="00B24B1B">
              <w:rPr>
                <w:rFonts w:eastAsia="Calibri" w:cs="Times New Roman"/>
                <w:lang w:eastAsia="lt-LT"/>
              </w:rPr>
              <w:t xml:space="preserve"> organizacijos darbuotojai</w:t>
            </w:r>
            <w:r>
              <w:rPr>
                <w:color w:val="FF0000"/>
                <w:sz w:val="23"/>
                <w:szCs w:val="23"/>
              </w:rPr>
              <w:t xml:space="preserve">. </w:t>
            </w:r>
          </w:p>
        </w:tc>
      </w:tr>
      <w:tr w:rsidR="00854536" w:rsidRPr="003D4F6F" w14:paraId="67BB3199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3C5FAB14" w14:textId="01900DB1" w:rsidR="00854536" w:rsidRPr="00854536" w:rsidRDefault="00854536" w:rsidP="00854536">
            <w:pPr>
              <w:tabs>
                <w:tab w:val="left" w:pos="426"/>
              </w:tabs>
              <w:jc w:val="both"/>
              <w:outlineLvl w:val="1"/>
              <w:rPr>
                <w:b/>
                <w:bCs/>
              </w:rPr>
            </w:pPr>
            <w:r w:rsidRPr="00854536">
              <w:rPr>
                <w:b/>
                <w:bCs/>
              </w:rPr>
              <w:t xml:space="preserve">7. </w:t>
            </w:r>
          </w:p>
        </w:tc>
        <w:tc>
          <w:tcPr>
            <w:tcW w:w="9072" w:type="dxa"/>
            <w:shd w:val="clear" w:color="auto" w:fill="auto"/>
          </w:tcPr>
          <w:p w14:paraId="3D32FA5A" w14:textId="7588316A" w:rsidR="00854536" w:rsidRDefault="00854536" w:rsidP="00854536">
            <w:pPr>
              <w:tabs>
                <w:tab w:val="left" w:pos="426"/>
              </w:tabs>
              <w:outlineLvl w:val="1"/>
              <w:rPr>
                <w:rFonts w:eastAsia="Times New Roman"/>
                <w:sz w:val="23"/>
                <w:szCs w:val="23"/>
              </w:rPr>
            </w:pPr>
            <w:r w:rsidRPr="00CF4093">
              <w:rPr>
                <w:b/>
                <w:bCs/>
                <w:sz w:val="23"/>
                <w:szCs w:val="23"/>
              </w:rPr>
              <w:t>Reikalavimai bilietų platinimui ir įrangai patalpose</w:t>
            </w:r>
          </w:p>
        </w:tc>
      </w:tr>
      <w:tr w:rsidR="00854536" w:rsidRPr="003D4F6F" w14:paraId="11039887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5DA97D39" w14:textId="4049030E" w:rsidR="00854536" w:rsidRDefault="00854536" w:rsidP="00854536">
            <w:pPr>
              <w:tabs>
                <w:tab w:val="left" w:pos="426"/>
              </w:tabs>
              <w:jc w:val="both"/>
              <w:outlineLvl w:val="1"/>
            </w:pPr>
            <w:r>
              <w:t>7.1.</w:t>
            </w:r>
          </w:p>
        </w:tc>
        <w:tc>
          <w:tcPr>
            <w:tcW w:w="9072" w:type="dxa"/>
            <w:shd w:val="clear" w:color="auto" w:fill="auto"/>
          </w:tcPr>
          <w:p w14:paraId="4A35E79F" w14:textId="0F777740" w:rsidR="00854536" w:rsidRPr="00CF4093" w:rsidRDefault="00854536" w:rsidP="00854536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rFonts w:eastAsia="Times New Roman"/>
                <w:noProof/>
                <w:sz w:val="23"/>
                <w:szCs w:val="23"/>
              </w:rPr>
              <w:t xml:space="preserve">Paslaugų tiekėjas privalo užtikrinti, jog Perkančiosios organizacijos patalpose būtų įrengtas mažiausiai vienas kasos terminalas su nauja kompiuterine technika, darbui su bilietų platinimo sistema, </w:t>
            </w:r>
            <w:r w:rsidRPr="004B08AD">
              <w:rPr>
                <w:sz w:val="23"/>
                <w:szCs w:val="23"/>
              </w:rPr>
              <w:t>kurioje būtų įdiegta Windows ar lygiavertė operacinė sistema, kurią palaiko operacinės sistemos gamintojas.</w:t>
            </w:r>
          </w:p>
        </w:tc>
      </w:tr>
      <w:tr w:rsidR="00854536" w:rsidRPr="003D4F6F" w14:paraId="1A761308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566BAB68" w14:textId="625FDBFC" w:rsidR="00854536" w:rsidRDefault="00854536" w:rsidP="00854536">
            <w:pPr>
              <w:tabs>
                <w:tab w:val="left" w:pos="426"/>
              </w:tabs>
              <w:jc w:val="both"/>
              <w:outlineLvl w:val="1"/>
            </w:pPr>
            <w:r>
              <w:lastRenderedPageBreak/>
              <w:t>7.2.</w:t>
            </w:r>
          </w:p>
        </w:tc>
        <w:tc>
          <w:tcPr>
            <w:tcW w:w="9072" w:type="dxa"/>
            <w:shd w:val="clear" w:color="auto" w:fill="auto"/>
          </w:tcPr>
          <w:p w14:paraId="7B9B937D" w14:textId="36E84216" w:rsidR="00854536" w:rsidRPr="00CF4093" w:rsidRDefault="00854536" w:rsidP="00854536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sz w:val="23"/>
                <w:szCs w:val="23"/>
                <w:lang w:eastAsia="lt-LT"/>
              </w:rPr>
              <w:t>Paslaugų t</w:t>
            </w:r>
            <w:r>
              <w:rPr>
                <w:sz w:val="23"/>
                <w:szCs w:val="23"/>
                <w:lang w:eastAsia="lt-LT"/>
              </w:rPr>
              <w:t>ie</w:t>
            </w:r>
            <w:r w:rsidRPr="00CF4093">
              <w:rPr>
                <w:sz w:val="23"/>
                <w:szCs w:val="23"/>
                <w:lang w:eastAsia="lt-LT"/>
              </w:rPr>
              <w:t>kėjas administruoja kasos terminalą ir atsako už techninį kasos įrangos aptarnavimą. Sutrikus sistemos darbui, gedimai pašalinami nedelsiant, ne vėliau kaip per 24 val.</w:t>
            </w:r>
          </w:p>
        </w:tc>
      </w:tr>
      <w:tr w:rsidR="006D142D" w:rsidRPr="003D4F6F" w14:paraId="025F6124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27B645C6" w14:textId="2081B3B4" w:rsidR="006D142D" w:rsidRDefault="006D142D" w:rsidP="006D142D">
            <w:pPr>
              <w:tabs>
                <w:tab w:val="left" w:pos="426"/>
              </w:tabs>
              <w:jc w:val="both"/>
              <w:outlineLvl w:val="1"/>
            </w:pPr>
            <w:r>
              <w:t>7.</w:t>
            </w:r>
            <w:r w:rsidR="005F47F7">
              <w:t>3</w:t>
            </w:r>
            <w:r>
              <w:t>.</w:t>
            </w:r>
          </w:p>
        </w:tc>
        <w:tc>
          <w:tcPr>
            <w:tcW w:w="9072" w:type="dxa"/>
            <w:shd w:val="clear" w:color="auto" w:fill="auto"/>
          </w:tcPr>
          <w:p w14:paraId="169F8FE1" w14:textId="5E0BA100" w:rsidR="006D142D" w:rsidRPr="00CF4093" w:rsidRDefault="006D142D" w:rsidP="006D142D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rFonts w:eastAsia="Times New Roman"/>
                <w:sz w:val="23"/>
                <w:szCs w:val="23"/>
              </w:rPr>
              <w:t xml:space="preserve">Nemokamai suteikti Perkančiajai organizacijai ne mažiau kaip 2 </w:t>
            </w:r>
            <w:r>
              <w:rPr>
                <w:rFonts w:eastAsia="Times New Roman"/>
                <w:sz w:val="23"/>
                <w:szCs w:val="23"/>
              </w:rPr>
              <w:t xml:space="preserve">(du) </w:t>
            </w:r>
            <w:r w:rsidRPr="00CF4093">
              <w:rPr>
                <w:rFonts w:eastAsia="Times New Roman"/>
                <w:sz w:val="23"/>
                <w:szCs w:val="23"/>
              </w:rPr>
              <w:t xml:space="preserve">bilietų skenavimo įrenginius. </w:t>
            </w:r>
          </w:p>
        </w:tc>
      </w:tr>
      <w:tr w:rsidR="006D142D" w:rsidRPr="003D4F6F" w14:paraId="54FF2A22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63D05EE5" w14:textId="2D737E42" w:rsidR="006D142D" w:rsidRDefault="006D142D" w:rsidP="006D142D">
            <w:pPr>
              <w:tabs>
                <w:tab w:val="left" w:pos="426"/>
              </w:tabs>
              <w:jc w:val="both"/>
              <w:outlineLvl w:val="1"/>
            </w:pPr>
            <w:r>
              <w:t>7.</w:t>
            </w:r>
            <w:r w:rsidR="005F47F7">
              <w:t>4</w:t>
            </w:r>
            <w:r>
              <w:t>.</w:t>
            </w:r>
          </w:p>
        </w:tc>
        <w:tc>
          <w:tcPr>
            <w:tcW w:w="9072" w:type="dxa"/>
            <w:shd w:val="clear" w:color="auto" w:fill="auto"/>
          </w:tcPr>
          <w:p w14:paraId="4BD567E2" w14:textId="33496608" w:rsidR="006D142D" w:rsidRPr="00CF4093" w:rsidRDefault="006D142D" w:rsidP="006D142D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rFonts w:eastAsia="Times New Roman"/>
                <w:sz w:val="23"/>
                <w:szCs w:val="23"/>
              </w:rPr>
              <w:t>Užtikrinti galimybę vartotojams atsiskaityti už bilietus grynaisiais ir banko mokėjimo kortele – bilietų platinimo vietose ir kreditine kortele, per banką ir/ar kitos mokėjimo sistemos – perkant internetu.</w:t>
            </w:r>
            <w:r w:rsidRPr="00CF4093">
              <w:rPr>
                <w:rFonts w:eastAsia="Times New Roman"/>
                <w:noProof/>
                <w:sz w:val="23"/>
                <w:szCs w:val="23"/>
              </w:rPr>
              <w:t xml:space="preserve"> </w:t>
            </w:r>
          </w:p>
        </w:tc>
      </w:tr>
      <w:tr w:rsidR="006D142D" w:rsidRPr="003D4F6F" w14:paraId="289ECBDF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7375703E" w14:textId="4D993F24" w:rsidR="006D142D" w:rsidRDefault="006D142D" w:rsidP="006D142D">
            <w:pPr>
              <w:tabs>
                <w:tab w:val="left" w:pos="426"/>
              </w:tabs>
              <w:jc w:val="both"/>
              <w:outlineLvl w:val="1"/>
            </w:pPr>
            <w:r>
              <w:t>7.</w:t>
            </w:r>
            <w:r w:rsidR="005F47F7">
              <w:t>5</w:t>
            </w:r>
            <w:r>
              <w:t>.</w:t>
            </w:r>
          </w:p>
        </w:tc>
        <w:tc>
          <w:tcPr>
            <w:tcW w:w="9072" w:type="dxa"/>
            <w:shd w:val="clear" w:color="auto" w:fill="auto"/>
          </w:tcPr>
          <w:p w14:paraId="7B5FE345" w14:textId="21DC0192" w:rsidR="006D142D" w:rsidRPr="00CF4093" w:rsidRDefault="006D142D" w:rsidP="006D142D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rFonts w:eastAsia="Times New Roman"/>
                <w:sz w:val="23"/>
                <w:szCs w:val="23"/>
              </w:rPr>
              <w:t>Užtikrinti galimybę integruoti bilietų platintojo platformą į Perkančiosios organizacijos internetinę svetainę.</w:t>
            </w:r>
          </w:p>
        </w:tc>
      </w:tr>
      <w:tr w:rsidR="006D142D" w:rsidRPr="003D4F6F" w14:paraId="36F852A8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70292A89" w14:textId="0D85520C" w:rsidR="006D142D" w:rsidRDefault="006D142D" w:rsidP="006D142D">
            <w:pPr>
              <w:tabs>
                <w:tab w:val="left" w:pos="426"/>
              </w:tabs>
              <w:jc w:val="both"/>
              <w:outlineLvl w:val="1"/>
            </w:pPr>
            <w:r>
              <w:t>7.</w:t>
            </w:r>
            <w:r w:rsidR="005F47F7">
              <w:t>6</w:t>
            </w:r>
            <w:r>
              <w:t>.</w:t>
            </w:r>
          </w:p>
        </w:tc>
        <w:tc>
          <w:tcPr>
            <w:tcW w:w="9072" w:type="dxa"/>
            <w:shd w:val="clear" w:color="auto" w:fill="auto"/>
          </w:tcPr>
          <w:p w14:paraId="7651B0CB" w14:textId="05D1F948" w:rsidR="006D142D" w:rsidRPr="00CF4093" w:rsidRDefault="006D142D" w:rsidP="006D142D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rFonts w:eastAsia="Times New Roman"/>
                <w:sz w:val="23"/>
                <w:szCs w:val="23"/>
              </w:rPr>
              <w:t>Atšaukus renginį ar pasikeitus renginio datai, Paslaugų t</w:t>
            </w:r>
            <w:r w:rsidR="00104B03">
              <w:rPr>
                <w:rFonts w:eastAsia="Times New Roman"/>
                <w:sz w:val="23"/>
                <w:szCs w:val="23"/>
              </w:rPr>
              <w:t>ie</w:t>
            </w:r>
            <w:r w:rsidRPr="00CF4093">
              <w:rPr>
                <w:rFonts w:eastAsia="Times New Roman"/>
                <w:sz w:val="23"/>
                <w:szCs w:val="23"/>
              </w:rPr>
              <w:t>kėjas turi užtikrinti galimybę informuoti bilietų pirkėjus netaikant jokių papildomų mokesčių šiais būdais: el. laišku ir/ar SMS žinute.</w:t>
            </w:r>
          </w:p>
        </w:tc>
      </w:tr>
      <w:tr w:rsidR="00DA22DE" w:rsidRPr="003D4F6F" w14:paraId="4EF3134C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70D08EDD" w14:textId="17F4B814" w:rsidR="00DA22DE" w:rsidRDefault="00DA22DE" w:rsidP="00DA22DE">
            <w:pPr>
              <w:tabs>
                <w:tab w:val="left" w:pos="426"/>
              </w:tabs>
              <w:jc w:val="both"/>
              <w:outlineLvl w:val="1"/>
            </w:pPr>
            <w:r>
              <w:t xml:space="preserve">8. </w:t>
            </w:r>
          </w:p>
        </w:tc>
        <w:tc>
          <w:tcPr>
            <w:tcW w:w="9072" w:type="dxa"/>
            <w:shd w:val="clear" w:color="auto" w:fill="auto"/>
          </w:tcPr>
          <w:p w14:paraId="0C05A0B6" w14:textId="78E16324" w:rsidR="00DA22DE" w:rsidRPr="00CF4093" w:rsidRDefault="00DA22DE" w:rsidP="00DA22DE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rFonts w:eastAsia="Times New Roman"/>
                <w:b/>
                <w:sz w:val="23"/>
                <w:szCs w:val="23"/>
              </w:rPr>
              <w:t>Reikalavimai Perkančiosios Organizacijos reklamai:</w:t>
            </w:r>
          </w:p>
        </w:tc>
      </w:tr>
      <w:tr w:rsidR="00DA22DE" w:rsidRPr="003D4F6F" w14:paraId="1110696E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2B0B38D9" w14:textId="00831B5A" w:rsidR="00DA22DE" w:rsidRDefault="00DA22DE" w:rsidP="00DA22DE">
            <w:pPr>
              <w:tabs>
                <w:tab w:val="left" w:pos="426"/>
              </w:tabs>
              <w:jc w:val="both"/>
              <w:outlineLvl w:val="1"/>
            </w:pPr>
            <w:r>
              <w:t>8.1.</w:t>
            </w:r>
          </w:p>
        </w:tc>
        <w:tc>
          <w:tcPr>
            <w:tcW w:w="9072" w:type="dxa"/>
            <w:shd w:val="clear" w:color="auto" w:fill="auto"/>
          </w:tcPr>
          <w:p w14:paraId="6890AB81" w14:textId="0CC58431" w:rsidR="00DA22DE" w:rsidRPr="00CF4093" w:rsidRDefault="00575349" w:rsidP="00DA22DE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F5330E">
              <w:rPr>
                <w:rFonts w:eastAsia="Calibri" w:cs="Times New Roman"/>
                <w:lang w:eastAsia="lt-LT"/>
              </w:rPr>
              <w:t>Paslaugų t</w:t>
            </w:r>
            <w:r w:rsidR="00104B03">
              <w:rPr>
                <w:rFonts w:eastAsia="Calibri" w:cs="Times New Roman"/>
                <w:lang w:eastAsia="lt-LT"/>
              </w:rPr>
              <w:t>ie</w:t>
            </w:r>
            <w:r w:rsidRPr="00F5330E">
              <w:rPr>
                <w:rFonts w:eastAsia="Calibri" w:cs="Times New Roman"/>
                <w:lang w:eastAsia="lt-LT"/>
              </w:rPr>
              <w:t>kėjas privalo užtikrinti Perkančiosios organizacijos renginių vaizdinės ir spausdintinės reklamos sklaidą Paslaugų t</w:t>
            </w:r>
            <w:r w:rsidR="00104B03">
              <w:rPr>
                <w:rFonts w:eastAsia="Calibri" w:cs="Times New Roman"/>
                <w:lang w:eastAsia="lt-LT"/>
              </w:rPr>
              <w:t>ie</w:t>
            </w:r>
            <w:r w:rsidRPr="00F5330E">
              <w:rPr>
                <w:rFonts w:eastAsia="Calibri" w:cs="Times New Roman"/>
                <w:lang w:eastAsia="lt-LT"/>
              </w:rPr>
              <w:t>kėjo kaso</w:t>
            </w:r>
            <w:r>
              <w:rPr>
                <w:rFonts w:eastAsia="Calibri" w:cs="Times New Roman"/>
                <w:lang w:eastAsia="lt-LT"/>
              </w:rPr>
              <w:t>je</w:t>
            </w:r>
            <w:r w:rsidRPr="00F5330E">
              <w:rPr>
                <w:rFonts w:eastAsia="Calibri" w:cs="Times New Roman"/>
                <w:lang w:eastAsia="lt-LT"/>
              </w:rPr>
              <w:t xml:space="preserve">, ant elektroninių ir spausdintų bilietų, savo internetiniuose bilietų platinimo kanaluose (pagrindiniame </w:t>
            </w:r>
            <w:r>
              <w:rPr>
                <w:rFonts w:eastAsia="Calibri" w:cs="Times New Roman"/>
                <w:lang w:eastAsia="lt-LT"/>
              </w:rPr>
              <w:t>interneto portale</w:t>
            </w:r>
            <w:r w:rsidRPr="00F5330E">
              <w:rPr>
                <w:rFonts w:eastAsia="Calibri" w:cs="Times New Roman"/>
                <w:lang w:eastAsia="lt-LT"/>
              </w:rPr>
              <w:t>, specializuotuose tinklapiuose ir kt. – t.y. visuose jo valdomuose kanaluose), savo socialinių tinklų paskyrose, naujienlaiškiuose netaikant jokių papildomų mokesčių</w:t>
            </w:r>
          </w:p>
        </w:tc>
      </w:tr>
      <w:tr w:rsidR="00DA22DE" w:rsidRPr="003D4F6F" w14:paraId="02E45278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057FF748" w14:textId="29615B9A" w:rsidR="00DA22DE" w:rsidRDefault="00DA22DE" w:rsidP="00DA22DE">
            <w:pPr>
              <w:tabs>
                <w:tab w:val="left" w:pos="426"/>
              </w:tabs>
              <w:jc w:val="both"/>
              <w:outlineLvl w:val="1"/>
            </w:pPr>
            <w:r>
              <w:t>8.2.</w:t>
            </w:r>
          </w:p>
        </w:tc>
        <w:tc>
          <w:tcPr>
            <w:tcW w:w="9072" w:type="dxa"/>
            <w:shd w:val="clear" w:color="auto" w:fill="auto"/>
          </w:tcPr>
          <w:p w14:paraId="193E3783" w14:textId="552BA66C" w:rsidR="00DA22DE" w:rsidRPr="00901DB1" w:rsidRDefault="00DA22DE" w:rsidP="00DA22DE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2C1446">
              <w:rPr>
                <w:sz w:val="23"/>
                <w:szCs w:val="23"/>
              </w:rPr>
              <w:t>Išskiriami reklaminiai plotai</w:t>
            </w:r>
            <w:r w:rsidRPr="00901DB1">
              <w:rPr>
                <w:sz w:val="23"/>
                <w:szCs w:val="23"/>
              </w:rPr>
              <w:t xml:space="preserve"> bilietų platintojo internetiniame puslapyje ir kitose valdomose platformose:</w:t>
            </w:r>
          </w:p>
        </w:tc>
      </w:tr>
      <w:tr w:rsidR="00DA22DE" w:rsidRPr="003D4F6F" w14:paraId="29C9F688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2E9FEFED" w14:textId="229EA8F3" w:rsidR="00DA22DE" w:rsidRDefault="00DA22DE" w:rsidP="00DA22DE">
            <w:pPr>
              <w:tabs>
                <w:tab w:val="left" w:pos="426"/>
              </w:tabs>
              <w:jc w:val="both"/>
              <w:outlineLvl w:val="1"/>
            </w:pPr>
            <w:r>
              <w:t>8.</w:t>
            </w:r>
            <w:r w:rsidR="00A73235">
              <w:t>2.1.</w:t>
            </w:r>
          </w:p>
        </w:tc>
        <w:tc>
          <w:tcPr>
            <w:tcW w:w="9072" w:type="dxa"/>
            <w:shd w:val="clear" w:color="auto" w:fill="auto"/>
          </w:tcPr>
          <w:p w14:paraId="48C43249" w14:textId="38A3A241" w:rsidR="00DA22DE" w:rsidRPr="005F47F7" w:rsidRDefault="00DA22DE" w:rsidP="00DA22DE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5F47F7">
              <w:rPr>
                <w:sz w:val="23"/>
                <w:szCs w:val="23"/>
              </w:rPr>
              <w:t>Reklaminis baneris (head) Paslaugų t</w:t>
            </w:r>
            <w:r w:rsidR="00104B03" w:rsidRPr="005F47F7">
              <w:rPr>
                <w:sz w:val="23"/>
                <w:szCs w:val="23"/>
              </w:rPr>
              <w:t>ie</w:t>
            </w:r>
            <w:r w:rsidRPr="005F47F7">
              <w:rPr>
                <w:sz w:val="23"/>
                <w:szCs w:val="23"/>
              </w:rPr>
              <w:t xml:space="preserve">kėjo valdomame tituliniame interneto portalo puslapyje pagrindinėje pozicijoje, mažiausiai 15 (penkiolika) savaičių per metus. </w:t>
            </w:r>
          </w:p>
        </w:tc>
      </w:tr>
      <w:tr w:rsidR="00DA22DE" w:rsidRPr="003D4F6F" w14:paraId="189B68A6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2926D6FA" w14:textId="32A0ED49" w:rsidR="00DA22DE" w:rsidRDefault="00DA22DE" w:rsidP="00DA22DE">
            <w:pPr>
              <w:tabs>
                <w:tab w:val="left" w:pos="426"/>
              </w:tabs>
              <w:jc w:val="both"/>
              <w:outlineLvl w:val="1"/>
            </w:pPr>
            <w:r>
              <w:t>8.</w:t>
            </w:r>
            <w:r w:rsidR="00A73235">
              <w:t>2.2.</w:t>
            </w:r>
          </w:p>
        </w:tc>
        <w:tc>
          <w:tcPr>
            <w:tcW w:w="9072" w:type="dxa"/>
            <w:shd w:val="clear" w:color="auto" w:fill="auto"/>
          </w:tcPr>
          <w:p w14:paraId="521206CB" w14:textId="53731CCC" w:rsidR="00DA22DE" w:rsidRPr="005F47F7" w:rsidRDefault="00DA22DE" w:rsidP="00DA22DE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5F47F7">
              <w:rPr>
                <w:sz w:val="23"/>
                <w:szCs w:val="23"/>
              </w:rPr>
              <w:t>Iššokantys reklaminiai skydeliai (pop-up</w:t>
            </w:r>
            <w:r w:rsidR="00DC5669" w:rsidRPr="005F47F7">
              <w:rPr>
                <w:sz w:val="23"/>
                <w:szCs w:val="23"/>
              </w:rPr>
              <w:t>/</w:t>
            </w:r>
            <w:r w:rsidR="00F9289E" w:rsidRPr="005F47F7">
              <w:rPr>
                <w:sz w:val="23"/>
                <w:szCs w:val="23"/>
              </w:rPr>
              <w:t>p</w:t>
            </w:r>
            <w:r w:rsidR="00DC5669" w:rsidRPr="005F47F7">
              <w:rPr>
                <w:sz w:val="23"/>
                <w:szCs w:val="23"/>
              </w:rPr>
              <w:t>op-under</w:t>
            </w:r>
            <w:r w:rsidRPr="005F47F7">
              <w:rPr>
                <w:sz w:val="23"/>
                <w:szCs w:val="23"/>
              </w:rPr>
              <w:t>)</w:t>
            </w:r>
            <w:r w:rsidR="004267EB" w:rsidRPr="005F47F7">
              <w:rPr>
                <w:color w:val="FF0000"/>
                <w:sz w:val="23"/>
                <w:szCs w:val="23"/>
              </w:rPr>
              <w:t xml:space="preserve"> </w:t>
            </w:r>
            <w:r w:rsidRPr="005F47F7">
              <w:rPr>
                <w:sz w:val="23"/>
                <w:szCs w:val="23"/>
              </w:rPr>
              <w:t>pagrindiniame internetiniame puslapyje mažiausiai 12 (dvylika) savaičių per metus;</w:t>
            </w:r>
            <w:r w:rsidRPr="005F47F7">
              <w:rPr>
                <w:i/>
                <w:sz w:val="23"/>
                <w:szCs w:val="23"/>
              </w:rPr>
              <w:t xml:space="preserve"> </w:t>
            </w:r>
          </w:p>
        </w:tc>
      </w:tr>
      <w:tr w:rsidR="00DA22DE" w:rsidRPr="003D4F6F" w14:paraId="546B9547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1C5E8C6E" w14:textId="22281908" w:rsidR="00DA22DE" w:rsidRDefault="00DA22DE" w:rsidP="00DA22DE">
            <w:pPr>
              <w:tabs>
                <w:tab w:val="left" w:pos="426"/>
              </w:tabs>
              <w:jc w:val="both"/>
              <w:outlineLvl w:val="1"/>
            </w:pPr>
            <w:r>
              <w:t>8.</w:t>
            </w:r>
            <w:r w:rsidR="00A73235">
              <w:t>2.3.</w:t>
            </w:r>
          </w:p>
        </w:tc>
        <w:tc>
          <w:tcPr>
            <w:tcW w:w="9072" w:type="dxa"/>
            <w:shd w:val="clear" w:color="auto" w:fill="auto"/>
          </w:tcPr>
          <w:p w14:paraId="723E2057" w14:textId="0322A0A8" w:rsidR="00DA22DE" w:rsidRPr="005F47F7" w:rsidRDefault="00DA22DE" w:rsidP="00DA22DE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5F47F7">
              <w:rPr>
                <w:sz w:val="23"/>
                <w:szCs w:val="23"/>
              </w:rPr>
              <w:t>Reklaminis baneris (head) Paslaugų t</w:t>
            </w:r>
            <w:r w:rsidR="00104B03" w:rsidRPr="005F47F7">
              <w:rPr>
                <w:sz w:val="23"/>
                <w:szCs w:val="23"/>
              </w:rPr>
              <w:t>ie</w:t>
            </w:r>
            <w:r w:rsidRPr="005F47F7">
              <w:rPr>
                <w:sz w:val="23"/>
                <w:szCs w:val="23"/>
              </w:rPr>
              <w:t xml:space="preserve">kėjo valdomame tituliniame interneto portalo </w:t>
            </w:r>
            <w:r w:rsidR="001A5B58" w:rsidRPr="005F47F7">
              <w:rPr>
                <w:sz w:val="23"/>
                <w:szCs w:val="23"/>
                <w:u w:val="single"/>
              </w:rPr>
              <w:t>teatro</w:t>
            </w:r>
            <w:r w:rsidR="001A5B58" w:rsidRPr="005F47F7">
              <w:rPr>
                <w:sz w:val="23"/>
                <w:szCs w:val="23"/>
              </w:rPr>
              <w:t xml:space="preserve"> </w:t>
            </w:r>
            <w:r w:rsidRPr="005F47F7">
              <w:rPr>
                <w:sz w:val="23"/>
                <w:szCs w:val="23"/>
              </w:rPr>
              <w:t>rubrikos puslapyje pagrindinėje pozicijoje, mažiausiai 20 (dvidešimt) savaičių per metus.</w:t>
            </w:r>
          </w:p>
        </w:tc>
      </w:tr>
      <w:tr w:rsidR="00DA22DE" w:rsidRPr="003D4F6F" w14:paraId="0A5841F9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37A29CF9" w14:textId="1CE041E3" w:rsidR="00DA22DE" w:rsidRDefault="00DA22DE" w:rsidP="00DA22DE">
            <w:pPr>
              <w:tabs>
                <w:tab w:val="left" w:pos="426"/>
              </w:tabs>
              <w:jc w:val="both"/>
              <w:outlineLvl w:val="1"/>
            </w:pPr>
            <w:r>
              <w:t>8.</w:t>
            </w:r>
            <w:r w:rsidR="00A73235">
              <w:t>2.4.</w:t>
            </w:r>
          </w:p>
        </w:tc>
        <w:tc>
          <w:tcPr>
            <w:tcW w:w="9072" w:type="dxa"/>
            <w:shd w:val="clear" w:color="auto" w:fill="auto"/>
          </w:tcPr>
          <w:p w14:paraId="746CBB3E" w14:textId="1BDB60B2" w:rsidR="00DA22DE" w:rsidRPr="005F47F7" w:rsidRDefault="00DA22DE" w:rsidP="00DA22DE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5F47F7">
              <w:rPr>
                <w:sz w:val="23"/>
                <w:szCs w:val="23"/>
              </w:rPr>
              <w:t>Suteik</w:t>
            </w:r>
            <w:r w:rsidR="001A5B58" w:rsidRPr="005F47F7">
              <w:rPr>
                <w:sz w:val="23"/>
                <w:szCs w:val="23"/>
              </w:rPr>
              <w:t>ti</w:t>
            </w:r>
            <w:r w:rsidRPr="005F47F7">
              <w:rPr>
                <w:sz w:val="23"/>
                <w:szCs w:val="23"/>
              </w:rPr>
              <w:t xml:space="preserve"> kit</w:t>
            </w:r>
            <w:r w:rsidR="001A5B58" w:rsidRPr="005F47F7">
              <w:rPr>
                <w:sz w:val="23"/>
                <w:szCs w:val="23"/>
              </w:rPr>
              <w:t>as</w:t>
            </w:r>
            <w:r w:rsidR="000B52E4" w:rsidRPr="005F47F7">
              <w:rPr>
                <w:sz w:val="23"/>
                <w:szCs w:val="23"/>
              </w:rPr>
              <w:t xml:space="preserve"> </w:t>
            </w:r>
            <w:r w:rsidRPr="005F47F7">
              <w:rPr>
                <w:sz w:val="23"/>
                <w:szCs w:val="23"/>
              </w:rPr>
              <w:t>Paslaugų t</w:t>
            </w:r>
            <w:r w:rsidR="00104B03" w:rsidRPr="005F47F7">
              <w:rPr>
                <w:sz w:val="23"/>
                <w:szCs w:val="23"/>
              </w:rPr>
              <w:t>ie</w:t>
            </w:r>
            <w:r w:rsidRPr="005F47F7">
              <w:rPr>
                <w:sz w:val="23"/>
                <w:szCs w:val="23"/>
              </w:rPr>
              <w:t>kėjo reklamin</w:t>
            </w:r>
            <w:r w:rsidR="001A5B58" w:rsidRPr="005F47F7">
              <w:rPr>
                <w:sz w:val="23"/>
                <w:szCs w:val="23"/>
              </w:rPr>
              <w:t>e</w:t>
            </w:r>
            <w:r w:rsidRPr="005F47F7">
              <w:rPr>
                <w:sz w:val="23"/>
                <w:szCs w:val="23"/>
              </w:rPr>
              <w:t>s pozicij</w:t>
            </w:r>
            <w:r w:rsidR="001A5B58" w:rsidRPr="005F47F7">
              <w:rPr>
                <w:sz w:val="23"/>
                <w:szCs w:val="23"/>
              </w:rPr>
              <w:t>a</w:t>
            </w:r>
            <w:r w:rsidRPr="005F47F7">
              <w:rPr>
                <w:sz w:val="23"/>
                <w:szCs w:val="23"/>
              </w:rPr>
              <w:t xml:space="preserve">s </w:t>
            </w:r>
            <w:r w:rsidR="00F9289E" w:rsidRPr="005F47F7">
              <w:rPr>
                <w:sz w:val="23"/>
                <w:szCs w:val="23"/>
              </w:rPr>
              <w:t xml:space="preserve">valdomame interneto portalo puslapyje </w:t>
            </w:r>
            <w:r w:rsidRPr="005F47F7">
              <w:rPr>
                <w:sz w:val="23"/>
                <w:szCs w:val="23"/>
              </w:rPr>
              <w:t xml:space="preserve">pagal esamą poreikį (pvz. bėganti eilutė). </w:t>
            </w:r>
          </w:p>
        </w:tc>
      </w:tr>
      <w:tr w:rsidR="00DA22DE" w:rsidRPr="003D4F6F" w14:paraId="145AEE9E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5C7A34E3" w14:textId="574AB153" w:rsidR="00DA22DE" w:rsidRDefault="00DA22DE" w:rsidP="00DA22DE">
            <w:pPr>
              <w:tabs>
                <w:tab w:val="left" w:pos="426"/>
              </w:tabs>
              <w:jc w:val="both"/>
              <w:outlineLvl w:val="1"/>
            </w:pPr>
            <w:r>
              <w:t>8.</w:t>
            </w:r>
            <w:r w:rsidR="00A73235">
              <w:t>3.</w:t>
            </w:r>
          </w:p>
        </w:tc>
        <w:tc>
          <w:tcPr>
            <w:tcW w:w="9072" w:type="dxa"/>
            <w:shd w:val="clear" w:color="auto" w:fill="auto"/>
          </w:tcPr>
          <w:p w14:paraId="574BDC9A" w14:textId="21EFE7BF" w:rsidR="00DA22DE" w:rsidRPr="005F47F7" w:rsidRDefault="00DA22DE" w:rsidP="00DA22DE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5F47F7">
              <w:rPr>
                <w:sz w:val="23"/>
                <w:szCs w:val="23"/>
              </w:rPr>
              <w:t>Paslaugų t</w:t>
            </w:r>
            <w:r w:rsidR="00104B03" w:rsidRPr="005F47F7">
              <w:rPr>
                <w:sz w:val="23"/>
                <w:szCs w:val="23"/>
              </w:rPr>
              <w:t>ie</w:t>
            </w:r>
            <w:r w:rsidRPr="005F47F7">
              <w:rPr>
                <w:sz w:val="23"/>
                <w:szCs w:val="23"/>
              </w:rPr>
              <w:t>kėjas turi turėti galimybę siųsti naujienlaiškius segmentuojant vartotojus mažiausiai 12 (dvylika) kartų per metus.</w:t>
            </w:r>
          </w:p>
        </w:tc>
      </w:tr>
      <w:tr w:rsidR="00DA22DE" w:rsidRPr="003D4F6F" w14:paraId="2667C023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36CDD01D" w14:textId="5B456C53" w:rsidR="00DA22DE" w:rsidRDefault="00DA22DE" w:rsidP="00DA22DE">
            <w:pPr>
              <w:tabs>
                <w:tab w:val="left" w:pos="426"/>
              </w:tabs>
              <w:jc w:val="both"/>
              <w:outlineLvl w:val="1"/>
            </w:pPr>
            <w:r>
              <w:t>8.</w:t>
            </w:r>
            <w:r w:rsidR="00A73235">
              <w:t>4</w:t>
            </w:r>
            <w:r>
              <w:t>.</w:t>
            </w:r>
          </w:p>
        </w:tc>
        <w:tc>
          <w:tcPr>
            <w:tcW w:w="9072" w:type="dxa"/>
            <w:shd w:val="clear" w:color="auto" w:fill="auto"/>
          </w:tcPr>
          <w:p w14:paraId="10B5B830" w14:textId="2AB210D5" w:rsidR="00DA22DE" w:rsidRPr="005F47F7" w:rsidRDefault="00DA22DE" w:rsidP="00DA22DE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5F47F7">
              <w:rPr>
                <w:sz w:val="23"/>
                <w:szCs w:val="23"/>
              </w:rPr>
              <w:t>Paslaugų t</w:t>
            </w:r>
            <w:r w:rsidR="00104B03" w:rsidRPr="005F47F7">
              <w:rPr>
                <w:sz w:val="23"/>
                <w:szCs w:val="23"/>
              </w:rPr>
              <w:t>ie</w:t>
            </w:r>
            <w:r w:rsidRPr="005F47F7">
              <w:rPr>
                <w:sz w:val="23"/>
                <w:szCs w:val="23"/>
              </w:rPr>
              <w:t>kėjas turi turėti galimybę išskirti vietą reklamai ir pranešimams (</w:t>
            </w:r>
            <w:r w:rsidRPr="005F47F7">
              <w:rPr>
                <w:i/>
                <w:iCs/>
                <w:sz w:val="23"/>
                <w:szCs w:val="23"/>
              </w:rPr>
              <w:t>newsfeed ir story</w:t>
            </w:r>
            <w:r w:rsidRPr="005F47F7">
              <w:rPr>
                <w:sz w:val="23"/>
                <w:szCs w:val="23"/>
              </w:rPr>
              <w:t>) savo valdomuose socialini</w:t>
            </w:r>
            <w:r w:rsidR="001A5B58" w:rsidRPr="005F47F7">
              <w:rPr>
                <w:sz w:val="23"/>
                <w:szCs w:val="23"/>
              </w:rPr>
              <w:t>o</w:t>
            </w:r>
            <w:r w:rsidRPr="005F47F7">
              <w:rPr>
                <w:sz w:val="23"/>
                <w:szCs w:val="23"/>
              </w:rPr>
              <w:t xml:space="preserve"> tinkl</w:t>
            </w:r>
            <w:r w:rsidR="001A5B58" w:rsidRPr="005F47F7">
              <w:rPr>
                <w:sz w:val="23"/>
                <w:szCs w:val="23"/>
              </w:rPr>
              <w:t>o Facebook</w:t>
            </w:r>
            <w:r w:rsidRPr="005F47F7">
              <w:rPr>
                <w:sz w:val="23"/>
                <w:szCs w:val="23"/>
              </w:rPr>
              <w:t xml:space="preserve"> paskyro</w:t>
            </w:r>
            <w:r w:rsidR="001A5B58" w:rsidRPr="005F47F7">
              <w:rPr>
                <w:sz w:val="23"/>
                <w:szCs w:val="23"/>
              </w:rPr>
              <w:t>j</w:t>
            </w:r>
            <w:r w:rsidRPr="005F47F7">
              <w:rPr>
                <w:sz w:val="23"/>
                <w:szCs w:val="23"/>
              </w:rPr>
              <w:t xml:space="preserve">e mažiausiai </w:t>
            </w:r>
            <w:r w:rsidR="009B360C" w:rsidRPr="005F47F7">
              <w:rPr>
                <w:sz w:val="23"/>
                <w:szCs w:val="23"/>
              </w:rPr>
              <w:t>40</w:t>
            </w:r>
            <w:r w:rsidRPr="005F47F7">
              <w:rPr>
                <w:sz w:val="23"/>
                <w:szCs w:val="23"/>
              </w:rPr>
              <w:t xml:space="preserve"> (</w:t>
            </w:r>
            <w:r w:rsidR="009B360C" w:rsidRPr="005F47F7">
              <w:rPr>
                <w:sz w:val="23"/>
                <w:szCs w:val="23"/>
              </w:rPr>
              <w:t>keturias</w:t>
            </w:r>
            <w:r w:rsidRPr="005F47F7">
              <w:rPr>
                <w:sz w:val="23"/>
                <w:szCs w:val="23"/>
              </w:rPr>
              <w:t xml:space="preserve">dešimt) kartų per metus. </w:t>
            </w:r>
          </w:p>
        </w:tc>
      </w:tr>
      <w:tr w:rsidR="001A5B58" w:rsidRPr="003D4F6F" w14:paraId="06E4E9D3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0DD39E64" w14:textId="4C0E4A4E" w:rsidR="001A5B58" w:rsidRDefault="001A5B58" w:rsidP="00DA22DE">
            <w:pPr>
              <w:tabs>
                <w:tab w:val="left" w:pos="426"/>
              </w:tabs>
              <w:jc w:val="both"/>
              <w:outlineLvl w:val="1"/>
            </w:pPr>
            <w:r>
              <w:t>8.5.</w:t>
            </w:r>
          </w:p>
        </w:tc>
        <w:tc>
          <w:tcPr>
            <w:tcW w:w="9072" w:type="dxa"/>
            <w:shd w:val="clear" w:color="auto" w:fill="auto"/>
          </w:tcPr>
          <w:p w14:paraId="0A7007B9" w14:textId="71768E21" w:rsidR="001A5B58" w:rsidRPr="005F47F7" w:rsidRDefault="001A5B58" w:rsidP="00DA22DE">
            <w:pPr>
              <w:tabs>
                <w:tab w:val="left" w:pos="426"/>
              </w:tabs>
              <w:outlineLvl w:val="1"/>
              <w:rPr>
                <w:sz w:val="23"/>
                <w:szCs w:val="23"/>
              </w:rPr>
            </w:pPr>
            <w:r w:rsidRPr="005F47F7">
              <w:rPr>
                <w:sz w:val="23"/>
                <w:szCs w:val="23"/>
              </w:rPr>
              <w:t>Paslaugų tiekėjas turi turėti galimybę išskirti vietą reklamai ir pranešimams (</w:t>
            </w:r>
            <w:r w:rsidRPr="005F47F7">
              <w:rPr>
                <w:i/>
                <w:iCs/>
                <w:sz w:val="23"/>
                <w:szCs w:val="23"/>
              </w:rPr>
              <w:t>feed ir story</w:t>
            </w:r>
            <w:r w:rsidRPr="005F47F7">
              <w:rPr>
                <w:sz w:val="23"/>
                <w:szCs w:val="23"/>
              </w:rPr>
              <w:t xml:space="preserve">) savo valdomuose socialinio tinklo Instagram paskyroje mažiausiai </w:t>
            </w:r>
            <w:r w:rsidR="009B360C" w:rsidRPr="005F47F7">
              <w:rPr>
                <w:sz w:val="23"/>
                <w:szCs w:val="23"/>
              </w:rPr>
              <w:t>40</w:t>
            </w:r>
            <w:r w:rsidRPr="005F47F7">
              <w:rPr>
                <w:sz w:val="23"/>
                <w:szCs w:val="23"/>
              </w:rPr>
              <w:t xml:space="preserve"> (</w:t>
            </w:r>
            <w:r w:rsidR="009B360C" w:rsidRPr="005F47F7">
              <w:rPr>
                <w:sz w:val="23"/>
                <w:szCs w:val="23"/>
              </w:rPr>
              <w:t>keturias</w:t>
            </w:r>
            <w:r w:rsidRPr="005F47F7">
              <w:rPr>
                <w:sz w:val="23"/>
                <w:szCs w:val="23"/>
              </w:rPr>
              <w:t>dešimt) kartų per metus.</w:t>
            </w:r>
          </w:p>
        </w:tc>
      </w:tr>
      <w:tr w:rsidR="00DA22DE" w:rsidRPr="003D4F6F" w14:paraId="199B388C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61F8247B" w14:textId="6C6995D0" w:rsidR="00DA22DE" w:rsidRDefault="00DA22DE" w:rsidP="00DA22DE">
            <w:pPr>
              <w:tabs>
                <w:tab w:val="left" w:pos="426"/>
              </w:tabs>
              <w:jc w:val="both"/>
              <w:outlineLvl w:val="1"/>
            </w:pPr>
            <w:r>
              <w:t>8.</w:t>
            </w:r>
            <w:r w:rsidR="009B360C">
              <w:t>6</w:t>
            </w:r>
          </w:p>
        </w:tc>
        <w:tc>
          <w:tcPr>
            <w:tcW w:w="9072" w:type="dxa"/>
            <w:shd w:val="clear" w:color="auto" w:fill="auto"/>
          </w:tcPr>
          <w:p w14:paraId="079C7E05" w14:textId="454392BC" w:rsidR="00DA22DE" w:rsidRPr="005F47F7" w:rsidRDefault="00DA22DE" w:rsidP="00DA22DE">
            <w:pPr>
              <w:tabs>
                <w:tab w:val="left" w:pos="426"/>
              </w:tabs>
              <w:outlineLvl w:val="1"/>
              <w:rPr>
                <w:sz w:val="23"/>
                <w:szCs w:val="23"/>
              </w:rPr>
            </w:pPr>
            <w:r w:rsidRPr="005F47F7">
              <w:rPr>
                <w:sz w:val="23"/>
                <w:szCs w:val="23"/>
              </w:rPr>
              <w:t xml:space="preserve">Rėmėjų ar svarbiausios anonsinės informacijos pateikimas elektroniniuose bilietuose mažiausiai 10 </w:t>
            </w:r>
            <w:r w:rsidR="007C1652" w:rsidRPr="005F47F7">
              <w:rPr>
                <w:sz w:val="23"/>
                <w:szCs w:val="23"/>
              </w:rPr>
              <w:t xml:space="preserve">(dešimt) </w:t>
            </w:r>
            <w:r w:rsidRPr="005F47F7">
              <w:rPr>
                <w:sz w:val="23"/>
                <w:szCs w:val="23"/>
              </w:rPr>
              <w:t>mėnesių per metus.</w:t>
            </w:r>
            <w:r w:rsidRPr="005F47F7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</w:tr>
      <w:tr w:rsidR="00DA22DE" w:rsidRPr="003D4F6F" w14:paraId="269551C2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025A6E76" w14:textId="4581ACBF" w:rsidR="00DA22DE" w:rsidRDefault="00634C06" w:rsidP="00DA22DE">
            <w:pPr>
              <w:tabs>
                <w:tab w:val="left" w:pos="426"/>
              </w:tabs>
              <w:jc w:val="both"/>
              <w:outlineLvl w:val="1"/>
            </w:pPr>
            <w:r>
              <w:t>8.</w:t>
            </w:r>
            <w:r w:rsidR="009B360C">
              <w:t>7</w:t>
            </w:r>
          </w:p>
        </w:tc>
        <w:tc>
          <w:tcPr>
            <w:tcW w:w="9072" w:type="dxa"/>
            <w:shd w:val="clear" w:color="auto" w:fill="auto"/>
          </w:tcPr>
          <w:p w14:paraId="624C5CE9" w14:textId="6A492461" w:rsidR="00DA22DE" w:rsidRPr="005F47F7" w:rsidRDefault="00DA22DE" w:rsidP="00DA22DE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5F47F7">
              <w:rPr>
                <w:sz w:val="23"/>
                <w:szCs w:val="23"/>
              </w:rPr>
              <w:t>Reklama bilietų platintojo kas</w:t>
            </w:r>
            <w:r w:rsidR="00634C06" w:rsidRPr="005F47F7">
              <w:rPr>
                <w:sz w:val="23"/>
                <w:szCs w:val="23"/>
              </w:rPr>
              <w:t>os</w:t>
            </w:r>
            <w:r w:rsidRPr="005F47F7">
              <w:rPr>
                <w:sz w:val="23"/>
                <w:szCs w:val="23"/>
              </w:rPr>
              <w:t xml:space="preserve"> monitoriuose mažiausiai 20 (dvidešimt) savaičių per metus.  </w:t>
            </w:r>
          </w:p>
        </w:tc>
      </w:tr>
      <w:tr w:rsidR="00DA22DE" w:rsidRPr="003D4F6F" w14:paraId="155A6195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38F39CBF" w14:textId="43392BA2" w:rsidR="00DA22DE" w:rsidRDefault="00634C06" w:rsidP="00DA22DE">
            <w:pPr>
              <w:tabs>
                <w:tab w:val="left" w:pos="426"/>
              </w:tabs>
              <w:jc w:val="both"/>
              <w:outlineLvl w:val="1"/>
            </w:pPr>
            <w:r>
              <w:t>8.</w:t>
            </w:r>
            <w:r w:rsidR="009B360C">
              <w:t>8</w:t>
            </w:r>
          </w:p>
        </w:tc>
        <w:tc>
          <w:tcPr>
            <w:tcW w:w="9072" w:type="dxa"/>
            <w:shd w:val="clear" w:color="auto" w:fill="auto"/>
          </w:tcPr>
          <w:p w14:paraId="74D11D35" w14:textId="15027F1A" w:rsidR="00DA22DE" w:rsidRPr="00901DB1" w:rsidRDefault="00DA22DE" w:rsidP="00DA22DE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901DB1">
              <w:rPr>
                <w:sz w:val="23"/>
                <w:szCs w:val="23"/>
              </w:rPr>
              <w:t>Esant poreikiui spektaklių recenzijų, pranešimų spaudai, teatro naujienų talpinimas Paslaugų t</w:t>
            </w:r>
            <w:r w:rsidR="00104B03" w:rsidRPr="00901DB1">
              <w:rPr>
                <w:sz w:val="23"/>
                <w:szCs w:val="23"/>
              </w:rPr>
              <w:t>ie</w:t>
            </w:r>
            <w:r w:rsidRPr="00901DB1">
              <w:rPr>
                <w:sz w:val="23"/>
                <w:szCs w:val="23"/>
              </w:rPr>
              <w:t xml:space="preserve">kėjo valdomose platformose ir jų partnerių puslapiuose. </w:t>
            </w:r>
          </w:p>
        </w:tc>
      </w:tr>
      <w:tr w:rsidR="00DA22DE" w:rsidRPr="003D4F6F" w14:paraId="49F98643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3443AE1C" w14:textId="0962395E" w:rsidR="00DA22DE" w:rsidRDefault="00634C06" w:rsidP="00DA22DE">
            <w:pPr>
              <w:tabs>
                <w:tab w:val="left" w:pos="426"/>
              </w:tabs>
              <w:jc w:val="both"/>
              <w:outlineLvl w:val="1"/>
            </w:pPr>
            <w:r>
              <w:t>8.</w:t>
            </w:r>
            <w:r w:rsidR="009B360C">
              <w:t>9</w:t>
            </w:r>
            <w:r>
              <w:t>.</w:t>
            </w:r>
          </w:p>
        </w:tc>
        <w:tc>
          <w:tcPr>
            <w:tcW w:w="9072" w:type="dxa"/>
            <w:shd w:val="clear" w:color="auto" w:fill="auto"/>
          </w:tcPr>
          <w:p w14:paraId="237B3DAB" w14:textId="0D53305E" w:rsidR="00DA22DE" w:rsidRPr="00CF4093" w:rsidRDefault="00DA22DE" w:rsidP="00DA22DE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sz w:val="23"/>
                <w:szCs w:val="23"/>
              </w:rPr>
              <w:t xml:space="preserve">Dalomosios reklaminės medžiagos platinimas bilietų platintojo vietose, renginiuose ir mugėse.  </w:t>
            </w:r>
          </w:p>
        </w:tc>
      </w:tr>
      <w:tr w:rsidR="0049121E" w:rsidRPr="003D4F6F" w14:paraId="61E41851" w14:textId="77777777" w:rsidTr="00B05A53">
        <w:trPr>
          <w:trHeight w:val="216"/>
        </w:trPr>
        <w:tc>
          <w:tcPr>
            <w:tcW w:w="817" w:type="dxa"/>
            <w:shd w:val="clear" w:color="auto" w:fill="auto"/>
          </w:tcPr>
          <w:p w14:paraId="09152C6E" w14:textId="6DA13C12" w:rsidR="0049121E" w:rsidRDefault="0049121E" w:rsidP="0049121E">
            <w:pPr>
              <w:tabs>
                <w:tab w:val="left" w:pos="426"/>
              </w:tabs>
              <w:jc w:val="both"/>
              <w:outlineLvl w:val="1"/>
            </w:pPr>
            <w:r>
              <w:t>9.</w:t>
            </w:r>
          </w:p>
        </w:tc>
        <w:tc>
          <w:tcPr>
            <w:tcW w:w="9072" w:type="dxa"/>
            <w:shd w:val="clear" w:color="auto" w:fill="auto"/>
          </w:tcPr>
          <w:p w14:paraId="0C5632B6" w14:textId="7BAB2627" w:rsidR="0049121E" w:rsidRPr="00CF4093" w:rsidRDefault="0049121E" w:rsidP="0049121E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b/>
                <w:sz w:val="23"/>
                <w:szCs w:val="23"/>
                <w:lang w:eastAsia="lt-LT"/>
              </w:rPr>
              <w:t>Reikalavimai reklamai Perkančiosios organizacijos patalpos</w:t>
            </w:r>
          </w:p>
        </w:tc>
      </w:tr>
      <w:tr w:rsidR="0049121E" w:rsidRPr="003D4F6F" w14:paraId="03CB0104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3918144A" w14:textId="3752AC10" w:rsidR="0049121E" w:rsidRDefault="0049121E" w:rsidP="0049121E">
            <w:pPr>
              <w:tabs>
                <w:tab w:val="left" w:pos="426"/>
              </w:tabs>
              <w:jc w:val="both"/>
              <w:outlineLvl w:val="1"/>
            </w:pPr>
            <w:r>
              <w:t>9.1.</w:t>
            </w:r>
          </w:p>
        </w:tc>
        <w:tc>
          <w:tcPr>
            <w:tcW w:w="9072" w:type="dxa"/>
            <w:shd w:val="clear" w:color="auto" w:fill="auto"/>
          </w:tcPr>
          <w:p w14:paraId="6BCF1E51" w14:textId="1D13F696" w:rsidR="0049121E" w:rsidRPr="00CF4093" w:rsidRDefault="0049121E" w:rsidP="0049121E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sz w:val="23"/>
                <w:szCs w:val="23"/>
                <w:lang w:eastAsia="lt-LT"/>
              </w:rPr>
              <w:t>Perkančiosios organizacijos kasos patalpo</w:t>
            </w:r>
            <w:r w:rsidR="007F7BC5">
              <w:rPr>
                <w:sz w:val="23"/>
                <w:szCs w:val="23"/>
                <w:lang w:eastAsia="lt-LT"/>
              </w:rPr>
              <w:t xml:space="preserve">je, nurodytoje </w:t>
            </w:r>
            <w:r w:rsidR="00FA19EB">
              <w:rPr>
                <w:sz w:val="23"/>
                <w:szCs w:val="23"/>
                <w:lang w:eastAsia="lt-LT"/>
              </w:rPr>
              <w:t>1</w:t>
            </w:r>
            <w:r w:rsidR="007F7BC5">
              <w:rPr>
                <w:sz w:val="23"/>
                <w:szCs w:val="23"/>
                <w:lang w:eastAsia="lt-LT"/>
              </w:rPr>
              <w:t xml:space="preserve"> punkte</w:t>
            </w:r>
            <w:r w:rsidRPr="00CF4093">
              <w:rPr>
                <w:sz w:val="23"/>
                <w:szCs w:val="23"/>
                <w:lang w:eastAsia="lt-LT"/>
              </w:rPr>
              <w:t xml:space="preserve"> galima tik Perkančiosios organizacijos renginių reklama. Išimtis taikoma reklamai kasos terminalo monitoriuose.</w:t>
            </w:r>
          </w:p>
        </w:tc>
      </w:tr>
      <w:tr w:rsidR="0049121E" w:rsidRPr="003D4F6F" w14:paraId="72D8845F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0FFB1A93" w14:textId="45274364" w:rsidR="0049121E" w:rsidRDefault="0049121E" w:rsidP="0049121E">
            <w:pPr>
              <w:tabs>
                <w:tab w:val="left" w:pos="426"/>
              </w:tabs>
              <w:jc w:val="both"/>
              <w:outlineLvl w:val="1"/>
            </w:pPr>
            <w:r>
              <w:t>9.2.</w:t>
            </w:r>
          </w:p>
        </w:tc>
        <w:tc>
          <w:tcPr>
            <w:tcW w:w="9072" w:type="dxa"/>
            <w:shd w:val="clear" w:color="auto" w:fill="auto"/>
          </w:tcPr>
          <w:p w14:paraId="2F372D7B" w14:textId="4BC88B57" w:rsidR="0049121E" w:rsidRPr="00CF4093" w:rsidRDefault="0049121E" w:rsidP="0049121E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sz w:val="23"/>
                <w:szCs w:val="23"/>
                <w:lang w:eastAsia="lt-LT"/>
              </w:rPr>
              <w:t>Paslaugų t</w:t>
            </w:r>
            <w:r w:rsidR="00104B03">
              <w:rPr>
                <w:sz w:val="23"/>
                <w:szCs w:val="23"/>
                <w:lang w:eastAsia="lt-LT"/>
              </w:rPr>
              <w:t>ie</w:t>
            </w:r>
            <w:r w:rsidRPr="00CF4093">
              <w:rPr>
                <w:sz w:val="23"/>
                <w:szCs w:val="23"/>
                <w:lang w:eastAsia="lt-LT"/>
              </w:rPr>
              <w:t>kėjas gali platinti bilietus į kitus, ne Perkančiosios organizacijos renginius.</w:t>
            </w:r>
          </w:p>
        </w:tc>
      </w:tr>
      <w:tr w:rsidR="001A684C" w:rsidRPr="003D4F6F" w14:paraId="6CB0A8FF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40C5A536" w14:textId="3D09C66A" w:rsidR="001A684C" w:rsidRDefault="001A684C" w:rsidP="001A684C">
            <w:pPr>
              <w:tabs>
                <w:tab w:val="left" w:pos="426"/>
              </w:tabs>
              <w:jc w:val="both"/>
              <w:outlineLvl w:val="1"/>
            </w:pPr>
            <w:r>
              <w:t>10.</w:t>
            </w:r>
          </w:p>
        </w:tc>
        <w:tc>
          <w:tcPr>
            <w:tcW w:w="9072" w:type="dxa"/>
            <w:shd w:val="clear" w:color="auto" w:fill="auto"/>
          </w:tcPr>
          <w:p w14:paraId="795FD664" w14:textId="710BE601" w:rsidR="001A684C" w:rsidRPr="00CF4093" w:rsidRDefault="001A684C" w:rsidP="001A684C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rFonts w:eastAsia="Times New Roman"/>
                <w:b/>
                <w:sz w:val="23"/>
                <w:szCs w:val="23"/>
              </w:rPr>
              <w:t>Reikalavimai bilietų platinimui ir jų atžvilgiu taikomiems įkainiams:</w:t>
            </w:r>
          </w:p>
        </w:tc>
      </w:tr>
      <w:tr w:rsidR="001A684C" w:rsidRPr="003D4F6F" w14:paraId="1D3DEC57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3502C7CE" w14:textId="5248E655" w:rsidR="001A684C" w:rsidRDefault="001A684C" w:rsidP="001A684C">
            <w:pPr>
              <w:tabs>
                <w:tab w:val="left" w:pos="426"/>
              </w:tabs>
              <w:jc w:val="both"/>
              <w:outlineLvl w:val="1"/>
            </w:pPr>
            <w:r>
              <w:lastRenderedPageBreak/>
              <w:t>10.1.</w:t>
            </w:r>
          </w:p>
        </w:tc>
        <w:tc>
          <w:tcPr>
            <w:tcW w:w="9072" w:type="dxa"/>
            <w:shd w:val="clear" w:color="auto" w:fill="auto"/>
          </w:tcPr>
          <w:p w14:paraId="46B808FF" w14:textId="654E902D" w:rsidR="001A684C" w:rsidRPr="00CF4093" w:rsidRDefault="001A684C" w:rsidP="001A684C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rFonts w:eastAsia="Times New Roman"/>
                <w:sz w:val="23"/>
                <w:szCs w:val="23"/>
              </w:rPr>
              <w:t>Paslaugų tiekėjas privalo užtikrinti, jog jis visą sutarties galiojimo laikotarpį laikysis pasiūlyme nurodytų paslaugų t</w:t>
            </w:r>
            <w:r w:rsidR="00104B03">
              <w:rPr>
                <w:rFonts w:eastAsia="Times New Roman"/>
                <w:sz w:val="23"/>
                <w:szCs w:val="23"/>
              </w:rPr>
              <w:t>ie</w:t>
            </w:r>
            <w:r w:rsidRPr="00CF4093">
              <w:rPr>
                <w:rFonts w:eastAsia="Times New Roman"/>
                <w:sz w:val="23"/>
                <w:szCs w:val="23"/>
              </w:rPr>
              <w:t>kimo įkainių.</w:t>
            </w:r>
          </w:p>
        </w:tc>
      </w:tr>
      <w:tr w:rsidR="00B12628" w:rsidRPr="003D4F6F" w14:paraId="1DC7BDF9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7F4DD677" w14:textId="5AD21D90" w:rsidR="00B12628" w:rsidRDefault="00B12628" w:rsidP="00B12628">
            <w:pPr>
              <w:tabs>
                <w:tab w:val="left" w:pos="426"/>
              </w:tabs>
              <w:jc w:val="both"/>
              <w:outlineLvl w:val="1"/>
            </w:pPr>
            <w:r>
              <w:t xml:space="preserve">11. </w:t>
            </w:r>
          </w:p>
        </w:tc>
        <w:tc>
          <w:tcPr>
            <w:tcW w:w="9072" w:type="dxa"/>
            <w:shd w:val="clear" w:color="auto" w:fill="auto"/>
          </w:tcPr>
          <w:p w14:paraId="682991B5" w14:textId="680BBF0A" w:rsidR="00B12628" w:rsidRPr="00CF4093" w:rsidRDefault="00B12628" w:rsidP="00B12628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rFonts w:eastAsia="Times New Roman"/>
                <w:b/>
                <w:sz w:val="23"/>
                <w:szCs w:val="23"/>
              </w:rPr>
              <w:t>Reikalavimai atsiskaitymui su Perkančiąja organizacija už išplatintus bilietus:</w:t>
            </w:r>
          </w:p>
        </w:tc>
      </w:tr>
      <w:tr w:rsidR="00B12628" w:rsidRPr="003D4F6F" w14:paraId="6EF9AF4C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603CA15F" w14:textId="7F7FFE14" w:rsidR="00B12628" w:rsidRDefault="00B12628" w:rsidP="00B12628">
            <w:pPr>
              <w:tabs>
                <w:tab w:val="left" w:pos="426"/>
              </w:tabs>
              <w:jc w:val="both"/>
              <w:outlineLvl w:val="1"/>
            </w:pPr>
            <w:r>
              <w:t>11.1.</w:t>
            </w:r>
          </w:p>
        </w:tc>
        <w:tc>
          <w:tcPr>
            <w:tcW w:w="9072" w:type="dxa"/>
            <w:shd w:val="clear" w:color="auto" w:fill="auto"/>
          </w:tcPr>
          <w:p w14:paraId="25ACCAB6" w14:textId="15D6DA75" w:rsidR="00B12628" w:rsidRPr="00CF4093" w:rsidRDefault="00B12628" w:rsidP="00B12628">
            <w:pPr>
              <w:tabs>
                <w:tab w:val="left" w:pos="567"/>
              </w:tabs>
              <w:jc w:val="both"/>
              <w:outlineLvl w:val="1"/>
              <w:rPr>
                <w:rFonts w:eastAsia="Times New Roman"/>
                <w:sz w:val="23"/>
                <w:szCs w:val="23"/>
              </w:rPr>
            </w:pPr>
            <w:r w:rsidRPr="00CF4093">
              <w:rPr>
                <w:rFonts w:eastAsia="Times New Roman"/>
                <w:sz w:val="23"/>
                <w:szCs w:val="23"/>
              </w:rPr>
              <w:t>Mėnesiui pasibaigus, paslaugų t</w:t>
            </w:r>
            <w:r w:rsidR="00104B03">
              <w:rPr>
                <w:rFonts w:eastAsia="Times New Roman"/>
                <w:sz w:val="23"/>
                <w:szCs w:val="23"/>
              </w:rPr>
              <w:t>ie</w:t>
            </w:r>
            <w:r w:rsidRPr="00CF4093">
              <w:rPr>
                <w:rFonts w:eastAsia="Times New Roman"/>
                <w:sz w:val="23"/>
                <w:szCs w:val="23"/>
              </w:rPr>
              <w:t>kėjas pateikia Perkančiajai organizacijai tris ataskaitas:</w:t>
            </w:r>
          </w:p>
          <w:p w14:paraId="70E9670E" w14:textId="77777777" w:rsidR="00B12628" w:rsidRPr="00CF4093" w:rsidRDefault="00B12628" w:rsidP="00B12628">
            <w:pPr>
              <w:numPr>
                <w:ilvl w:val="0"/>
                <w:numId w:val="1"/>
              </w:numPr>
              <w:tabs>
                <w:tab w:val="left" w:pos="567"/>
              </w:tabs>
              <w:ind w:left="419" w:hanging="357"/>
              <w:jc w:val="both"/>
              <w:outlineLvl w:val="1"/>
              <w:rPr>
                <w:rFonts w:eastAsia="Times New Roman"/>
                <w:sz w:val="23"/>
                <w:szCs w:val="23"/>
              </w:rPr>
            </w:pPr>
            <w:r w:rsidRPr="00CF4093">
              <w:rPr>
                <w:rFonts w:eastAsia="Times New Roman"/>
                <w:sz w:val="23"/>
                <w:szCs w:val="23"/>
              </w:rPr>
              <w:t xml:space="preserve">ataskaitą už  per mėnesį parduotus bilietus sumą ir kiekį pagal spektaklius. </w:t>
            </w:r>
          </w:p>
          <w:p w14:paraId="4523741B" w14:textId="77777777" w:rsidR="00B12628" w:rsidRPr="00CF4093" w:rsidRDefault="00B12628" w:rsidP="00B12628">
            <w:pPr>
              <w:numPr>
                <w:ilvl w:val="0"/>
                <w:numId w:val="1"/>
              </w:numPr>
              <w:tabs>
                <w:tab w:val="left" w:pos="567"/>
              </w:tabs>
              <w:ind w:left="419" w:hanging="357"/>
              <w:jc w:val="both"/>
              <w:outlineLvl w:val="1"/>
              <w:rPr>
                <w:rFonts w:eastAsia="Times New Roman"/>
                <w:sz w:val="23"/>
                <w:szCs w:val="23"/>
              </w:rPr>
            </w:pPr>
            <w:r w:rsidRPr="00CF4093">
              <w:rPr>
                <w:rFonts w:eastAsia="Times New Roman"/>
                <w:sz w:val="23"/>
                <w:szCs w:val="23"/>
              </w:rPr>
              <w:t xml:space="preserve">ataskaitą – pajamas už per mėnesį įvykusius spektaklius (išvardinant pagal spektaklius). Tai yra, kiek žiūrovų, kokių bilietų ir už kokią sumą per visą prekiavimo laikotarpį buvo parduota bilietų į įvykusį spektaklį ar renginį per mėnesį. </w:t>
            </w:r>
          </w:p>
          <w:p w14:paraId="7C29F890" w14:textId="77777777" w:rsidR="00B12628" w:rsidRPr="00CF4093" w:rsidRDefault="00B12628" w:rsidP="00B12628">
            <w:pPr>
              <w:numPr>
                <w:ilvl w:val="0"/>
                <w:numId w:val="1"/>
              </w:numPr>
              <w:tabs>
                <w:tab w:val="left" w:pos="567"/>
              </w:tabs>
              <w:ind w:left="419" w:hanging="357"/>
              <w:jc w:val="both"/>
              <w:rPr>
                <w:sz w:val="23"/>
                <w:szCs w:val="23"/>
                <w:lang w:eastAsia="zh-CN"/>
              </w:rPr>
            </w:pPr>
            <w:r w:rsidRPr="00CF4093">
              <w:rPr>
                <w:rFonts w:eastAsia="Times New Roman"/>
                <w:sz w:val="23"/>
                <w:szCs w:val="23"/>
              </w:rPr>
              <w:t>dovanų kuponų pardavimai bei aptarnauti trečių šalių dovanų kuponai per mėnesį (</w:t>
            </w:r>
            <w:r w:rsidRPr="00CF4093">
              <w:rPr>
                <w:sz w:val="23"/>
                <w:szCs w:val="23"/>
                <w:lang w:eastAsia="lt-LT"/>
              </w:rPr>
              <w:t xml:space="preserve">kiek dovanų kuponų nupirkta, kiek iškeista ir koks nepanaudotų dovanų kuponų likutis). </w:t>
            </w:r>
          </w:p>
          <w:p w14:paraId="1107B00D" w14:textId="71319476" w:rsidR="00B12628" w:rsidRPr="00CF4093" w:rsidRDefault="00B12628" w:rsidP="00B12628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rFonts w:eastAsia="Times New Roman"/>
                <w:sz w:val="23"/>
                <w:szCs w:val="23"/>
              </w:rPr>
              <w:t xml:space="preserve">Paslaugų tiekėjas atsiskaito su Perkančiąja organizacija už per mėnesį  parduotus bilietus per 5 (penkias) darbo dienas pasibaigus mėnesiui </w:t>
            </w:r>
            <w:r w:rsidRPr="00CF4093">
              <w:rPr>
                <w:rFonts w:eastAsia="Times New Roman"/>
                <w:strike/>
                <w:sz w:val="23"/>
                <w:szCs w:val="23"/>
              </w:rPr>
              <w:t xml:space="preserve"> </w:t>
            </w:r>
            <w:r w:rsidRPr="00CF4093">
              <w:rPr>
                <w:rFonts w:eastAsia="Times New Roman"/>
                <w:sz w:val="23"/>
                <w:szCs w:val="23"/>
              </w:rPr>
              <w:t xml:space="preserve"> pateikus mėnesinę bilietų platinimo ataskaitą.</w:t>
            </w:r>
          </w:p>
        </w:tc>
      </w:tr>
      <w:tr w:rsidR="00B12628" w:rsidRPr="003D4F6F" w14:paraId="5D67ABBB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5A2A2B17" w14:textId="70DA7870" w:rsidR="00B12628" w:rsidRDefault="00B12628" w:rsidP="00B12628">
            <w:pPr>
              <w:tabs>
                <w:tab w:val="left" w:pos="426"/>
              </w:tabs>
              <w:jc w:val="both"/>
              <w:outlineLvl w:val="1"/>
            </w:pPr>
            <w:r>
              <w:t>11.2.</w:t>
            </w:r>
          </w:p>
        </w:tc>
        <w:tc>
          <w:tcPr>
            <w:tcW w:w="9072" w:type="dxa"/>
            <w:shd w:val="clear" w:color="auto" w:fill="auto"/>
          </w:tcPr>
          <w:p w14:paraId="1EC3ECFF" w14:textId="16195F4B" w:rsidR="00B12628" w:rsidRPr="00CF4093" w:rsidRDefault="00B12628" w:rsidP="00B12628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rFonts w:eastAsia="Times New Roman"/>
                <w:sz w:val="23"/>
                <w:szCs w:val="23"/>
              </w:rPr>
              <w:t xml:space="preserve">Sutarties </w:t>
            </w:r>
            <w:r w:rsidRPr="00122D47">
              <w:rPr>
                <w:rFonts w:eastAsia="Times New Roman"/>
                <w:sz w:val="23"/>
                <w:szCs w:val="23"/>
              </w:rPr>
              <w:t>galiojimo laikotarpiu Perkančiajai organizacijai teikiama nemokama pardavimų ataskaitų realiu laiku</w:t>
            </w:r>
            <w:r w:rsidRPr="00CF4093">
              <w:rPr>
                <w:rFonts w:eastAsia="Times New Roman"/>
                <w:sz w:val="23"/>
                <w:szCs w:val="23"/>
              </w:rPr>
              <w:t xml:space="preserve"> paslauga ir sudaromos sąlygos nuotoliniu būdu stebėti bilietų pardavimo procesą. Ataskaitoje nurodomi išsamus bilietų pardavimo duomenys: ataskaita pagal kainas, pagal dienas, pagal nuolaidas ir akcijas, galimybė matyti kelis renginius vienoje ataskaitoje ir kt. (</w:t>
            </w:r>
            <w:r w:rsidRPr="009A31E4">
              <w:rPr>
                <w:rFonts w:eastAsia="Times New Roman"/>
                <w:sz w:val="23"/>
                <w:szCs w:val="23"/>
              </w:rPr>
              <w:t>Pateikti ataskaitos DEMO versiją)</w:t>
            </w:r>
          </w:p>
        </w:tc>
      </w:tr>
      <w:tr w:rsidR="00B12628" w:rsidRPr="003D4F6F" w14:paraId="5CD7B695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78D2D19F" w14:textId="75636DDF" w:rsidR="00B12628" w:rsidRDefault="00B12628" w:rsidP="00B12628">
            <w:pPr>
              <w:tabs>
                <w:tab w:val="left" w:pos="426"/>
              </w:tabs>
              <w:jc w:val="both"/>
              <w:outlineLvl w:val="1"/>
            </w:pPr>
            <w:r>
              <w:t>11.3.</w:t>
            </w:r>
          </w:p>
        </w:tc>
        <w:tc>
          <w:tcPr>
            <w:tcW w:w="9072" w:type="dxa"/>
            <w:shd w:val="clear" w:color="auto" w:fill="auto"/>
          </w:tcPr>
          <w:p w14:paraId="4AC0ADC8" w14:textId="6EA9F587" w:rsidR="00B12628" w:rsidRPr="00CF4093" w:rsidRDefault="00B12628" w:rsidP="00B12628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sz w:val="23"/>
                <w:szCs w:val="23"/>
                <w:lang w:eastAsia="lt-LT"/>
              </w:rPr>
              <w:t>Paslaugų t</w:t>
            </w:r>
            <w:r>
              <w:rPr>
                <w:sz w:val="23"/>
                <w:szCs w:val="23"/>
                <w:lang w:eastAsia="lt-LT"/>
              </w:rPr>
              <w:t>ie</w:t>
            </w:r>
            <w:r w:rsidRPr="00CF4093">
              <w:rPr>
                <w:sz w:val="23"/>
                <w:szCs w:val="23"/>
                <w:lang w:eastAsia="lt-LT"/>
              </w:rPr>
              <w:t xml:space="preserve">kėjas privalo savo sistemoje suformuoti pirkėjams sąskaitas-faktūras pdf arba kitu apsaugotu („užrakintu“) formatu ir sugeneruoti sąskaitų-faktūrų registrą xls arba kitu analogišku formatu bei pateikti jas Perkančiajai organizacijai. </w:t>
            </w:r>
          </w:p>
        </w:tc>
      </w:tr>
      <w:tr w:rsidR="00B12628" w:rsidRPr="003D4F6F" w14:paraId="51BAFEAA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6AE45CC0" w14:textId="53D03BAB" w:rsidR="00B12628" w:rsidRDefault="00B12628" w:rsidP="00B12628">
            <w:pPr>
              <w:tabs>
                <w:tab w:val="left" w:pos="426"/>
              </w:tabs>
              <w:jc w:val="both"/>
              <w:outlineLvl w:val="1"/>
            </w:pPr>
            <w:r>
              <w:t>11.4.</w:t>
            </w:r>
          </w:p>
        </w:tc>
        <w:tc>
          <w:tcPr>
            <w:tcW w:w="9072" w:type="dxa"/>
            <w:shd w:val="clear" w:color="auto" w:fill="auto"/>
          </w:tcPr>
          <w:p w14:paraId="55C7169A" w14:textId="268517A0" w:rsidR="00B12628" w:rsidRPr="00CF4093" w:rsidRDefault="00B12628" w:rsidP="00B12628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sz w:val="23"/>
                <w:szCs w:val="23"/>
                <w:lang w:eastAsia="lt-LT"/>
              </w:rPr>
              <w:t>Paslaugų t</w:t>
            </w:r>
            <w:r>
              <w:rPr>
                <w:sz w:val="23"/>
                <w:szCs w:val="23"/>
                <w:lang w:eastAsia="lt-LT"/>
              </w:rPr>
              <w:t>ie</w:t>
            </w:r>
            <w:r w:rsidRPr="00CF4093">
              <w:rPr>
                <w:sz w:val="23"/>
                <w:szCs w:val="23"/>
                <w:lang w:eastAsia="lt-LT"/>
              </w:rPr>
              <w:t>kėjas, turėdamas Perkančiosios organizacijos įgaliojimą išrašyti sąskaitas, pateikia sąskaitą-faktūrą už bilietus, jei vartotojas jos pareikalauja.</w:t>
            </w:r>
          </w:p>
        </w:tc>
      </w:tr>
      <w:tr w:rsidR="00B12628" w:rsidRPr="003D4F6F" w14:paraId="2949ABB2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0E0A9A73" w14:textId="3BA44CDE" w:rsidR="00B12628" w:rsidRDefault="00B12628" w:rsidP="00B12628">
            <w:pPr>
              <w:tabs>
                <w:tab w:val="left" w:pos="426"/>
              </w:tabs>
              <w:jc w:val="both"/>
              <w:outlineLvl w:val="1"/>
            </w:pPr>
            <w:r>
              <w:t>11.5.</w:t>
            </w:r>
          </w:p>
        </w:tc>
        <w:tc>
          <w:tcPr>
            <w:tcW w:w="9072" w:type="dxa"/>
            <w:shd w:val="clear" w:color="auto" w:fill="auto"/>
          </w:tcPr>
          <w:p w14:paraId="47D3F423" w14:textId="20A246FA" w:rsidR="00B12628" w:rsidRPr="00CF4093" w:rsidRDefault="00B12628" w:rsidP="00B12628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sz w:val="23"/>
                <w:szCs w:val="23"/>
                <w:lang w:eastAsia="lt-LT"/>
              </w:rPr>
              <w:t>Paslaugų t</w:t>
            </w:r>
            <w:r w:rsidR="00876E24">
              <w:rPr>
                <w:sz w:val="23"/>
                <w:szCs w:val="23"/>
                <w:lang w:eastAsia="lt-LT"/>
              </w:rPr>
              <w:t>ie</w:t>
            </w:r>
            <w:r w:rsidRPr="00CF4093">
              <w:rPr>
                <w:sz w:val="23"/>
                <w:szCs w:val="23"/>
                <w:lang w:eastAsia="lt-LT"/>
              </w:rPr>
              <w:t xml:space="preserve">kėjas įsipareigoja apmokyti 4 Perkančiosios organizacijos darbuotojus dirbti su bilietų </w:t>
            </w:r>
            <w:r w:rsidRPr="00876E24">
              <w:rPr>
                <w:sz w:val="23"/>
                <w:szCs w:val="23"/>
                <w:lang w:eastAsia="lt-LT"/>
              </w:rPr>
              <w:t xml:space="preserve">administravimo ir ataskaitų sistemos </w:t>
            </w:r>
            <w:r w:rsidRPr="00CF4093">
              <w:rPr>
                <w:sz w:val="23"/>
                <w:szCs w:val="23"/>
                <w:lang w:eastAsia="lt-LT"/>
              </w:rPr>
              <w:t>moduliu.</w:t>
            </w:r>
          </w:p>
        </w:tc>
      </w:tr>
      <w:tr w:rsidR="00B12628" w:rsidRPr="003D4F6F" w14:paraId="5F02D818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7405395B" w14:textId="230A6154" w:rsidR="00B12628" w:rsidRDefault="00B12628" w:rsidP="00B12628">
            <w:pPr>
              <w:tabs>
                <w:tab w:val="left" w:pos="426"/>
              </w:tabs>
              <w:jc w:val="both"/>
              <w:outlineLvl w:val="1"/>
            </w:pPr>
            <w:r>
              <w:t>11.6.</w:t>
            </w:r>
          </w:p>
        </w:tc>
        <w:tc>
          <w:tcPr>
            <w:tcW w:w="9072" w:type="dxa"/>
            <w:shd w:val="clear" w:color="auto" w:fill="auto"/>
          </w:tcPr>
          <w:p w14:paraId="0776435C" w14:textId="4AE139D6" w:rsidR="00B12628" w:rsidRPr="00CF4093" w:rsidRDefault="00B12628" w:rsidP="00B12628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sz w:val="23"/>
                <w:szCs w:val="23"/>
              </w:rPr>
              <w:t>Paslaugų t</w:t>
            </w:r>
            <w:r w:rsidR="00104B03">
              <w:rPr>
                <w:sz w:val="23"/>
                <w:szCs w:val="23"/>
              </w:rPr>
              <w:t>ie</w:t>
            </w:r>
            <w:r w:rsidRPr="00CF4093">
              <w:rPr>
                <w:sz w:val="23"/>
                <w:szCs w:val="23"/>
              </w:rPr>
              <w:t>kėjas atsako už duomenų ataskaitose teisingumą.</w:t>
            </w:r>
          </w:p>
        </w:tc>
      </w:tr>
      <w:tr w:rsidR="00876E24" w:rsidRPr="003D4F6F" w14:paraId="26DB0BE0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7399C8EB" w14:textId="5A5E66FB" w:rsidR="00876E24" w:rsidRDefault="00876E24" w:rsidP="00876E24">
            <w:pPr>
              <w:tabs>
                <w:tab w:val="left" w:pos="426"/>
              </w:tabs>
              <w:jc w:val="both"/>
              <w:outlineLvl w:val="1"/>
            </w:pPr>
            <w:r>
              <w:t xml:space="preserve">12. </w:t>
            </w:r>
          </w:p>
        </w:tc>
        <w:tc>
          <w:tcPr>
            <w:tcW w:w="9072" w:type="dxa"/>
            <w:shd w:val="clear" w:color="auto" w:fill="auto"/>
          </w:tcPr>
          <w:p w14:paraId="6DBDD681" w14:textId="7F1B3D72" w:rsidR="00876E24" w:rsidRPr="00CF4093" w:rsidRDefault="00876E24" w:rsidP="00876E24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CF4093">
              <w:rPr>
                <w:b/>
                <w:sz w:val="23"/>
                <w:szCs w:val="23"/>
                <w:lang w:eastAsia="lt-LT"/>
              </w:rPr>
              <w:t>Reikalavimai bilietų grąžinimui</w:t>
            </w:r>
          </w:p>
        </w:tc>
      </w:tr>
      <w:tr w:rsidR="00876E24" w:rsidRPr="003D4F6F" w14:paraId="62E10074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15CB5DAF" w14:textId="65B96AD7" w:rsidR="00876E24" w:rsidRDefault="00876E24" w:rsidP="00876E24">
            <w:pPr>
              <w:tabs>
                <w:tab w:val="left" w:pos="426"/>
              </w:tabs>
              <w:jc w:val="both"/>
              <w:outlineLvl w:val="1"/>
            </w:pPr>
            <w:r>
              <w:t>12.1.</w:t>
            </w:r>
          </w:p>
        </w:tc>
        <w:tc>
          <w:tcPr>
            <w:tcW w:w="9072" w:type="dxa"/>
            <w:shd w:val="clear" w:color="auto" w:fill="auto"/>
          </w:tcPr>
          <w:p w14:paraId="35D5B72D" w14:textId="495881E9" w:rsidR="00876E24" w:rsidRPr="004B08AD" w:rsidRDefault="00876E24" w:rsidP="00876E24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4B08AD">
              <w:rPr>
                <w:sz w:val="23"/>
                <w:szCs w:val="23"/>
                <w:lang w:eastAsia="lt-LT"/>
              </w:rPr>
              <w:t>Atšaukus spektaklį ar pakeitus jo pavadinimą, datą, laiką, Paslaugos t</w:t>
            </w:r>
            <w:r w:rsidR="004B08AD" w:rsidRPr="004B08AD">
              <w:rPr>
                <w:sz w:val="23"/>
                <w:szCs w:val="23"/>
                <w:lang w:eastAsia="lt-LT"/>
              </w:rPr>
              <w:t>ie</w:t>
            </w:r>
            <w:r w:rsidRPr="004B08AD">
              <w:rPr>
                <w:sz w:val="23"/>
                <w:szCs w:val="23"/>
                <w:lang w:eastAsia="lt-LT"/>
              </w:rPr>
              <w:t>kėjas, gavęs informaciją iš Perkančiosios organizacijos, privalo ne vėliau kaip per 1 valandą informuoti apie tai kas</w:t>
            </w:r>
            <w:r w:rsidR="004B08AD" w:rsidRPr="004B08AD">
              <w:rPr>
                <w:sz w:val="23"/>
                <w:szCs w:val="23"/>
                <w:lang w:eastAsia="lt-LT"/>
              </w:rPr>
              <w:t>os</w:t>
            </w:r>
            <w:r w:rsidRPr="004B08AD">
              <w:rPr>
                <w:sz w:val="23"/>
                <w:szCs w:val="23"/>
                <w:lang w:eastAsia="lt-LT"/>
              </w:rPr>
              <w:t xml:space="preserve"> darbuotoj</w:t>
            </w:r>
            <w:r w:rsidR="004B08AD" w:rsidRPr="004B08AD">
              <w:rPr>
                <w:sz w:val="23"/>
                <w:szCs w:val="23"/>
                <w:lang w:eastAsia="lt-LT"/>
              </w:rPr>
              <w:t>ą</w:t>
            </w:r>
            <w:r w:rsidRPr="004B08AD">
              <w:rPr>
                <w:sz w:val="23"/>
                <w:szCs w:val="23"/>
                <w:lang w:eastAsia="lt-LT"/>
              </w:rPr>
              <w:t xml:space="preserve"> ir el. paštu žiūrovus, kurie pirko bilietus į atšauktą ar pakeistą renginį internetu, sms žinutėmis, kurie pirko bilietus kaso</w:t>
            </w:r>
            <w:r w:rsidR="00D41773">
              <w:rPr>
                <w:sz w:val="23"/>
                <w:szCs w:val="23"/>
                <w:lang w:eastAsia="lt-LT"/>
              </w:rPr>
              <w:t>je</w:t>
            </w:r>
            <w:r w:rsidRPr="004B08AD">
              <w:rPr>
                <w:sz w:val="23"/>
                <w:szCs w:val="23"/>
                <w:lang w:eastAsia="lt-LT"/>
              </w:rPr>
              <w:t xml:space="preserve">.  </w:t>
            </w:r>
          </w:p>
        </w:tc>
      </w:tr>
      <w:tr w:rsidR="00876E24" w:rsidRPr="003D4F6F" w14:paraId="36A0AD8B" w14:textId="77777777" w:rsidTr="007B4703">
        <w:trPr>
          <w:trHeight w:val="556"/>
        </w:trPr>
        <w:tc>
          <w:tcPr>
            <w:tcW w:w="817" w:type="dxa"/>
            <w:shd w:val="clear" w:color="auto" w:fill="auto"/>
          </w:tcPr>
          <w:p w14:paraId="72E906B8" w14:textId="24A9A7C2" w:rsidR="00876E24" w:rsidRDefault="00876E24" w:rsidP="00876E24">
            <w:pPr>
              <w:tabs>
                <w:tab w:val="left" w:pos="426"/>
              </w:tabs>
              <w:jc w:val="both"/>
              <w:outlineLvl w:val="1"/>
            </w:pPr>
            <w:r>
              <w:t>12.2.</w:t>
            </w:r>
          </w:p>
        </w:tc>
        <w:tc>
          <w:tcPr>
            <w:tcW w:w="9072" w:type="dxa"/>
            <w:shd w:val="clear" w:color="auto" w:fill="auto"/>
          </w:tcPr>
          <w:p w14:paraId="70B3A3D2" w14:textId="256F3C89" w:rsidR="00876E24" w:rsidRPr="004B08AD" w:rsidRDefault="00876E24" w:rsidP="00876E24">
            <w:pPr>
              <w:tabs>
                <w:tab w:val="left" w:pos="426"/>
              </w:tabs>
              <w:outlineLvl w:val="1"/>
              <w:rPr>
                <w:b/>
                <w:bCs/>
                <w:sz w:val="23"/>
                <w:szCs w:val="23"/>
              </w:rPr>
            </w:pPr>
            <w:r w:rsidRPr="004B08AD">
              <w:rPr>
                <w:sz w:val="23"/>
                <w:szCs w:val="23"/>
                <w:lang w:eastAsia="lt-LT"/>
              </w:rPr>
              <w:t>Atšaukus spektaklį ar pakeitus jo pavadinimą, datą, laiką, pinigų už bilietus grąžinimas internetu ir kaso</w:t>
            </w:r>
            <w:r w:rsidR="00D41773">
              <w:rPr>
                <w:sz w:val="23"/>
                <w:szCs w:val="23"/>
                <w:lang w:eastAsia="lt-LT"/>
              </w:rPr>
              <w:t>je</w:t>
            </w:r>
            <w:r w:rsidRPr="004B08AD">
              <w:rPr>
                <w:sz w:val="23"/>
                <w:szCs w:val="23"/>
                <w:lang w:eastAsia="lt-LT"/>
              </w:rPr>
              <w:t xml:space="preserve"> turi prasidėti tą pačią dieną (įskaitant šeštadienį, sekmadienį).</w:t>
            </w:r>
          </w:p>
        </w:tc>
      </w:tr>
    </w:tbl>
    <w:p w14:paraId="17E923FA" w14:textId="77777777" w:rsidR="00D7551A" w:rsidRDefault="00D7551A" w:rsidP="00A024A8">
      <w:pPr>
        <w:jc w:val="both"/>
      </w:pPr>
    </w:p>
    <w:sectPr w:rsidR="00D7551A" w:rsidSect="00A1699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91DEA"/>
    <w:multiLevelType w:val="hybridMultilevel"/>
    <w:tmpl w:val="9F6A4806"/>
    <w:lvl w:ilvl="0" w:tplc="48E4D3A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1077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A8"/>
    <w:rsid w:val="000B52E4"/>
    <w:rsid w:val="000D409A"/>
    <w:rsid w:val="001042C4"/>
    <w:rsid w:val="00104B03"/>
    <w:rsid w:val="001101F6"/>
    <w:rsid w:val="00122D47"/>
    <w:rsid w:val="00194038"/>
    <w:rsid w:val="001A5B58"/>
    <w:rsid w:val="001A684C"/>
    <w:rsid w:val="001B2577"/>
    <w:rsid w:val="00234248"/>
    <w:rsid w:val="002450E8"/>
    <w:rsid w:val="002705F2"/>
    <w:rsid w:val="002C1446"/>
    <w:rsid w:val="002F6DA4"/>
    <w:rsid w:val="00302517"/>
    <w:rsid w:val="003172D8"/>
    <w:rsid w:val="003429B7"/>
    <w:rsid w:val="00370FDB"/>
    <w:rsid w:val="003C2710"/>
    <w:rsid w:val="003D3699"/>
    <w:rsid w:val="004267EB"/>
    <w:rsid w:val="00472C10"/>
    <w:rsid w:val="004767F0"/>
    <w:rsid w:val="0049121E"/>
    <w:rsid w:val="004B08AD"/>
    <w:rsid w:val="004C404A"/>
    <w:rsid w:val="004E0A1C"/>
    <w:rsid w:val="00557B7A"/>
    <w:rsid w:val="00575349"/>
    <w:rsid w:val="00583181"/>
    <w:rsid w:val="005A0C40"/>
    <w:rsid w:val="005F47F7"/>
    <w:rsid w:val="006020CA"/>
    <w:rsid w:val="00620BC9"/>
    <w:rsid w:val="00634C06"/>
    <w:rsid w:val="00685CBE"/>
    <w:rsid w:val="00695331"/>
    <w:rsid w:val="006B5EAE"/>
    <w:rsid w:val="006D142D"/>
    <w:rsid w:val="006E1ED7"/>
    <w:rsid w:val="00747981"/>
    <w:rsid w:val="0077567E"/>
    <w:rsid w:val="007B4703"/>
    <w:rsid w:val="007C1652"/>
    <w:rsid w:val="007C54BE"/>
    <w:rsid w:val="007D03A1"/>
    <w:rsid w:val="007F6074"/>
    <w:rsid w:val="007F7BC5"/>
    <w:rsid w:val="008526FC"/>
    <w:rsid w:val="00854536"/>
    <w:rsid w:val="00876E24"/>
    <w:rsid w:val="00887E43"/>
    <w:rsid w:val="00897137"/>
    <w:rsid w:val="008B1858"/>
    <w:rsid w:val="00901DB1"/>
    <w:rsid w:val="009308E2"/>
    <w:rsid w:val="009722A0"/>
    <w:rsid w:val="009979E1"/>
    <w:rsid w:val="009A31E4"/>
    <w:rsid w:val="009B360C"/>
    <w:rsid w:val="009E5082"/>
    <w:rsid w:val="00A024A8"/>
    <w:rsid w:val="00A1699A"/>
    <w:rsid w:val="00A20ABF"/>
    <w:rsid w:val="00A64F7E"/>
    <w:rsid w:val="00A73235"/>
    <w:rsid w:val="00A84016"/>
    <w:rsid w:val="00A85A72"/>
    <w:rsid w:val="00A94033"/>
    <w:rsid w:val="00AA0BD3"/>
    <w:rsid w:val="00B05A53"/>
    <w:rsid w:val="00B12628"/>
    <w:rsid w:val="00B61DBD"/>
    <w:rsid w:val="00BA7422"/>
    <w:rsid w:val="00BF480E"/>
    <w:rsid w:val="00BF53F3"/>
    <w:rsid w:val="00C104A9"/>
    <w:rsid w:val="00C247E3"/>
    <w:rsid w:val="00C30E69"/>
    <w:rsid w:val="00C61EFB"/>
    <w:rsid w:val="00C65099"/>
    <w:rsid w:val="00C9489A"/>
    <w:rsid w:val="00CA6EF5"/>
    <w:rsid w:val="00CE0455"/>
    <w:rsid w:val="00CF4AFE"/>
    <w:rsid w:val="00D41773"/>
    <w:rsid w:val="00D7551A"/>
    <w:rsid w:val="00DA22DE"/>
    <w:rsid w:val="00DC2EA9"/>
    <w:rsid w:val="00DC5669"/>
    <w:rsid w:val="00DD14CD"/>
    <w:rsid w:val="00DF2AD7"/>
    <w:rsid w:val="00E03C2C"/>
    <w:rsid w:val="00E36711"/>
    <w:rsid w:val="00E547EF"/>
    <w:rsid w:val="00E81AFD"/>
    <w:rsid w:val="00F009FA"/>
    <w:rsid w:val="00F20DF8"/>
    <w:rsid w:val="00F40242"/>
    <w:rsid w:val="00F9289E"/>
    <w:rsid w:val="00FA19EB"/>
    <w:rsid w:val="00FA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FFDA"/>
  <w15:docId w15:val="{A89636D3-49F9-4096-B426-3A3F774E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7B4703"/>
    <w:pPr>
      <w:spacing w:after="200" w:line="276" w:lineRule="auto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7B4703"/>
    <w:rPr>
      <w:rFonts w:eastAsia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semiHidden/>
    <w:unhideWhenUsed/>
    <w:rsid w:val="007B47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7EF"/>
    <w:pPr>
      <w:spacing w:after="0" w:line="240" w:lineRule="auto"/>
    </w:pPr>
    <w:rPr>
      <w:rFonts w:eastAsia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7EF"/>
    <w:rPr>
      <w:rFonts w:eastAsia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547EF"/>
  </w:style>
  <w:style w:type="paragraph" w:styleId="BalloonText">
    <w:name w:val="Balloon Text"/>
    <w:basedOn w:val="Normal"/>
    <w:link w:val="BalloonTextChar"/>
    <w:uiPriority w:val="99"/>
    <w:semiHidden/>
    <w:unhideWhenUsed/>
    <w:rsid w:val="00972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20517-74FA-4211-93AB-4C6EDD6D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2007</Words>
  <Characters>11443</Characters>
  <Application>Microsoft Office Word</Application>
  <DocSecurity>0</DocSecurity>
  <Lines>95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Žironienė</dc:creator>
  <cp:keywords/>
  <dc:description/>
  <cp:lastModifiedBy>Ramunė Franckevičienė</cp:lastModifiedBy>
  <cp:revision>7</cp:revision>
  <dcterms:created xsi:type="dcterms:W3CDTF">2023-07-31T06:59:00Z</dcterms:created>
  <dcterms:modified xsi:type="dcterms:W3CDTF">2023-08-03T08:38:00Z</dcterms:modified>
</cp:coreProperties>
</file>