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1E308912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9F59AD" w:rsidRPr="00264EF7">
        <w:rPr>
          <w:sz w:val="20"/>
          <w:szCs w:val="20"/>
        </w:rPr>
        <w:t>Apskaitos administravimo pas</w:t>
      </w:r>
      <w:r w:rsidR="00F13DE8">
        <w:rPr>
          <w:sz w:val="20"/>
          <w:szCs w:val="20"/>
        </w:rPr>
        <w:t>l</w:t>
      </w:r>
      <w:r w:rsidR="009F59AD" w:rsidRPr="00264EF7">
        <w:rPr>
          <w:sz w:val="20"/>
          <w:szCs w:val="20"/>
        </w:rPr>
        <w:t>a</w:t>
      </w:r>
      <w:r w:rsidR="00F13DE8">
        <w:rPr>
          <w:sz w:val="20"/>
          <w:szCs w:val="20"/>
        </w:rPr>
        <w:t>ugo</w:t>
      </w:r>
      <w:r w:rsidR="009F59AD" w:rsidRPr="00264EF7">
        <w:rPr>
          <w:sz w:val="20"/>
          <w:szCs w:val="20"/>
        </w:rPr>
        <w:t>s</w:t>
      </w:r>
      <w:r w:rsidR="00025963" w:rsidRPr="00AD23DC">
        <w:rPr>
          <w:rFonts w:cs="Arial"/>
        </w:rPr>
        <w:t>.</w:t>
      </w:r>
    </w:p>
    <w:p w14:paraId="193D76A5" w14:textId="0564B784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15ECB10F2D2E4DFCB48C6A3389221482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5C3CD6" w:rsidRPr="005C3CD6">
            <w:rPr>
              <w:sz w:val="20"/>
              <w:szCs w:val="20"/>
            </w:rPr>
            <w:t>UAB Kauno kogeneracinė jėgainė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B4E2A2C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 w:rsidR="00C12292">
        <w:rPr>
          <w:rFonts w:cs="Arial"/>
          <w:bCs/>
          <w:sz w:val="20"/>
          <w:szCs w:val="20"/>
        </w:rPr>
        <w:t>Techninės specifikacijos 1.1. p. nurodytos Paslaugos</w:t>
      </w:r>
      <w:r w:rsidR="00DB00F5">
        <w:rPr>
          <w:rFonts w:cs="Arial"/>
          <w:bCs/>
          <w:sz w:val="20"/>
          <w:szCs w:val="20"/>
        </w:rPr>
        <w:t>.</w:t>
      </w:r>
      <w:r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5DDB5275" w:rsidR="004850CA" w:rsidRDefault="004850CA" w:rsidP="006270B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5C3CD6" w:rsidRPr="005C3CD6">
        <w:rPr>
          <w:rFonts w:cs="Arial"/>
          <w:b/>
          <w:sz w:val="20"/>
          <w:szCs w:val="20"/>
        </w:rPr>
        <w:t>260 000</w:t>
      </w:r>
      <w:r w:rsidRPr="005C3CD6">
        <w:rPr>
          <w:rFonts w:cs="Arial"/>
          <w:b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527F4F6" w:rsidR="004B7553" w:rsidRPr="00F97E3A" w:rsidRDefault="00C46788" w:rsidP="000D4099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>Tiekėjui</w:t>
      </w:r>
      <w:r w:rsidR="0064010B">
        <w:rPr>
          <w:rFonts w:cs="Arial"/>
          <w:bCs/>
          <w:sz w:val="20"/>
          <w:szCs w:val="20"/>
        </w:rPr>
        <w:t xml:space="preserve"> vykdant sutartį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64010B">
        <w:rPr>
          <w:rFonts w:cs="Arial"/>
          <w:bCs/>
          <w:sz w:val="20"/>
          <w:szCs w:val="20"/>
        </w:rPr>
        <w:t xml:space="preserve">Pirkėjo pagal </w:t>
      </w:r>
      <w:r w:rsidR="00B41FEC" w:rsidRPr="004020B0">
        <w:rPr>
          <w:rFonts w:cs="Arial"/>
          <w:bCs/>
          <w:sz w:val="20"/>
          <w:szCs w:val="20"/>
        </w:rPr>
        <w:t xml:space="preserve">Bendrovės poreikį užsakytų (su </w:t>
      </w:r>
      <w:r w:rsidR="00B41FEC">
        <w:rPr>
          <w:rFonts w:cs="Arial"/>
          <w:bCs/>
          <w:sz w:val="20"/>
          <w:szCs w:val="20"/>
        </w:rPr>
        <w:t>Pirkėju</w:t>
      </w:r>
      <w:r w:rsidR="00B41FEC" w:rsidRPr="004020B0">
        <w:rPr>
          <w:rFonts w:cs="Arial"/>
          <w:bCs/>
          <w:sz w:val="20"/>
          <w:szCs w:val="20"/>
        </w:rPr>
        <w:t xml:space="preserve"> suderintų) ir Tiekėjo</w:t>
      </w:r>
      <w:r w:rsidRPr="00997DE5">
        <w:rPr>
          <w:rFonts w:cs="Arial"/>
          <w:bCs/>
          <w:sz w:val="20"/>
          <w:szCs w:val="20"/>
        </w:rPr>
        <w:t xml:space="preserve"> </w:t>
      </w:r>
      <w:r w:rsidR="00B41FEC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</w:t>
      </w:r>
      <w:r w:rsidR="00B41FEC">
        <w:rPr>
          <w:rFonts w:cs="Arial"/>
          <w:bCs/>
          <w:sz w:val="20"/>
          <w:szCs w:val="20"/>
        </w:rPr>
        <w:t>,</w:t>
      </w:r>
      <w:r w:rsidRPr="00997DE5">
        <w:rPr>
          <w:rFonts w:cs="Arial"/>
          <w:bCs/>
          <w:sz w:val="20"/>
          <w:szCs w:val="20"/>
        </w:rPr>
        <w:t xml:space="preserve"> 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87241" w:rsidRPr="00051059" w14:paraId="5ACEF2D6" w14:textId="77777777" w:rsidTr="00ED66E9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BA720A" w:rsidRPr="00051059" w14:paraId="352A2A70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84E88DF" w14:textId="4375BAC3" w:rsidR="00BA720A" w:rsidRPr="00E1029F" w:rsidDel="00C55AAE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>paslaugos teikiamos eksperto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5A19E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BA720A" w:rsidRPr="00051059" w14:paraId="3BEF4ED3" w14:textId="77777777" w:rsidTr="00ED66E9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63F154" w14:textId="24FFA1BF" w:rsidR="00BA720A" w:rsidRPr="00E1029F" w:rsidRDefault="00BA720A" w:rsidP="00BA720A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22805">
              <w:rPr>
                <w:rFonts w:cs="Arial"/>
                <w:bCs/>
                <w:sz w:val="20"/>
                <w:szCs w:val="20"/>
              </w:rPr>
              <w:t xml:space="preserve">Apskaitos </w:t>
            </w:r>
            <w:r w:rsidR="00A86824">
              <w:rPr>
                <w:rFonts w:cs="Arial"/>
                <w:bCs/>
                <w:sz w:val="20"/>
                <w:szCs w:val="20"/>
              </w:rPr>
              <w:t xml:space="preserve">administravimo </w:t>
            </w:r>
            <w:r w:rsidRPr="00E22805">
              <w:rPr>
                <w:rFonts w:cs="Arial"/>
                <w:bCs/>
                <w:sz w:val="20"/>
                <w:szCs w:val="20"/>
              </w:rPr>
              <w:t xml:space="preserve">paslaugos teikiamos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kitų apskaitos darbuotojų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DDEDC" w14:textId="77777777" w:rsidR="00BA720A" w:rsidRPr="00E1029F" w:rsidRDefault="00BA720A" w:rsidP="00BA720A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300BD556" w:rsidR="00D82F42" w:rsidRPr="003E1F23" w:rsidRDefault="00D82F42" w:rsidP="0065435E">
      <w:pPr>
        <w:pStyle w:val="ListParagraph"/>
        <w:numPr>
          <w:ilvl w:val="1"/>
          <w:numId w:val="1"/>
        </w:numPr>
        <w:tabs>
          <w:tab w:val="left" w:pos="284"/>
          <w:tab w:val="left" w:pos="567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19226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pskaitos</w:t>
      </w:r>
      <w:r w:rsidRPr="003E1F23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3E1F23">
        <w:rPr>
          <w:rFonts w:cs="Arial"/>
          <w:bCs/>
          <w:sz w:val="20"/>
          <w:szCs w:val="20"/>
        </w:rPr>
        <w:t>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51040A60" w:rsidR="00D82F42" w:rsidRDefault="00D82F42" w:rsidP="0065435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19226D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</w:t>
      </w:r>
      <w:r w:rsidR="0019226D">
        <w:rPr>
          <w:rFonts w:cs="Arial"/>
          <w:bCs/>
          <w:sz w:val="20"/>
          <w:szCs w:val="20"/>
        </w:rPr>
        <w:t xml:space="preserve">administravimo </w:t>
      </w:r>
      <w:r w:rsidRPr="00C15865">
        <w:rPr>
          <w:rFonts w:cs="Arial"/>
          <w:bCs/>
          <w:sz w:val="20"/>
          <w:szCs w:val="20"/>
        </w:rPr>
        <w:t>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4120F578" w14:textId="06AAD4B0" w:rsidR="00CD2507" w:rsidRDefault="0019226D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</w:t>
      </w:r>
      <w:r>
        <w:rPr>
          <w:rFonts w:cs="Arial"/>
          <w:b/>
          <w:sz w:val="20"/>
          <w:szCs w:val="20"/>
        </w:rPr>
        <w:t xml:space="preserve"> administravimo</w:t>
      </w:r>
      <w:r w:rsidR="001512C3" w:rsidRPr="0090702B">
        <w:rPr>
          <w:rFonts w:cs="Arial"/>
          <w:b/>
          <w:sz w:val="20"/>
          <w:szCs w:val="20"/>
        </w:rPr>
        <w:t xml:space="preserve"> paslaug</w:t>
      </w:r>
      <w:r w:rsidR="00CD2507">
        <w:rPr>
          <w:rFonts w:cs="Arial"/>
          <w:b/>
          <w:sz w:val="20"/>
          <w:szCs w:val="20"/>
        </w:rPr>
        <w:t>os</w:t>
      </w:r>
    </w:p>
    <w:p w14:paraId="6B5A43DF" w14:textId="16835242" w:rsidR="001512C3" w:rsidRPr="00ED66E9" w:rsidRDefault="00CD2507" w:rsidP="00ED66E9">
      <w:pPr>
        <w:pStyle w:val="ListParagraph"/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ED66E9">
        <w:rPr>
          <w:rFonts w:cs="Arial"/>
          <w:bCs/>
          <w:sz w:val="20"/>
          <w:szCs w:val="20"/>
        </w:rPr>
        <w:t>Paslaugų</w:t>
      </w:r>
      <w:r w:rsidR="00D40ADF" w:rsidRPr="00ED66E9">
        <w:rPr>
          <w:rFonts w:cs="Arial"/>
          <w:bCs/>
          <w:sz w:val="20"/>
          <w:szCs w:val="20"/>
        </w:rPr>
        <w:t xml:space="preserve"> detalizavimas</w:t>
      </w:r>
      <w:r w:rsidR="001512C3" w:rsidRPr="00ED66E9">
        <w:rPr>
          <w:rFonts w:cs="Arial"/>
          <w:bCs/>
          <w:sz w:val="20"/>
          <w:szCs w:val="20"/>
        </w:rPr>
        <w:t xml:space="preserve"> </w:t>
      </w: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1495"/>
        <w:gridCol w:w="7624"/>
      </w:tblGrid>
      <w:tr w:rsidR="00CA278C" w:rsidRPr="00E22805" w14:paraId="058B7E25" w14:textId="77777777" w:rsidTr="008C5193">
        <w:trPr>
          <w:trHeight w:val="269"/>
        </w:trPr>
        <w:tc>
          <w:tcPr>
            <w:tcW w:w="517" w:type="dxa"/>
            <w:shd w:val="clear" w:color="auto" w:fill="BFBFBF" w:themeFill="background1" w:themeFillShade="BF"/>
            <w:vAlign w:val="center"/>
          </w:tcPr>
          <w:p w14:paraId="7770BDC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95" w:type="dxa"/>
            <w:shd w:val="clear" w:color="auto" w:fill="BFBFBF" w:themeFill="background1" w:themeFillShade="BF"/>
            <w:noWrap/>
            <w:vAlign w:val="center"/>
          </w:tcPr>
          <w:p w14:paraId="3B2E61FA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7624" w:type="dxa"/>
            <w:shd w:val="clear" w:color="auto" w:fill="BFBFBF" w:themeFill="background1" w:themeFillShade="BF"/>
            <w:noWrap/>
            <w:vAlign w:val="center"/>
          </w:tcPr>
          <w:p w14:paraId="7D717B1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CA278C" w:rsidRPr="00E22805" w14:paraId="44FA960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5372F6D4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7C74155A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0C6424F2" w14:textId="16342DB0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EA062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CA278C" w:rsidRPr="00E22805" w14:paraId="0467A52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5B5E0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833A6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81F38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CA278C" w:rsidRPr="00E22805" w14:paraId="2D5B5B3A" w14:textId="77777777" w:rsidTr="008C5193">
        <w:trPr>
          <w:trHeight w:val="177"/>
        </w:trPr>
        <w:tc>
          <w:tcPr>
            <w:tcW w:w="517" w:type="dxa"/>
            <w:vMerge/>
            <w:vAlign w:val="center"/>
          </w:tcPr>
          <w:p w14:paraId="1736DA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E5DAFF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35787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CA278C" w:rsidRPr="00E22805" w14:paraId="56BE4680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24C78C6D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662E89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6B81F57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3B3E0A6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CA278C" w:rsidRPr="00E22805" w14:paraId="146AE48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CA382A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D724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38F8840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CA278C" w:rsidRPr="00E22805" w14:paraId="156882EF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CEE53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D44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6E6013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CA278C" w:rsidRPr="00E22805" w14:paraId="3DED0AF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573CF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FEC32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6906E88" w14:textId="4329E95C" w:rsidR="00B30325" w:rsidRPr="00E22805" w:rsidRDefault="003965BF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</w:t>
            </w:r>
            <w:r w:rsidR="00B30325"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šmokos banko programoje (Buhalteris / Vyr. buhalteris)</w:t>
            </w:r>
          </w:p>
        </w:tc>
      </w:tr>
      <w:tr w:rsidR="00CA278C" w:rsidRPr="00E22805" w14:paraId="121BF6A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9CA31A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CDF5C3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FE15237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CA278C" w:rsidRPr="00E22805" w14:paraId="26DD09E0" w14:textId="77777777" w:rsidTr="008C5193">
        <w:trPr>
          <w:trHeight w:val="281"/>
        </w:trPr>
        <w:tc>
          <w:tcPr>
            <w:tcW w:w="517" w:type="dxa"/>
            <w:vMerge/>
            <w:vAlign w:val="center"/>
          </w:tcPr>
          <w:p w14:paraId="55D2230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995E25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19CD1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CA278C" w:rsidRPr="00E22805" w14:paraId="4A42340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8D0A42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47363479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587EAAA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(dalis proceso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2F13DA4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8D2DA3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C0967F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FE714C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Ilgalaikio turto apskaita (be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robotizavimo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 (Buhalteris / Vyr. buhalteris)</w:t>
            </w:r>
          </w:p>
        </w:tc>
      </w:tr>
      <w:tr w:rsidR="00CA278C" w:rsidRPr="00E22805" w14:paraId="409A8C38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7AA799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2066EF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BDCCC68" w14:textId="5120C088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Apskaitos prietaisų (skaitiklių) apskaita (dujos ir elektra) (Buhalteris /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Vyr.</w:t>
            </w:r>
            <w:r w:rsidR="008C519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</w:t>
            </w: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</w:t>
            </w:r>
          </w:p>
        </w:tc>
      </w:tr>
      <w:tr w:rsidR="00CA278C" w:rsidRPr="00E22805" w14:paraId="6D13FF7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402236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114DED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8B5AF53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CA278C" w:rsidRPr="00E22805" w14:paraId="74CBA3E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33C128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29FBBF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4FA639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CA278C" w:rsidRPr="00E22805" w14:paraId="6D5E683E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35B74B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6985E6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E696B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CA278C" w:rsidRPr="00E22805" w14:paraId="61EEE1E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9D20A1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9DAAA1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4BD017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CA278C" w:rsidRPr="00E22805" w14:paraId="7AE86E81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245DAF1E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913D4F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8DDAAA6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CA278C" w:rsidRPr="00E22805" w14:paraId="5ADB6EE5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1E440A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C910ED2" w14:textId="6AC9873C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3F28B6C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CA278C" w:rsidRPr="00E22805" w14:paraId="42135F3A" w14:textId="77777777" w:rsidTr="008C5193">
        <w:trPr>
          <w:trHeight w:val="221"/>
        </w:trPr>
        <w:tc>
          <w:tcPr>
            <w:tcW w:w="517" w:type="dxa"/>
            <w:vMerge/>
            <w:vAlign w:val="center"/>
          </w:tcPr>
          <w:p w14:paraId="2F3A3E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86A6F8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64577D7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CA278C" w:rsidRPr="00E22805" w14:paraId="6E9BA42C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7C391207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34758E34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DD3DE1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CA278C" w:rsidRPr="00E22805" w14:paraId="42740C3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3F618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307A1D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6D8B3BD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CA278C" w:rsidRPr="00E22805" w14:paraId="40B4E4B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9064AE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175BDA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CFA12E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Pardavimų apskaita 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 (Buhalteris / Vyr. buhalteris)</w:t>
            </w:r>
          </w:p>
        </w:tc>
      </w:tr>
      <w:tr w:rsidR="00CA278C" w:rsidRPr="00E22805" w14:paraId="07BE18A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76B724E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B104B3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21B8DE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CA278C" w:rsidRPr="00E22805" w14:paraId="7882C649" w14:textId="77777777" w:rsidTr="008C5193">
        <w:trPr>
          <w:trHeight w:val="261"/>
        </w:trPr>
        <w:tc>
          <w:tcPr>
            <w:tcW w:w="517" w:type="dxa"/>
            <w:vMerge/>
            <w:vAlign w:val="center"/>
          </w:tcPr>
          <w:p w14:paraId="22C4B030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EA7DC0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8B0FA6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CA278C" w:rsidRPr="00E22805" w14:paraId="201B1924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BFDD74E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64399DAE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1630DF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CA278C" w:rsidRPr="00E22805" w14:paraId="63EEAA3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AA04934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2522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5AAC905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CA278C" w:rsidRPr="00E22805" w14:paraId="123F2B02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560427C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877523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9AD08B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CA278C" w:rsidRPr="00E22805" w14:paraId="4FB1BFB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C619C4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7B5449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015CEF8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CA278C" w:rsidRPr="00E22805" w14:paraId="4CB2D08A" w14:textId="77777777" w:rsidTr="008C5193">
        <w:trPr>
          <w:trHeight w:val="171"/>
        </w:trPr>
        <w:tc>
          <w:tcPr>
            <w:tcW w:w="517" w:type="dxa"/>
            <w:vMerge/>
            <w:vAlign w:val="center"/>
          </w:tcPr>
          <w:p w14:paraId="711464C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366A56CC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28908E60" w14:textId="77777777" w:rsidR="00B30325" w:rsidRPr="00E22805" w:rsidRDefault="00B30325" w:rsidP="003965B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CA278C" w:rsidRPr="00E22805" w14:paraId="4B41A867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02F72BE8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5F5C1ABA" w14:textId="505601E1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B7A3B4B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CA278C" w:rsidRPr="00E22805" w14:paraId="2A933FDD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0E6508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EAB63F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6025F0C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CA278C" w:rsidRPr="00E22805" w14:paraId="344B74AA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6E05C9E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6F1F0A0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D1162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</w:t>
            </w:r>
            <w:proofErr w:type="spellStart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robotizuotas</w:t>
            </w:r>
            <w:proofErr w:type="spellEnd"/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procesas) (Buhalteris / Vyr. buhalteris)</w:t>
            </w:r>
          </w:p>
        </w:tc>
      </w:tr>
      <w:tr w:rsidR="00CA278C" w:rsidRPr="00E22805" w14:paraId="75958215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DC774D3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77D99F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B71B0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CA278C" w:rsidRPr="00E22805" w14:paraId="2F03EFE6" w14:textId="77777777" w:rsidTr="008C5193">
        <w:trPr>
          <w:trHeight w:val="286"/>
        </w:trPr>
        <w:tc>
          <w:tcPr>
            <w:tcW w:w="517" w:type="dxa"/>
            <w:vMerge/>
            <w:vAlign w:val="center"/>
          </w:tcPr>
          <w:p w14:paraId="03AC6109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7133E0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08408A3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CA278C" w:rsidRPr="00E22805" w14:paraId="0C3653CE" w14:textId="77777777" w:rsidTr="008C5193">
        <w:trPr>
          <w:trHeight w:val="269"/>
        </w:trPr>
        <w:tc>
          <w:tcPr>
            <w:tcW w:w="517" w:type="dxa"/>
            <w:vMerge w:val="restart"/>
            <w:vAlign w:val="center"/>
          </w:tcPr>
          <w:p w14:paraId="451704B3" w14:textId="77777777" w:rsidR="00B30325" w:rsidRPr="00E22805" w:rsidRDefault="00B30325" w:rsidP="008C5193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495" w:type="dxa"/>
            <w:vMerge w:val="restart"/>
            <w:shd w:val="clear" w:color="auto" w:fill="auto"/>
            <w:noWrap/>
            <w:vAlign w:val="center"/>
            <w:hideMark/>
          </w:tcPr>
          <w:p w14:paraId="1F1C1F12" w14:textId="77777777" w:rsidR="00B30325" w:rsidRPr="00E22805" w:rsidRDefault="00B30325" w:rsidP="00B5404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14E0B96D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CA278C" w:rsidRPr="00E22805" w14:paraId="01AA9A39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B39CB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330451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DD724C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CA278C" w:rsidRPr="00E22805" w14:paraId="5ED14407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08EB2B77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40EF34E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3CD1CA9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CA278C" w:rsidRPr="00E22805" w14:paraId="55D73741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D2BA912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F01D9ED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5123063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CA278C" w:rsidRPr="00E22805" w14:paraId="0E287A60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C6FAB0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2301136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B51DA16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CA278C" w:rsidRPr="00E22805" w14:paraId="375E8B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EB7C6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021173B6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7290C83C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CA278C" w:rsidRPr="00E22805" w14:paraId="0AAD08A3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41224425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A9D0B6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5CBE8C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CA278C" w:rsidRPr="00E22805" w14:paraId="3A1E23B4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2B31047F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12864738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4466E2F8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CA278C" w:rsidRPr="00E22805" w14:paraId="4CB6AF3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314C818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F125A1B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5E17A8E1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CA278C" w:rsidRPr="00E22805" w14:paraId="11455E2B" w14:textId="77777777" w:rsidTr="008C5193">
        <w:trPr>
          <w:trHeight w:val="269"/>
        </w:trPr>
        <w:tc>
          <w:tcPr>
            <w:tcW w:w="517" w:type="dxa"/>
            <w:vMerge/>
            <w:vAlign w:val="center"/>
          </w:tcPr>
          <w:p w14:paraId="176D4F11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5" w:type="dxa"/>
            <w:vMerge/>
            <w:noWrap/>
            <w:vAlign w:val="center"/>
            <w:hideMark/>
          </w:tcPr>
          <w:p w14:paraId="577EF07A" w14:textId="77777777" w:rsidR="00B30325" w:rsidRPr="00E22805" w:rsidRDefault="00B30325" w:rsidP="00B5404B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24" w:type="dxa"/>
            <w:shd w:val="clear" w:color="auto" w:fill="auto"/>
            <w:noWrap/>
            <w:vAlign w:val="center"/>
            <w:hideMark/>
          </w:tcPr>
          <w:p w14:paraId="3BDC6617" w14:textId="77777777" w:rsidR="00B30325" w:rsidRPr="00E22805" w:rsidRDefault="00B30325" w:rsidP="002263A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2280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lastRenderedPageBreak/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AEB6" w14:textId="77777777" w:rsidR="00F020FF" w:rsidRDefault="00F020FF" w:rsidP="00427694">
      <w:r>
        <w:separator/>
      </w:r>
    </w:p>
  </w:endnote>
  <w:endnote w:type="continuationSeparator" w:id="0">
    <w:p w14:paraId="1998458B" w14:textId="77777777" w:rsidR="00F020FF" w:rsidRDefault="00F020FF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8D380" w14:textId="77777777" w:rsidR="00F020FF" w:rsidRDefault="00F020FF" w:rsidP="00427694">
      <w:r>
        <w:separator/>
      </w:r>
    </w:p>
  </w:footnote>
  <w:footnote w:type="continuationSeparator" w:id="0">
    <w:p w14:paraId="18618B23" w14:textId="77777777" w:rsidR="00F020FF" w:rsidRDefault="00F020FF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55EAC8FF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D4099"/>
    <w:rsid w:val="000E011C"/>
    <w:rsid w:val="000E4215"/>
    <w:rsid w:val="000E64E0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813F1"/>
    <w:rsid w:val="0018597A"/>
    <w:rsid w:val="0019226D"/>
    <w:rsid w:val="001A2152"/>
    <w:rsid w:val="001F4E67"/>
    <w:rsid w:val="001F57AC"/>
    <w:rsid w:val="00205616"/>
    <w:rsid w:val="00221B57"/>
    <w:rsid w:val="002263AA"/>
    <w:rsid w:val="002465CA"/>
    <w:rsid w:val="002528BA"/>
    <w:rsid w:val="002635E4"/>
    <w:rsid w:val="00264EF7"/>
    <w:rsid w:val="00270435"/>
    <w:rsid w:val="00275D13"/>
    <w:rsid w:val="00297CFA"/>
    <w:rsid w:val="002B4BC7"/>
    <w:rsid w:val="002D7E6C"/>
    <w:rsid w:val="002F1089"/>
    <w:rsid w:val="002F6140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965BF"/>
    <w:rsid w:val="003A3753"/>
    <w:rsid w:val="003B7542"/>
    <w:rsid w:val="003C19B1"/>
    <w:rsid w:val="003C7376"/>
    <w:rsid w:val="003C7A4B"/>
    <w:rsid w:val="003D043D"/>
    <w:rsid w:val="003D3F10"/>
    <w:rsid w:val="003D551C"/>
    <w:rsid w:val="003E1F23"/>
    <w:rsid w:val="003E784D"/>
    <w:rsid w:val="003F2790"/>
    <w:rsid w:val="003F370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A3FA7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2E4"/>
    <w:rsid w:val="00554F68"/>
    <w:rsid w:val="005859F6"/>
    <w:rsid w:val="00597020"/>
    <w:rsid w:val="00597544"/>
    <w:rsid w:val="005A6AD4"/>
    <w:rsid w:val="005C3CD6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270B6"/>
    <w:rsid w:val="0064010B"/>
    <w:rsid w:val="00650104"/>
    <w:rsid w:val="0065435E"/>
    <w:rsid w:val="00660E4E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460E"/>
    <w:rsid w:val="007E6DE2"/>
    <w:rsid w:val="007E7F35"/>
    <w:rsid w:val="007F3CD0"/>
    <w:rsid w:val="00800D52"/>
    <w:rsid w:val="0080244F"/>
    <w:rsid w:val="00820513"/>
    <w:rsid w:val="00861FCC"/>
    <w:rsid w:val="00866636"/>
    <w:rsid w:val="00876051"/>
    <w:rsid w:val="00880EC5"/>
    <w:rsid w:val="00890A6E"/>
    <w:rsid w:val="008A3AD9"/>
    <w:rsid w:val="008B3991"/>
    <w:rsid w:val="008C03B9"/>
    <w:rsid w:val="008C1B7A"/>
    <w:rsid w:val="008C4C68"/>
    <w:rsid w:val="008C5193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4EC3"/>
    <w:rsid w:val="00935514"/>
    <w:rsid w:val="00946C35"/>
    <w:rsid w:val="00946F60"/>
    <w:rsid w:val="00950548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9F59A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86824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30325"/>
    <w:rsid w:val="00B41F34"/>
    <w:rsid w:val="00B41FEC"/>
    <w:rsid w:val="00B41FF4"/>
    <w:rsid w:val="00B442B7"/>
    <w:rsid w:val="00B46B8C"/>
    <w:rsid w:val="00B525C5"/>
    <w:rsid w:val="00B5404B"/>
    <w:rsid w:val="00B6032A"/>
    <w:rsid w:val="00B81729"/>
    <w:rsid w:val="00B9284A"/>
    <w:rsid w:val="00B95B9B"/>
    <w:rsid w:val="00BA720A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2292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278C"/>
    <w:rsid w:val="00CA7BB7"/>
    <w:rsid w:val="00CB0C83"/>
    <w:rsid w:val="00CC47F4"/>
    <w:rsid w:val="00CC741B"/>
    <w:rsid w:val="00CD2376"/>
    <w:rsid w:val="00CD2507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14E8"/>
    <w:rsid w:val="00D977E6"/>
    <w:rsid w:val="00D979C7"/>
    <w:rsid w:val="00DA5BA1"/>
    <w:rsid w:val="00DA73BD"/>
    <w:rsid w:val="00DA7C21"/>
    <w:rsid w:val="00DB00F5"/>
    <w:rsid w:val="00DB4387"/>
    <w:rsid w:val="00DB4DEC"/>
    <w:rsid w:val="00DC557E"/>
    <w:rsid w:val="00DE6560"/>
    <w:rsid w:val="00E05EAD"/>
    <w:rsid w:val="00E14E46"/>
    <w:rsid w:val="00E21CA2"/>
    <w:rsid w:val="00E33D26"/>
    <w:rsid w:val="00E433D2"/>
    <w:rsid w:val="00E45A46"/>
    <w:rsid w:val="00E5115C"/>
    <w:rsid w:val="00E54564"/>
    <w:rsid w:val="00E67401"/>
    <w:rsid w:val="00E74FB7"/>
    <w:rsid w:val="00E82367"/>
    <w:rsid w:val="00E919CF"/>
    <w:rsid w:val="00EA32FB"/>
    <w:rsid w:val="00EA7645"/>
    <w:rsid w:val="00EA7EAB"/>
    <w:rsid w:val="00EB69DB"/>
    <w:rsid w:val="00EC44BD"/>
    <w:rsid w:val="00EC6813"/>
    <w:rsid w:val="00ED66E9"/>
    <w:rsid w:val="00EE6E4A"/>
    <w:rsid w:val="00EF4072"/>
    <w:rsid w:val="00EF6D6C"/>
    <w:rsid w:val="00F00AE6"/>
    <w:rsid w:val="00F020FF"/>
    <w:rsid w:val="00F0442E"/>
    <w:rsid w:val="00F1059C"/>
    <w:rsid w:val="00F1310C"/>
    <w:rsid w:val="00F13DE8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0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5ECB10F2D2E4DFCB48C6A338922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17A3-D3E4-4436-9FE9-D00AEDC243F4}"/>
      </w:docPartPr>
      <w:docPartBody>
        <w:p w:rsidR="00A35054" w:rsidRDefault="00110A15" w:rsidP="00110A15">
          <w:pPr>
            <w:pStyle w:val="15ECB10F2D2E4DFCB48C6A3389221482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10A15"/>
    <w:rsid w:val="001B7CE1"/>
    <w:rsid w:val="005D5DA3"/>
    <w:rsid w:val="00662C84"/>
    <w:rsid w:val="006F4820"/>
    <w:rsid w:val="007F5B78"/>
    <w:rsid w:val="00A35054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A15"/>
    <w:rPr>
      <w:color w:val="808080"/>
    </w:rPr>
  </w:style>
  <w:style w:type="paragraph" w:customStyle="1" w:styleId="15ECB10F2D2E4DFCB48C6A33892214821">
    <w:name w:val="15ECB10F2D2E4DFCB48C6A33892214821"/>
    <w:rsid w:val="00110A1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C007E-3BC9-4F97-864B-B3793DA46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1e39af4-2bed-4a6a-b87a-349b7f47b89d"/>
    <ds:schemaRef ds:uri="http://purl.org/dc/elements/1.1/"/>
    <ds:schemaRef ds:uri="d4f3889e-0af5-4a9b-a141-a8874ad631c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2960C7-53FB-45D4-9470-8EC0AD6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Inga Brusokaitė</cp:lastModifiedBy>
  <cp:revision>28</cp:revision>
  <dcterms:created xsi:type="dcterms:W3CDTF">2021-12-02T09:11:00Z</dcterms:created>
  <dcterms:modified xsi:type="dcterms:W3CDTF">2021-12-13T19:54:00Z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2021-12-02T09:11:21Z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cd0ff428-3428-4f45-b11d-497ec3b66b65</vt:lpwstr>
  </property>
  <property fmtid="{D5CDD505-2E9C-101B-9397-08002B2CF9AE}" pid="17" name="MSIP_Label_190751af-2442-49a7-b7b9-9f0bcce858c9_ContentBits">
    <vt:lpwstr>0</vt:lpwstr>
  </property>
</Properties>
</file>