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Sraopastraipa"/>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31CFB">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083E2C7C" w:rsidR="00083DE4" w:rsidRPr="00C31CFB" w:rsidRDefault="00600DC8" w:rsidP="00FA13E5">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Šilumos tiekimo tinklų iki</w:t>
      </w:r>
      <w:r w:rsidR="00B94491">
        <w:rPr>
          <w:rFonts w:asciiTheme="minorHAnsi" w:hAnsiTheme="minorHAnsi" w:cstheme="minorHAnsi"/>
          <w:bCs/>
          <w:i w:val="0"/>
          <w:iCs w:val="0"/>
          <w:sz w:val="22"/>
          <w:szCs w:val="22"/>
        </w:rPr>
        <w:t xml:space="preserve"> </w:t>
      </w:r>
      <w:r w:rsidR="004832B6">
        <w:rPr>
          <w:rFonts w:asciiTheme="minorHAnsi" w:hAnsiTheme="minorHAnsi" w:cstheme="minorHAnsi"/>
          <w:bCs/>
          <w:i w:val="0"/>
          <w:iCs w:val="0"/>
          <w:sz w:val="22"/>
          <w:szCs w:val="22"/>
        </w:rPr>
        <w:t>daugiabučio gyvenamojo namo Grigalaukio g. 15 (II etapas)</w:t>
      </w:r>
      <w:r w:rsidR="00C31CFB" w:rsidRPr="00C31CFB">
        <w:rPr>
          <w:rFonts w:asciiTheme="minorHAnsi" w:hAnsiTheme="minorHAnsi" w:cstheme="minorHAnsi"/>
          <w:bCs/>
          <w:i w:val="0"/>
          <w:iCs w:val="0"/>
          <w:sz w:val="22"/>
          <w:szCs w:val="22"/>
        </w:rPr>
        <w:t xml:space="preserve"> 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747807">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747807">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747807">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7516BB5E" w14:textId="77777777" w:rsidR="002F6D40" w:rsidRPr="008455C5" w:rsidRDefault="002F6D40" w:rsidP="00747807">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Pirkimas vykdomas dinaminės pirkimo sistemos pagrindu ir priskiriamas I kategorija – šilumos tiekimo tinklų statyba. Neypatingieji statiniai</w:t>
      </w:r>
    </w:p>
    <w:p w14:paraId="406B48B3" w14:textId="77777777" w:rsidR="00176E91" w:rsidRPr="00423CEE" w:rsidRDefault="00176E91" w:rsidP="00747807">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747807">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1EE3F0A8" w:rsidR="00FA60AA" w:rsidRPr="00984F8E" w:rsidRDefault="00C265F9" w:rsidP="00747807">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w:t>
      </w:r>
      <w:r w:rsidR="004832B6">
        <w:rPr>
          <w:rFonts w:asciiTheme="minorHAnsi" w:eastAsia="Calibri" w:hAnsiTheme="minorHAnsi" w:cstheme="minorHAnsi"/>
          <w:i w:val="0"/>
          <w:iCs w:val="0"/>
          <w:color w:val="000000"/>
          <w:sz w:val="22"/>
          <w:szCs w:val="22"/>
          <w:lang w:eastAsia="lt-LT" w:bidi="lt-LT"/>
        </w:rPr>
        <w:t xml:space="preserve">darbo </w:t>
      </w:r>
      <w:r w:rsidRPr="00984F8E">
        <w:rPr>
          <w:rFonts w:asciiTheme="minorHAnsi" w:eastAsia="Calibri" w:hAnsiTheme="minorHAnsi" w:cstheme="minorHAnsi"/>
          <w:i w:val="0"/>
          <w:iCs w:val="0"/>
          <w:color w:val="000000"/>
          <w:sz w:val="22"/>
          <w:szCs w:val="22"/>
          <w:lang w:eastAsia="lt-LT" w:bidi="lt-LT"/>
        </w:rPr>
        <w:t>projekto „</w:t>
      </w:r>
      <w:r w:rsidR="004832B6">
        <w:rPr>
          <w:rFonts w:asciiTheme="minorHAnsi" w:eastAsia="Calibri" w:hAnsiTheme="minorHAnsi" w:cstheme="minorHAnsi"/>
          <w:i w:val="0"/>
          <w:iCs w:val="0"/>
          <w:color w:val="000000"/>
          <w:sz w:val="22"/>
          <w:szCs w:val="22"/>
          <w:lang w:eastAsia="lt-LT" w:bidi="lt-LT"/>
        </w:rPr>
        <w:t xml:space="preserve">Daugiabučio gyvenamojo namo Grigalaukio g. 15 Vilniuje </w:t>
      </w:r>
      <w:r w:rsidR="004832B6" w:rsidRPr="00423CEE">
        <w:rPr>
          <w:rFonts w:asciiTheme="minorHAnsi" w:eastAsia="Calibri" w:hAnsiTheme="minorHAnsi" w:cstheme="minorHAnsi"/>
          <w:i w:val="0"/>
          <w:iCs w:val="0"/>
          <w:color w:val="000000"/>
          <w:lang w:eastAsia="lt-LT" w:bidi="lt-LT"/>
        </w:rPr>
        <w:t>statybos proj</w:t>
      </w:r>
      <w:r w:rsidR="004832B6" w:rsidRPr="00423CEE">
        <w:rPr>
          <w:rFonts w:asciiTheme="minorHAnsi" w:hAnsiTheme="minorHAnsi" w:cstheme="minorHAnsi"/>
          <w:i w:val="0"/>
          <w:iCs w:val="0"/>
        </w:rPr>
        <w:t>ektas</w:t>
      </w:r>
      <w:r w:rsidR="004832B6" w:rsidRPr="00984F8E">
        <w:rPr>
          <w:rFonts w:asciiTheme="minorHAnsi" w:eastAsia="Calibri" w:hAnsiTheme="minorHAnsi" w:cstheme="minorHAnsi"/>
          <w:i w:val="0"/>
          <w:iCs w:val="0"/>
          <w:color w:val="000000"/>
          <w:sz w:val="22"/>
          <w:szCs w:val="22"/>
          <w:lang w:eastAsia="lt-LT" w:bidi="lt-LT"/>
        </w:rPr>
        <w:t>“ šilumos tiekimo projekto dal</w:t>
      </w:r>
      <w:r w:rsidR="004832B6">
        <w:rPr>
          <w:rFonts w:asciiTheme="minorHAnsi" w:eastAsia="Calibri" w:hAnsiTheme="minorHAnsi" w:cstheme="minorHAnsi"/>
          <w:i w:val="0"/>
          <w:iCs w:val="0"/>
          <w:color w:val="000000"/>
          <w:sz w:val="22"/>
          <w:szCs w:val="22"/>
          <w:lang w:eastAsia="lt-LT" w:bidi="lt-LT"/>
        </w:rPr>
        <w:t xml:space="preserve">is </w:t>
      </w:r>
      <w:r w:rsidR="004832B6" w:rsidRPr="007151B9">
        <w:rPr>
          <w:rFonts w:asciiTheme="minorHAnsi" w:eastAsia="Calibri" w:hAnsiTheme="minorHAnsi" w:cstheme="minorHAnsi"/>
          <w:b/>
          <w:bCs/>
          <w:i w:val="0"/>
          <w:iCs w:val="0"/>
          <w:color w:val="000000"/>
          <w:sz w:val="22"/>
          <w:szCs w:val="22"/>
          <w:lang w:eastAsia="lt-LT" w:bidi="lt-LT"/>
        </w:rPr>
        <w:t>I</w:t>
      </w:r>
      <w:r w:rsidR="004832B6">
        <w:rPr>
          <w:rFonts w:asciiTheme="minorHAnsi" w:eastAsia="Calibri" w:hAnsiTheme="minorHAnsi" w:cstheme="minorHAnsi"/>
          <w:b/>
          <w:bCs/>
          <w:i w:val="0"/>
          <w:iCs w:val="0"/>
          <w:color w:val="000000"/>
          <w:sz w:val="22"/>
          <w:szCs w:val="22"/>
          <w:lang w:eastAsia="lt-LT" w:bidi="lt-LT"/>
        </w:rPr>
        <w:t>I</w:t>
      </w:r>
      <w:r w:rsidR="004832B6" w:rsidRPr="007151B9">
        <w:rPr>
          <w:rFonts w:asciiTheme="minorHAnsi" w:eastAsia="Calibri" w:hAnsiTheme="minorHAnsi" w:cstheme="minorHAnsi"/>
          <w:b/>
          <w:bCs/>
          <w:i w:val="0"/>
          <w:iCs w:val="0"/>
          <w:color w:val="000000"/>
          <w:sz w:val="22"/>
          <w:szCs w:val="22"/>
          <w:lang w:eastAsia="lt-LT" w:bidi="lt-LT"/>
        </w:rPr>
        <w:t xml:space="preserve"> etapas</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50F5908C" w14:textId="33D67408" w:rsidR="0097200A" w:rsidRPr="003047C6" w:rsidRDefault="00FA60AA" w:rsidP="00FA13E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(be dangų atstatymo)</w:t>
      </w:r>
      <w:r w:rsidR="003047C6">
        <w:rPr>
          <w:rFonts w:asciiTheme="minorHAnsi" w:eastAsia="Calibri" w:hAnsiTheme="minorHAnsi" w:cstheme="minorHAnsi"/>
          <w:b/>
          <w:bCs/>
          <w:i w:val="0"/>
          <w:iCs w:val="0"/>
          <w:sz w:val="22"/>
          <w:szCs w:val="22"/>
          <w:lang w:bidi="lt-LT"/>
        </w:rPr>
        <w:t xml:space="preserve"> </w:t>
      </w:r>
      <w:r w:rsidR="002F6D40" w:rsidRPr="003047C6">
        <w:rPr>
          <w:rFonts w:asciiTheme="minorHAnsi" w:eastAsia="Calibri" w:hAnsiTheme="minorHAnsi" w:cstheme="minorHAnsi"/>
          <w:i w:val="0"/>
          <w:iCs w:val="0"/>
          <w:sz w:val="22"/>
          <w:szCs w:val="22"/>
          <w:lang w:bidi="lt-LT"/>
        </w:rPr>
        <w:t>– iki 2024-</w:t>
      </w:r>
      <w:r w:rsidR="004832B6">
        <w:rPr>
          <w:rFonts w:asciiTheme="minorHAnsi" w:eastAsia="Calibri" w:hAnsiTheme="minorHAnsi" w:cstheme="minorHAnsi"/>
          <w:i w:val="0"/>
          <w:iCs w:val="0"/>
          <w:sz w:val="22"/>
          <w:szCs w:val="22"/>
          <w:lang w:bidi="lt-LT"/>
        </w:rPr>
        <w:t>1</w:t>
      </w:r>
      <w:r w:rsidR="002F6D40" w:rsidRPr="003047C6">
        <w:rPr>
          <w:rFonts w:asciiTheme="minorHAnsi" w:eastAsia="Calibri" w:hAnsiTheme="minorHAnsi" w:cstheme="minorHAnsi"/>
          <w:i w:val="0"/>
          <w:iCs w:val="0"/>
          <w:sz w:val="22"/>
          <w:szCs w:val="22"/>
          <w:lang w:bidi="lt-LT"/>
        </w:rPr>
        <w:t>0-</w:t>
      </w:r>
      <w:r w:rsidR="00747807">
        <w:rPr>
          <w:rFonts w:asciiTheme="minorHAnsi" w:eastAsia="Calibri" w:hAnsiTheme="minorHAnsi" w:cstheme="minorHAnsi"/>
          <w:i w:val="0"/>
          <w:iCs w:val="0"/>
          <w:sz w:val="22"/>
          <w:szCs w:val="22"/>
          <w:lang w:bidi="lt-LT"/>
        </w:rPr>
        <w:t>31</w:t>
      </w:r>
      <w:r w:rsidR="002F6D40" w:rsidRPr="003047C6">
        <w:rPr>
          <w:rFonts w:asciiTheme="minorHAnsi" w:eastAsia="Calibri" w:hAnsiTheme="minorHAnsi" w:cstheme="minorHAnsi"/>
          <w:i w:val="0"/>
          <w:iCs w:val="0"/>
          <w:sz w:val="22"/>
          <w:szCs w:val="22"/>
          <w:lang w:bidi="lt-LT"/>
        </w:rPr>
        <w:t>;</w:t>
      </w:r>
    </w:p>
    <w:p w14:paraId="1CD18739" w14:textId="3BBB558E" w:rsidR="00C249AD" w:rsidRPr="00423CEE" w:rsidRDefault="00FA60AA" w:rsidP="00747807">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4832B6">
        <w:rPr>
          <w:rFonts w:asciiTheme="minorHAnsi" w:eastAsia="Calibri" w:hAnsiTheme="minorHAnsi" w:cstheme="minorHAnsi"/>
          <w:i w:val="0"/>
          <w:iCs w:val="0"/>
          <w:sz w:val="22"/>
          <w:szCs w:val="22"/>
          <w:highlight w:val="lightGray"/>
          <w:lang w:bidi="lt-LT"/>
        </w:rPr>
        <w:t>0</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4832B6">
        <w:rPr>
          <w:rFonts w:asciiTheme="minorHAnsi" w:eastAsia="Calibri" w:hAnsiTheme="minorHAnsi" w:cstheme="minorHAnsi"/>
          <w:i w:val="0"/>
          <w:iCs w:val="0"/>
          <w:sz w:val="22"/>
          <w:szCs w:val="22"/>
          <w:highlight w:val="lightGray"/>
          <w:lang w:bidi="lt-LT"/>
        </w:rPr>
        <w:t>1</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001C8130" w:rsidR="00132DD3" w:rsidRPr="001000E7" w:rsidRDefault="00132DD3" w:rsidP="00FA13E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4832B6">
        <w:rPr>
          <w:rFonts w:asciiTheme="minorHAnsi" w:eastAsia="Calibri" w:hAnsiTheme="minorHAnsi" w:cstheme="minorHAnsi"/>
          <w:i w:val="0"/>
          <w:iCs w:val="0"/>
          <w:sz w:val="22"/>
          <w:szCs w:val="22"/>
          <w:lang w:bidi="lt-LT"/>
        </w:rPr>
        <w:t>5</w:t>
      </w:r>
      <w:r w:rsidRPr="00423CEE">
        <w:rPr>
          <w:rFonts w:asciiTheme="minorHAnsi" w:eastAsia="Calibri" w:hAnsiTheme="minorHAnsi" w:cstheme="minorHAnsi"/>
          <w:i w:val="0"/>
          <w:iCs w:val="0"/>
          <w:sz w:val="22"/>
          <w:szCs w:val="22"/>
          <w:lang w:bidi="lt-LT"/>
        </w:rPr>
        <w:t>-</w:t>
      </w:r>
      <w:r w:rsidR="004832B6">
        <w:rPr>
          <w:rFonts w:asciiTheme="minorHAnsi" w:eastAsia="Calibri" w:hAnsiTheme="minorHAnsi" w:cstheme="minorHAnsi"/>
          <w:i w:val="0"/>
          <w:iCs w:val="0"/>
          <w:sz w:val="22"/>
          <w:szCs w:val="22"/>
          <w:lang w:bidi="lt-LT"/>
        </w:rPr>
        <w:t>0</w:t>
      </w:r>
      <w:r w:rsidR="00747807">
        <w:rPr>
          <w:rFonts w:asciiTheme="minorHAnsi" w:eastAsia="Calibri" w:hAnsiTheme="minorHAnsi" w:cstheme="minorHAnsi"/>
          <w:i w:val="0"/>
          <w:iCs w:val="0"/>
          <w:sz w:val="22"/>
          <w:szCs w:val="22"/>
          <w:lang w:bidi="lt-LT"/>
        </w:rPr>
        <w:t>2</w:t>
      </w:r>
      <w:r w:rsidR="00D86CC1" w:rsidRPr="00423CEE">
        <w:rPr>
          <w:rFonts w:asciiTheme="minorHAnsi" w:eastAsia="Calibri" w:hAnsiTheme="minorHAnsi" w:cstheme="minorHAnsi"/>
          <w:i w:val="0"/>
          <w:iCs w:val="0"/>
          <w:sz w:val="22"/>
          <w:szCs w:val="22"/>
          <w:lang w:bidi="lt-LT"/>
        </w:rPr>
        <w:t>-</w:t>
      </w:r>
      <w:r w:rsidR="004832B6">
        <w:rPr>
          <w:rFonts w:asciiTheme="minorHAnsi" w:eastAsia="Calibri" w:hAnsiTheme="minorHAnsi" w:cstheme="minorHAnsi"/>
          <w:i w:val="0"/>
          <w:iCs w:val="0"/>
          <w:sz w:val="22"/>
          <w:szCs w:val="22"/>
          <w:lang w:bidi="lt-LT"/>
        </w:rPr>
        <w:t>28</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A4F2C"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A4F2C"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lastRenderedPageBreak/>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Sraopastraipa"/>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6C20D7E1" w:rsidR="00D76DD9" w:rsidRPr="00FC22DA" w:rsidRDefault="00D76DD9" w:rsidP="00FA13E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w:t>
      </w:r>
      <w:r w:rsidR="004832B6">
        <w:rPr>
          <w:rFonts w:asciiTheme="minorHAnsi" w:eastAsia="Calibri" w:hAnsiTheme="minorHAnsi" w:cstheme="minorHAnsi"/>
          <w:i w:val="0"/>
          <w:iCs w:val="0"/>
          <w:color w:val="000000"/>
          <w:sz w:val="22"/>
          <w:szCs w:val="22"/>
          <w:lang w:eastAsia="lt-LT" w:bidi="lt-LT"/>
        </w:rPr>
        <w:t xml:space="preserve">darbo </w:t>
      </w:r>
      <w:r w:rsidRPr="00FC22DA">
        <w:rPr>
          <w:rFonts w:asciiTheme="minorHAnsi" w:eastAsia="Calibri" w:hAnsiTheme="minorHAnsi" w:cstheme="minorHAnsi"/>
          <w:i w:val="0"/>
          <w:iCs w:val="0"/>
          <w:color w:val="000000"/>
          <w:sz w:val="22"/>
          <w:szCs w:val="22"/>
          <w:lang w:eastAsia="lt-LT" w:bidi="lt-LT"/>
        </w:rPr>
        <w:t>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brėžiniuose statybos vadovas pažymi žyma „Taip pastatyta“.</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lastRenderedPageBreak/>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lastRenderedPageBreak/>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Sraopastraipa"/>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techninio įrenginio pasas;</w:t>
      </w:r>
    </w:p>
    <w:p w14:paraId="190F4A0F"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0C81D577" w14:textId="1A94F685"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47EB6498" w14:textId="77777777" w:rsidR="00DF1A5A" w:rsidRPr="0085519C" w:rsidRDefault="00DF1A5A" w:rsidP="00C31CFB">
      <w:pPr>
        <w:pStyle w:val="Sraopastraipa"/>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AC165BE" w:rsidR="0028427A" w:rsidRPr="0085519C" w:rsidRDefault="0028427A" w:rsidP="002C1AB0">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darbo projektas su statybos vadovo įrašais „Taip pastatyta“.</w:t>
      </w:r>
    </w:p>
    <w:p w14:paraId="7A432B7D" w14:textId="51043F3A" w:rsidR="0028427A" w:rsidRPr="00DF1A5A" w:rsidRDefault="0028427A" w:rsidP="00C31CFB">
      <w:pPr>
        <w:pStyle w:val="Sraopastraipa"/>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604445F4" w:rsidR="00322793" w:rsidRPr="004B625F" w:rsidRDefault="00DD661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.docx, .</w:t>
      </w:r>
      <w:r w:rsidR="00C2782A">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 .pdf ir kt. formato) formose.</w:t>
      </w:r>
    </w:p>
    <w:p w14:paraId="1D5B0220" w14:textId="77777777" w:rsidR="004B625F" w:rsidRPr="004B625F" w:rsidRDefault="004B625F"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C31CFB">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Puslapioinaosnuoroda"/>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ipersaitas"/>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P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557E3" w14:textId="77777777" w:rsidR="00146507" w:rsidRDefault="00146507">
      <w:r>
        <w:separator/>
      </w:r>
    </w:p>
  </w:endnote>
  <w:endnote w:type="continuationSeparator" w:id="0">
    <w:p w14:paraId="28EE38E2" w14:textId="77777777" w:rsidR="00146507" w:rsidRDefault="0014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C453" w14:textId="77777777" w:rsidR="00146507" w:rsidRDefault="00146507">
      <w:r>
        <w:separator/>
      </w:r>
    </w:p>
  </w:footnote>
  <w:footnote w:type="continuationSeparator" w:id="0">
    <w:p w14:paraId="7090E43C" w14:textId="77777777" w:rsidR="00146507" w:rsidRDefault="00146507">
      <w:r>
        <w:continuationSeparator/>
      </w:r>
    </w:p>
  </w:footnote>
  <w:footnote w:id="1">
    <w:p w14:paraId="0A8EDA58" w14:textId="77777777" w:rsidR="004B625F" w:rsidRPr="00AF630E" w:rsidRDefault="004B625F" w:rsidP="004B625F">
      <w:pPr>
        <w:pStyle w:val="Puslapioinaostekstas"/>
        <w:rPr>
          <w:b/>
          <w:bCs/>
          <w:lang w:val="lt-LT"/>
        </w:rPr>
      </w:pPr>
      <w:r>
        <w:rPr>
          <w:rStyle w:val="Puslapioinaosnuoroda"/>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1"/>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2C"/>
    <w:rsid w:val="000A4FE3"/>
    <w:rsid w:val="000A5B63"/>
    <w:rsid w:val="000A79C4"/>
    <w:rsid w:val="000A7B3D"/>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6507"/>
    <w:rsid w:val="001465D5"/>
    <w:rsid w:val="00150A7F"/>
    <w:rsid w:val="00151561"/>
    <w:rsid w:val="001534F7"/>
    <w:rsid w:val="00163A86"/>
    <w:rsid w:val="00163F23"/>
    <w:rsid w:val="00170776"/>
    <w:rsid w:val="00172CE3"/>
    <w:rsid w:val="00174C45"/>
    <w:rsid w:val="00176186"/>
    <w:rsid w:val="001764F5"/>
    <w:rsid w:val="00176C52"/>
    <w:rsid w:val="00176E91"/>
    <w:rsid w:val="00185092"/>
    <w:rsid w:val="00190ADC"/>
    <w:rsid w:val="0019172B"/>
    <w:rsid w:val="00191C35"/>
    <w:rsid w:val="00192ABC"/>
    <w:rsid w:val="001A101F"/>
    <w:rsid w:val="001A103F"/>
    <w:rsid w:val="001B0C85"/>
    <w:rsid w:val="001B1AC0"/>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1AB0"/>
    <w:rsid w:val="002C2E55"/>
    <w:rsid w:val="002C3686"/>
    <w:rsid w:val="002C56DB"/>
    <w:rsid w:val="002D082E"/>
    <w:rsid w:val="002D1D6F"/>
    <w:rsid w:val="002D7659"/>
    <w:rsid w:val="002E4F16"/>
    <w:rsid w:val="002E6D59"/>
    <w:rsid w:val="002F19FB"/>
    <w:rsid w:val="002F6D40"/>
    <w:rsid w:val="0030359F"/>
    <w:rsid w:val="003047C6"/>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4CA0"/>
    <w:rsid w:val="00385FDB"/>
    <w:rsid w:val="00390AB1"/>
    <w:rsid w:val="0039268B"/>
    <w:rsid w:val="0039370C"/>
    <w:rsid w:val="003A2749"/>
    <w:rsid w:val="003A4F66"/>
    <w:rsid w:val="003A51F5"/>
    <w:rsid w:val="003C02E3"/>
    <w:rsid w:val="003C3B84"/>
    <w:rsid w:val="003C5747"/>
    <w:rsid w:val="003D529B"/>
    <w:rsid w:val="003D681D"/>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7933"/>
    <w:rsid w:val="004620C8"/>
    <w:rsid w:val="00467399"/>
    <w:rsid w:val="00475476"/>
    <w:rsid w:val="00481569"/>
    <w:rsid w:val="004832B6"/>
    <w:rsid w:val="004924E7"/>
    <w:rsid w:val="004A0A2A"/>
    <w:rsid w:val="004A5964"/>
    <w:rsid w:val="004A6B08"/>
    <w:rsid w:val="004B176D"/>
    <w:rsid w:val="004B625F"/>
    <w:rsid w:val="004C0FA3"/>
    <w:rsid w:val="004C2B13"/>
    <w:rsid w:val="004D2407"/>
    <w:rsid w:val="004D5230"/>
    <w:rsid w:val="004D5B7E"/>
    <w:rsid w:val="004E0910"/>
    <w:rsid w:val="00502879"/>
    <w:rsid w:val="00502C1C"/>
    <w:rsid w:val="00503B2A"/>
    <w:rsid w:val="00510709"/>
    <w:rsid w:val="00510ED3"/>
    <w:rsid w:val="00524E94"/>
    <w:rsid w:val="00525346"/>
    <w:rsid w:val="00532D4A"/>
    <w:rsid w:val="00533B6A"/>
    <w:rsid w:val="00535B95"/>
    <w:rsid w:val="0054169B"/>
    <w:rsid w:val="00544A63"/>
    <w:rsid w:val="00547A57"/>
    <w:rsid w:val="00553D2F"/>
    <w:rsid w:val="00556551"/>
    <w:rsid w:val="00565959"/>
    <w:rsid w:val="0057116F"/>
    <w:rsid w:val="00576F99"/>
    <w:rsid w:val="00582C9E"/>
    <w:rsid w:val="0058302F"/>
    <w:rsid w:val="005834A5"/>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47807"/>
    <w:rsid w:val="00747BCA"/>
    <w:rsid w:val="0075355D"/>
    <w:rsid w:val="00754184"/>
    <w:rsid w:val="007559E7"/>
    <w:rsid w:val="00757A20"/>
    <w:rsid w:val="00764AE1"/>
    <w:rsid w:val="0077176F"/>
    <w:rsid w:val="00773044"/>
    <w:rsid w:val="007779D1"/>
    <w:rsid w:val="007779E7"/>
    <w:rsid w:val="00780014"/>
    <w:rsid w:val="00780336"/>
    <w:rsid w:val="00781FFB"/>
    <w:rsid w:val="007A3D7D"/>
    <w:rsid w:val="007A568F"/>
    <w:rsid w:val="007A5825"/>
    <w:rsid w:val="007D0E8F"/>
    <w:rsid w:val="007E263C"/>
    <w:rsid w:val="007E623C"/>
    <w:rsid w:val="007F603C"/>
    <w:rsid w:val="00812E96"/>
    <w:rsid w:val="00815E1B"/>
    <w:rsid w:val="00816202"/>
    <w:rsid w:val="00821C8D"/>
    <w:rsid w:val="00822828"/>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13F"/>
    <w:rsid w:val="008D5571"/>
    <w:rsid w:val="008E3619"/>
    <w:rsid w:val="008F2406"/>
    <w:rsid w:val="008F331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17AD8"/>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2160"/>
    <w:rsid w:val="00A641B0"/>
    <w:rsid w:val="00A674C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E6762"/>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94491"/>
    <w:rsid w:val="00BA0CAC"/>
    <w:rsid w:val="00BA178B"/>
    <w:rsid w:val="00BA20F9"/>
    <w:rsid w:val="00BA434A"/>
    <w:rsid w:val="00BB6336"/>
    <w:rsid w:val="00BC6765"/>
    <w:rsid w:val="00BC71D7"/>
    <w:rsid w:val="00BC7AC5"/>
    <w:rsid w:val="00BE066B"/>
    <w:rsid w:val="00BE47BB"/>
    <w:rsid w:val="00BE5E88"/>
    <w:rsid w:val="00BE60E7"/>
    <w:rsid w:val="00BF1CDF"/>
    <w:rsid w:val="00BF1CF6"/>
    <w:rsid w:val="00C00846"/>
    <w:rsid w:val="00C01456"/>
    <w:rsid w:val="00C10CB4"/>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2F62"/>
    <w:rsid w:val="00C77130"/>
    <w:rsid w:val="00C81F85"/>
    <w:rsid w:val="00C84FC5"/>
    <w:rsid w:val="00C8636E"/>
    <w:rsid w:val="00C96628"/>
    <w:rsid w:val="00CA366E"/>
    <w:rsid w:val="00CA4DFF"/>
    <w:rsid w:val="00CA559C"/>
    <w:rsid w:val="00CA76EA"/>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158DB"/>
    <w:rsid w:val="00D259A2"/>
    <w:rsid w:val="00D322CA"/>
    <w:rsid w:val="00D3738E"/>
    <w:rsid w:val="00D415EC"/>
    <w:rsid w:val="00D5597A"/>
    <w:rsid w:val="00D57489"/>
    <w:rsid w:val="00D64054"/>
    <w:rsid w:val="00D75566"/>
    <w:rsid w:val="00D76DD9"/>
    <w:rsid w:val="00D76E96"/>
    <w:rsid w:val="00D80290"/>
    <w:rsid w:val="00D8412F"/>
    <w:rsid w:val="00D86CC1"/>
    <w:rsid w:val="00D87E4D"/>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09BF"/>
    <w:rsid w:val="00E1521B"/>
    <w:rsid w:val="00E15716"/>
    <w:rsid w:val="00E238FD"/>
    <w:rsid w:val="00E255CA"/>
    <w:rsid w:val="00E25AFB"/>
    <w:rsid w:val="00E26727"/>
    <w:rsid w:val="00E27F21"/>
    <w:rsid w:val="00E30410"/>
    <w:rsid w:val="00E33E1F"/>
    <w:rsid w:val="00E4078D"/>
    <w:rsid w:val="00E50A70"/>
    <w:rsid w:val="00E523FC"/>
    <w:rsid w:val="00E5333E"/>
    <w:rsid w:val="00E70486"/>
    <w:rsid w:val="00E71B00"/>
    <w:rsid w:val="00E72766"/>
    <w:rsid w:val="00E75B91"/>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E4375"/>
    <w:rsid w:val="00EE4928"/>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13E5"/>
    <w:rsid w:val="00FA60AA"/>
    <w:rsid w:val="00FB0868"/>
    <w:rsid w:val="00FB2C4C"/>
    <w:rsid w:val="00FB45C7"/>
    <w:rsid w:val="00FB5207"/>
    <w:rsid w:val="00FC22DA"/>
    <w:rsid w:val="00FC6E35"/>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character" w:styleId="Perirtashipersaitas">
    <w:name w:val="FollowedHyperlink"/>
    <w:basedOn w:val="Numatytasispastraiposriftas"/>
    <w:uiPriority w:val="99"/>
    <w:semiHidden/>
    <w:unhideWhenUsed/>
    <w:rsid w:val="006C4621"/>
    <w:rPr>
      <w:color w:val="954F72" w:themeColor="followedHyperlink"/>
      <w:u w:val="singl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FA60AA"/>
    <w:rPr>
      <w:rFonts w:ascii="Arial" w:hAnsi="Arial"/>
    </w:rPr>
  </w:style>
  <w:style w:type="paragraph" w:styleId="Pataisymai">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Numatytasispastraiposriftas"/>
    <w:rsid w:val="001000E7"/>
  </w:style>
  <w:style w:type="paragraph" w:styleId="Puslapioinaostekstas">
    <w:name w:val="footnote text"/>
    <w:basedOn w:val="prastasis"/>
    <w:link w:val="PuslapioinaostekstasDiagrama"/>
    <w:rsid w:val="004B625F"/>
    <w:pPr>
      <w:spacing w:after="160" w:line="256" w:lineRule="auto"/>
    </w:pPr>
    <w:rPr>
      <w:rFonts w:ascii="Calibri" w:eastAsia="Calibri" w:hAnsi="Calibri" w:cs="DokChampa"/>
      <w:color w:val="auto"/>
      <w:sz w:val="20"/>
      <w:szCs w:val="20"/>
      <w:lang w:val="en-US" w:eastAsia="en-US"/>
    </w:rPr>
  </w:style>
  <w:style w:type="character" w:customStyle="1" w:styleId="PuslapioinaostekstasDiagrama">
    <w:name w:val="Puslapio išnašos tekstas Diagrama"/>
    <w:basedOn w:val="Numatytasispastraiposriftas"/>
    <w:link w:val="Puslapioinaostekstas"/>
    <w:rsid w:val="004B625F"/>
    <w:rPr>
      <w:rFonts w:ascii="Calibri" w:eastAsia="Calibri" w:hAnsi="Calibri" w:cs="DokChampa"/>
      <w:sz w:val="20"/>
      <w:szCs w:val="20"/>
      <w:lang w:val="en-US"/>
    </w:rPr>
  </w:style>
  <w:style w:type="character" w:styleId="Puslapioinaosnuoroda">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2.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3.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2973</Words>
  <Characters>16947</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cp:revision>
  <dcterms:created xsi:type="dcterms:W3CDTF">2024-05-28T09:38:00Z</dcterms:created>
  <dcterms:modified xsi:type="dcterms:W3CDTF">2024-07-02T11:38:00Z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