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1E45" w14:textId="77777777" w:rsidR="00BE2E48" w:rsidRPr="00F32C32" w:rsidRDefault="00BE2E48" w:rsidP="00BE2E48">
      <w:pPr>
        <w:jc w:val="right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F32C32">
        <w:rPr>
          <w:rFonts w:ascii="Calibri" w:hAnsi="Calibri" w:cs="Calibri"/>
          <w:color w:val="000000" w:themeColor="text1"/>
          <w:sz w:val="22"/>
          <w:szCs w:val="22"/>
          <w:lang w:val="en-GB"/>
        </w:rPr>
        <w:t>Annex 3</w:t>
      </w:r>
    </w:p>
    <w:p w14:paraId="0E6B3F4C" w14:textId="77777777" w:rsidR="00E75B45" w:rsidRPr="00F32C32" w:rsidRDefault="00E75B45" w:rsidP="00BE2E48">
      <w:pPr>
        <w:jc w:val="right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F32C32">
        <w:rPr>
          <w:rFonts w:ascii="Calibri" w:hAnsi="Calibri" w:cs="Calibri"/>
          <w:color w:val="000000" w:themeColor="text1"/>
          <w:sz w:val="22"/>
          <w:szCs w:val="22"/>
          <w:lang w:val="en-GB"/>
        </w:rPr>
        <w:t>(</w:t>
      </w:r>
      <w:r w:rsidR="00E474F1" w:rsidRPr="00F32C32">
        <w:rPr>
          <w:rFonts w:ascii="Calibri" w:hAnsi="Calibri" w:cs="Calibri"/>
          <w:color w:val="000000" w:themeColor="text1"/>
          <w:sz w:val="22"/>
          <w:szCs w:val="22"/>
          <w:lang w:val="en-GB"/>
        </w:rPr>
        <w:t>Modified</w:t>
      </w:r>
      <w:r w:rsidRPr="00F32C32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by the Agreement)</w:t>
      </w:r>
    </w:p>
    <w:p w14:paraId="4367EE65" w14:textId="77777777" w:rsidR="00BE2E48" w:rsidRPr="00F32C32" w:rsidRDefault="00BE2E48" w:rsidP="00BE2E48">
      <w:pPr>
        <w:jc w:val="right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</w:p>
    <w:p w14:paraId="053183D8" w14:textId="77777777" w:rsidR="00BE2E48" w:rsidRPr="00F32C32" w:rsidRDefault="00E75B45" w:rsidP="00BE2E48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</w:pPr>
      <w:r w:rsidRPr="00F32C32"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  <w:t>SERVICE</w:t>
      </w:r>
      <w:r w:rsidR="00BE2E48" w:rsidRPr="00F32C32"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  <w:t xml:space="preserve"> RATES</w:t>
      </w:r>
    </w:p>
    <w:p w14:paraId="579B9F34" w14:textId="77777777" w:rsidR="00BE2E48" w:rsidRPr="00F32C32" w:rsidRDefault="00BE2E48" w:rsidP="00BE2E48">
      <w:pPr>
        <w:spacing w:before="60" w:after="6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tbl>
      <w:tblPr>
        <w:tblStyle w:val="TableGrid1"/>
        <w:tblW w:w="12287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447"/>
        <w:gridCol w:w="4140"/>
        <w:gridCol w:w="2340"/>
        <w:gridCol w:w="2790"/>
      </w:tblGrid>
      <w:tr w:rsidR="001769BD" w:rsidRPr="00194B3C" w14:paraId="507B93CC" w14:textId="0BBDADCD" w:rsidTr="001769BD">
        <w:trPr>
          <w:jc w:val="center"/>
        </w:trPr>
        <w:tc>
          <w:tcPr>
            <w:tcW w:w="570" w:type="dxa"/>
            <w:vAlign w:val="center"/>
          </w:tcPr>
          <w:p w14:paraId="08376E67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No</w:t>
            </w:r>
            <w:proofErr w:type="spellEnd"/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47" w:type="dxa"/>
            <w:vAlign w:val="center"/>
          </w:tcPr>
          <w:p w14:paraId="51931718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Equipment</w:t>
            </w:r>
            <w:proofErr w:type="spellEnd"/>
          </w:p>
        </w:tc>
        <w:tc>
          <w:tcPr>
            <w:tcW w:w="4140" w:type="dxa"/>
            <w:vAlign w:val="center"/>
          </w:tcPr>
          <w:p w14:paraId="12E9DDF8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2340" w:type="dxa"/>
            <w:vAlign w:val="center"/>
          </w:tcPr>
          <w:p w14:paraId="30F53C4D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GB"/>
              </w:rPr>
              <w:t xml:space="preserve">Maximum quantity of the Services for a period </w:t>
            </w:r>
          </w:p>
        </w:tc>
        <w:tc>
          <w:tcPr>
            <w:tcW w:w="2790" w:type="dxa"/>
          </w:tcPr>
          <w:p w14:paraId="06C147CD" w14:textId="2C9A669A" w:rsidR="001769BD" w:rsidRPr="00194B3C" w:rsidRDefault="001769BD" w:rsidP="00194B3C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GB"/>
              </w:rPr>
              <w:t>Price rate of 1 measurement unit</w:t>
            </w:r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*, </w:t>
            </w:r>
            <w:proofErr w:type="spellStart"/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recalculated</w:t>
            </w:r>
            <w:proofErr w:type="spellEnd"/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EUR, </w:t>
            </w:r>
            <w:proofErr w:type="spellStart"/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excluding</w:t>
            </w:r>
            <w:proofErr w:type="spellEnd"/>
            <w:r w:rsidRPr="00194B3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VAT</w:t>
            </w:r>
          </w:p>
        </w:tc>
      </w:tr>
      <w:tr w:rsidR="001769BD" w:rsidRPr="00194B3C" w14:paraId="40C187C4" w14:textId="3FEC2B09" w:rsidTr="001769BD">
        <w:trPr>
          <w:jc w:val="center"/>
        </w:trPr>
        <w:tc>
          <w:tcPr>
            <w:tcW w:w="570" w:type="dxa"/>
            <w:vAlign w:val="center"/>
          </w:tcPr>
          <w:p w14:paraId="2FE1E741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2447" w:type="dxa"/>
          </w:tcPr>
          <w:p w14:paraId="087182E8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4140" w:type="dxa"/>
            <w:vAlign w:val="center"/>
          </w:tcPr>
          <w:p w14:paraId="05B7AD0A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2340" w:type="dxa"/>
            <w:vAlign w:val="center"/>
          </w:tcPr>
          <w:p w14:paraId="7276194B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2790" w:type="dxa"/>
          </w:tcPr>
          <w:p w14:paraId="623BCE83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</w:p>
        </w:tc>
      </w:tr>
      <w:tr w:rsidR="001769BD" w:rsidRPr="00194B3C" w14:paraId="3C62CBDE" w14:textId="2B6E540E" w:rsidTr="00194B3C">
        <w:trPr>
          <w:jc w:val="center"/>
        </w:trPr>
        <w:tc>
          <w:tcPr>
            <w:tcW w:w="570" w:type="dxa"/>
            <w:vAlign w:val="center"/>
          </w:tcPr>
          <w:p w14:paraId="5B823B93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14:paraId="2E345A48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Vilnius ILS/DME RWY01</w:t>
            </w:r>
          </w:p>
        </w:tc>
        <w:tc>
          <w:tcPr>
            <w:tcW w:w="4140" w:type="dxa"/>
          </w:tcPr>
          <w:p w14:paraId="29785ADE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Periodic flight inspections without tests of monitors</w:t>
            </w:r>
          </w:p>
          <w:p w14:paraId="0942C0E8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0EF37FB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429B561B" w14:textId="3DA7941E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2</w:t>
            </w:r>
            <w:r w:rsidR="00BD34E2"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834</w:t>
            </w: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</w:t>
            </w:r>
            <w:r w:rsidR="00BD34E2"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57</w:t>
            </w:r>
          </w:p>
        </w:tc>
      </w:tr>
      <w:tr w:rsidR="001769BD" w:rsidRPr="00194B3C" w14:paraId="60712F5E" w14:textId="5C432C6A" w:rsidTr="00194B3C">
        <w:trPr>
          <w:jc w:val="center"/>
        </w:trPr>
        <w:tc>
          <w:tcPr>
            <w:tcW w:w="570" w:type="dxa"/>
            <w:vAlign w:val="center"/>
          </w:tcPr>
          <w:p w14:paraId="3533D300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447" w:type="dxa"/>
            <w:vMerge/>
          </w:tcPr>
          <w:p w14:paraId="20326831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8D3D453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 with tests of monitors</w:t>
            </w: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01855AA9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3F3A516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180BB9D9" w14:textId="042DE166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4724,28</w:t>
            </w:r>
          </w:p>
        </w:tc>
      </w:tr>
      <w:tr w:rsidR="001769BD" w:rsidRPr="00194B3C" w14:paraId="751D0194" w14:textId="14E57D6C" w:rsidTr="00194B3C">
        <w:trPr>
          <w:trHeight w:val="773"/>
          <w:jc w:val="center"/>
        </w:trPr>
        <w:tc>
          <w:tcPr>
            <w:tcW w:w="570" w:type="dxa"/>
            <w:vAlign w:val="center"/>
          </w:tcPr>
          <w:p w14:paraId="71330682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447" w:type="dxa"/>
            <w:vMerge/>
          </w:tcPr>
          <w:p w14:paraId="4D8D8F81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AC71F74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Commissioning flight inspections</w:t>
            </w:r>
          </w:p>
          <w:p w14:paraId="540E8BF1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D1B7E7B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43094591" w14:textId="7BF72AC1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9448,56</w:t>
            </w:r>
          </w:p>
        </w:tc>
      </w:tr>
      <w:tr w:rsidR="001769BD" w:rsidRPr="00194B3C" w14:paraId="6F799E37" w14:textId="55BEA165" w:rsidTr="00194B3C">
        <w:trPr>
          <w:jc w:val="center"/>
        </w:trPr>
        <w:tc>
          <w:tcPr>
            <w:tcW w:w="570" w:type="dxa"/>
            <w:vAlign w:val="center"/>
          </w:tcPr>
          <w:p w14:paraId="74D28173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447" w:type="dxa"/>
            <w:vMerge w:val="restart"/>
            <w:vAlign w:val="center"/>
          </w:tcPr>
          <w:p w14:paraId="4ABD0E31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Vilnius ILS/DME RWY 19</w:t>
            </w:r>
          </w:p>
        </w:tc>
        <w:tc>
          <w:tcPr>
            <w:tcW w:w="4140" w:type="dxa"/>
          </w:tcPr>
          <w:p w14:paraId="51D6398D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 without tests of monitors</w:t>
            </w: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26AC891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59D1D31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0D4271BE" w14:textId="079744E4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2834,57</w:t>
            </w:r>
          </w:p>
        </w:tc>
      </w:tr>
      <w:tr w:rsidR="001769BD" w:rsidRPr="00194B3C" w14:paraId="5C67E838" w14:textId="49123587" w:rsidTr="00194B3C">
        <w:trPr>
          <w:jc w:val="center"/>
        </w:trPr>
        <w:tc>
          <w:tcPr>
            <w:tcW w:w="570" w:type="dxa"/>
            <w:vAlign w:val="center"/>
          </w:tcPr>
          <w:p w14:paraId="27B7956C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447" w:type="dxa"/>
            <w:vMerge/>
          </w:tcPr>
          <w:p w14:paraId="48EC2A5F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7226C0F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 with tests of monitors</w:t>
            </w: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6E98445A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28326C8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5A9C5C06" w14:textId="5DC87FF0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4724,28</w:t>
            </w:r>
          </w:p>
        </w:tc>
      </w:tr>
      <w:tr w:rsidR="001769BD" w:rsidRPr="00194B3C" w14:paraId="43FB4101" w14:textId="3B83462B" w:rsidTr="00194B3C">
        <w:trPr>
          <w:jc w:val="center"/>
        </w:trPr>
        <w:tc>
          <w:tcPr>
            <w:tcW w:w="570" w:type="dxa"/>
            <w:vAlign w:val="center"/>
          </w:tcPr>
          <w:p w14:paraId="194494B9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447" w:type="dxa"/>
            <w:vMerge w:val="restart"/>
            <w:vAlign w:val="center"/>
          </w:tcPr>
          <w:p w14:paraId="770A31A7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Kaunas ILS/DME RWY 08</w:t>
            </w:r>
          </w:p>
        </w:tc>
        <w:tc>
          <w:tcPr>
            <w:tcW w:w="4140" w:type="dxa"/>
          </w:tcPr>
          <w:p w14:paraId="5D1FD990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 without tests of monitors</w:t>
            </w: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9EA59EE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E88D987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3627C05B" w14:textId="51D18C10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2834,57</w:t>
            </w:r>
          </w:p>
        </w:tc>
      </w:tr>
      <w:tr w:rsidR="001769BD" w:rsidRPr="00194B3C" w14:paraId="0B3AC8FB" w14:textId="2E0B29A4" w:rsidTr="00194B3C">
        <w:trPr>
          <w:jc w:val="center"/>
        </w:trPr>
        <w:tc>
          <w:tcPr>
            <w:tcW w:w="570" w:type="dxa"/>
            <w:vAlign w:val="center"/>
          </w:tcPr>
          <w:p w14:paraId="18F992B8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447" w:type="dxa"/>
            <w:vMerge/>
          </w:tcPr>
          <w:p w14:paraId="397E4EAC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14:paraId="3D9CEE4E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 with tests of monitors</w:t>
            </w:r>
          </w:p>
          <w:p w14:paraId="486F0DA9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76BF8BD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7D495676" w14:textId="24DEB821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4724,28</w:t>
            </w:r>
          </w:p>
        </w:tc>
      </w:tr>
      <w:tr w:rsidR="001769BD" w:rsidRPr="00194B3C" w14:paraId="4527A966" w14:textId="0186DD90" w:rsidTr="00194B3C">
        <w:trPr>
          <w:jc w:val="center"/>
        </w:trPr>
        <w:tc>
          <w:tcPr>
            <w:tcW w:w="570" w:type="dxa"/>
            <w:vAlign w:val="center"/>
          </w:tcPr>
          <w:p w14:paraId="693CFCDA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2447" w:type="dxa"/>
            <w:vMerge w:val="restart"/>
            <w:vAlign w:val="center"/>
          </w:tcPr>
          <w:p w14:paraId="63BD35D3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Kaunas ILS/DME RWY 26</w:t>
            </w:r>
          </w:p>
        </w:tc>
        <w:tc>
          <w:tcPr>
            <w:tcW w:w="4140" w:type="dxa"/>
          </w:tcPr>
          <w:p w14:paraId="6CC6B871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 without tests of monitors</w:t>
            </w: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E9EAA42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7F66C56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2DEE97FC" w14:textId="61E8A118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2834,57</w:t>
            </w:r>
          </w:p>
        </w:tc>
      </w:tr>
      <w:tr w:rsidR="001769BD" w:rsidRPr="00194B3C" w14:paraId="142773F6" w14:textId="35495AA4" w:rsidTr="00194B3C">
        <w:trPr>
          <w:jc w:val="center"/>
        </w:trPr>
        <w:tc>
          <w:tcPr>
            <w:tcW w:w="570" w:type="dxa"/>
            <w:vAlign w:val="center"/>
          </w:tcPr>
          <w:p w14:paraId="1D9A8DF7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9.</w:t>
            </w:r>
          </w:p>
        </w:tc>
        <w:tc>
          <w:tcPr>
            <w:tcW w:w="2447" w:type="dxa"/>
            <w:vMerge/>
          </w:tcPr>
          <w:p w14:paraId="4D450363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B9FD1D1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 with tests of monitors</w:t>
            </w:r>
          </w:p>
          <w:p w14:paraId="6D412B7F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82E889E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5A271E7B" w14:textId="3B3CE78E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4724,28</w:t>
            </w:r>
          </w:p>
        </w:tc>
      </w:tr>
      <w:tr w:rsidR="001769BD" w:rsidRPr="00194B3C" w14:paraId="16A5C9F6" w14:textId="29C92F29" w:rsidTr="00194B3C">
        <w:trPr>
          <w:jc w:val="center"/>
        </w:trPr>
        <w:tc>
          <w:tcPr>
            <w:tcW w:w="570" w:type="dxa"/>
            <w:vAlign w:val="center"/>
          </w:tcPr>
          <w:p w14:paraId="48984EED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2447" w:type="dxa"/>
            <w:vMerge w:val="restart"/>
            <w:vAlign w:val="center"/>
          </w:tcPr>
          <w:p w14:paraId="1618BA89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Palanga</w:t>
            </w:r>
            <w:proofErr w:type="spellEnd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ILS/DME RWY19</w:t>
            </w:r>
          </w:p>
        </w:tc>
        <w:tc>
          <w:tcPr>
            <w:tcW w:w="4140" w:type="dxa"/>
          </w:tcPr>
          <w:p w14:paraId="4DB8C47A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 without tests of monitors</w:t>
            </w: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44566AB1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247D122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26230B37" w14:textId="1FBBC4EA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2834,57</w:t>
            </w:r>
          </w:p>
        </w:tc>
      </w:tr>
      <w:tr w:rsidR="001769BD" w:rsidRPr="00194B3C" w14:paraId="476F208A" w14:textId="29721639" w:rsidTr="00194B3C">
        <w:trPr>
          <w:jc w:val="center"/>
        </w:trPr>
        <w:tc>
          <w:tcPr>
            <w:tcW w:w="570" w:type="dxa"/>
            <w:vAlign w:val="center"/>
          </w:tcPr>
          <w:p w14:paraId="7141A846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2447" w:type="dxa"/>
            <w:vMerge/>
          </w:tcPr>
          <w:p w14:paraId="7EE17153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9C56C93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 with tests of monitors</w:t>
            </w:r>
          </w:p>
          <w:p w14:paraId="15E2FAC7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FBB60AF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18CB4900" w14:textId="56BD6630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4724,28</w:t>
            </w:r>
          </w:p>
        </w:tc>
      </w:tr>
      <w:tr w:rsidR="001769BD" w:rsidRPr="00194B3C" w14:paraId="2D6484A5" w14:textId="49BC32A2" w:rsidTr="00194B3C">
        <w:trPr>
          <w:trHeight w:val="719"/>
          <w:jc w:val="center"/>
        </w:trPr>
        <w:tc>
          <w:tcPr>
            <w:tcW w:w="570" w:type="dxa"/>
            <w:vAlign w:val="center"/>
          </w:tcPr>
          <w:p w14:paraId="0D402295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2447" w:type="dxa"/>
          </w:tcPr>
          <w:p w14:paraId="707B5670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Vilnius DVOR/DME</w:t>
            </w:r>
          </w:p>
        </w:tc>
        <w:tc>
          <w:tcPr>
            <w:tcW w:w="4140" w:type="dxa"/>
          </w:tcPr>
          <w:p w14:paraId="46AFFC40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</w:t>
            </w:r>
          </w:p>
          <w:p w14:paraId="686CFCF0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8306D49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53EF3C14" w14:textId="05BE5289" w:rsidR="001769BD" w:rsidRPr="00194B3C" w:rsidRDefault="00BD34E2" w:rsidP="00194B3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5669,14</w:t>
            </w:r>
          </w:p>
        </w:tc>
      </w:tr>
      <w:tr w:rsidR="001769BD" w:rsidRPr="00194B3C" w14:paraId="0DD53C43" w14:textId="1BE0B332" w:rsidTr="00194B3C">
        <w:trPr>
          <w:trHeight w:val="719"/>
          <w:jc w:val="center"/>
        </w:trPr>
        <w:tc>
          <w:tcPr>
            <w:tcW w:w="570" w:type="dxa"/>
            <w:vAlign w:val="center"/>
          </w:tcPr>
          <w:p w14:paraId="044180BE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2447" w:type="dxa"/>
          </w:tcPr>
          <w:p w14:paraId="5FF4A17C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Vilnius NDB</w:t>
            </w:r>
          </w:p>
        </w:tc>
        <w:tc>
          <w:tcPr>
            <w:tcW w:w="4140" w:type="dxa"/>
          </w:tcPr>
          <w:p w14:paraId="46E3EF2F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</w:t>
            </w:r>
          </w:p>
          <w:p w14:paraId="315BAF73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5668C4C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1647362C" w14:textId="1957A219" w:rsidR="001769BD" w:rsidRPr="00194B3C" w:rsidRDefault="00BD34E2" w:rsidP="00194B3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1889,71</w:t>
            </w:r>
          </w:p>
        </w:tc>
      </w:tr>
      <w:tr w:rsidR="001769BD" w:rsidRPr="00194B3C" w14:paraId="561A9995" w14:textId="44F5E185" w:rsidTr="00194B3C">
        <w:trPr>
          <w:trHeight w:val="701"/>
          <w:jc w:val="center"/>
        </w:trPr>
        <w:tc>
          <w:tcPr>
            <w:tcW w:w="570" w:type="dxa"/>
            <w:vAlign w:val="center"/>
          </w:tcPr>
          <w:p w14:paraId="48758A0A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2447" w:type="dxa"/>
          </w:tcPr>
          <w:p w14:paraId="603D8835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Valkininkai</w:t>
            </w:r>
            <w:proofErr w:type="spellEnd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DME</w:t>
            </w:r>
          </w:p>
        </w:tc>
        <w:tc>
          <w:tcPr>
            <w:tcW w:w="4140" w:type="dxa"/>
          </w:tcPr>
          <w:p w14:paraId="339F4CA5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</w:t>
            </w:r>
          </w:p>
          <w:p w14:paraId="014C254B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13F6F6F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27D97340" w14:textId="4BEEC2F4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1889,71</w:t>
            </w:r>
          </w:p>
        </w:tc>
      </w:tr>
      <w:tr w:rsidR="001769BD" w:rsidRPr="00194B3C" w14:paraId="7947683D" w14:textId="5C27201C" w:rsidTr="00194B3C">
        <w:trPr>
          <w:trHeight w:val="809"/>
          <w:jc w:val="center"/>
        </w:trPr>
        <w:tc>
          <w:tcPr>
            <w:tcW w:w="570" w:type="dxa"/>
            <w:vAlign w:val="center"/>
          </w:tcPr>
          <w:p w14:paraId="5582CD88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2447" w:type="dxa"/>
          </w:tcPr>
          <w:p w14:paraId="1613C389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Semelišk</w:t>
            </w:r>
            <w:proofErr w:type="spellEnd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ės</w:t>
            </w: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DME</w:t>
            </w:r>
          </w:p>
        </w:tc>
        <w:tc>
          <w:tcPr>
            <w:tcW w:w="4140" w:type="dxa"/>
          </w:tcPr>
          <w:p w14:paraId="0F410C2E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</w:t>
            </w:r>
          </w:p>
          <w:p w14:paraId="4D7CF709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E1DE232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6407C569" w14:textId="7320389F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1889,71</w:t>
            </w:r>
          </w:p>
        </w:tc>
      </w:tr>
      <w:tr w:rsidR="001769BD" w:rsidRPr="00194B3C" w14:paraId="20CE746C" w14:textId="192D34EC" w:rsidTr="00194B3C">
        <w:trPr>
          <w:trHeight w:val="791"/>
          <w:jc w:val="center"/>
        </w:trPr>
        <w:tc>
          <w:tcPr>
            <w:tcW w:w="570" w:type="dxa"/>
            <w:vAlign w:val="center"/>
          </w:tcPr>
          <w:p w14:paraId="4376F20F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2447" w:type="dxa"/>
          </w:tcPr>
          <w:p w14:paraId="4530F3B4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Paberžė</w:t>
            </w:r>
            <w:proofErr w:type="spellEnd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DME</w:t>
            </w:r>
          </w:p>
        </w:tc>
        <w:tc>
          <w:tcPr>
            <w:tcW w:w="4140" w:type="dxa"/>
          </w:tcPr>
          <w:p w14:paraId="02021A75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</w:t>
            </w:r>
          </w:p>
          <w:p w14:paraId="25BDBAB8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AB0F1DE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76540B29" w14:textId="61D9734F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1889,71</w:t>
            </w:r>
          </w:p>
        </w:tc>
      </w:tr>
      <w:tr w:rsidR="001769BD" w:rsidRPr="00194B3C" w14:paraId="719E010A" w14:textId="113D2466" w:rsidTr="00194B3C">
        <w:trPr>
          <w:trHeight w:val="719"/>
          <w:jc w:val="center"/>
        </w:trPr>
        <w:tc>
          <w:tcPr>
            <w:tcW w:w="570" w:type="dxa"/>
            <w:vAlign w:val="center"/>
          </w:tcPr>
          <w:p w14:paraId="2B551699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2447" w:type="dxa"/>
          </w:tcPr>
          <w:p w14:paraId="7A50AA5E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Vilnius ARP</w:t>
            </w:r>
          </w:p>
        </w:tc>
        <w:tc>
          <w:tcPr>
            <w:tcW w:w="4140" w:type="dxa"/>
          </w:tcPr>
          <w:p w14:paraId="03A4E099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Commissioning flight inspections</w:t>
            </w:r>
          </w:p>
          <w:p w14:paraId="6748F837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5673D61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1AA244F" w14:textId="3F2F75E8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4724,28</w:t>
            </w:r>
          </w:p>
        </w:tc>
      </w:tr>
      <w:tr w:rsidR="001769BD" w:rsidRPr="00194B3C" w14:paraId="29AF2300" w14:textId="273FE0F0" w:rsidTr="00194B3C">
        <w:trPr>
          <w:jc w:val="center"/>
        </w:trPr>
        <w:tc>
          <w:tcPr>
            <w:tcW w:w="570" w:type="dxa"/>
            <w:vAlign w:val="center"/>
          </w:tcPr>
          <w:p w14:paraId="559ACF46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2447" w:type="dxa"/>
          </w:tcPr>
          <w:p w14:paraId="2F0E86F9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Kaunas DVOR/DME</w:t>
            </w:r>
          </w:p>
        </w:tc>
        <w:tc>
          <w:tcPr>
            <w:tcW w:w="4140" w:type="dxa"/>
          </w:tcPr>
          <w:p w14:paraId="5B5CD06D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</w:t>
            </w:r>
          </w:p>
          <w:p w14:paraId="12B4DADD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F3D0E07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58A522F0" w14:textId="25B7CAB2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5669,14</w:t>
            </w:r>
          </w:p>
        </w:tc>
      </w:tr>
      <w:tr w:rsidR="001769BD" w:rsidRPr="00194B3C" w14:paraId="63B2B039" w14:textId="523A4387" w:rsidTr="00194B3C">
        <w:trPr>
          <w:trHeight w:val="809"/>
          <w:jc w:val="center"/>
        </w:trPr>
        <w:tc>
          <w:tcPr>
            <w:tcW w:w="570" w:type="dxa"/>
            <w:vAlign w:val="center"/>
          </w:tcPr>
          <w:p w14:paraId="3EDE9230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2447" w:type="dxa"/>
          </w:tcPr>
          <w:p w14:paraId="7B9B1772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Kaunas NDB</w:t>
            </w:r>
          </w:p>
        </w:tc>
        <w:tc>
          <w:tcPr>
            <w:tcW w:w="4140" w:type="dxa"/>
          </w:tcPr>
          <w:p w14:paraId="07DF72B8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</w:t>
            </w:r>
          </w:p>
          <w:p w14:paraId="2240AB87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60113BD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203D72ED" w14:textId="0F02052F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1889,71</w:t>
            </w:r>
          </w:p>
        </w:tc>
      </w:tr>
      <w:tr w:rsidR="001769BD" w:rsidRPr="00194B3C" w14:paraId="52633213" w14:textId="706EC29D" w:rsidTr="00194B3C">
        <w:trPr>
          <w:trHeight w:val="791"/>
          <w:jc w:val="center"/>
        </w:trPr>
        <w:tc>
          <w:tcPr>
            <w:tcW w:w="570" w:type="dxa"/>
            <w:vAlign w:val="center"/>
          </w:tcPr>
          <w:p w14:paraId="591F6807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2447" w:type="dxa"/>
          </w:tcPr>
          <w:p w14:paraId="24E6AEE9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Kaunas ARP</w:t>
            </w:r>
          </w:p>
        </w:tc>
        <w:tc>
          <w:tcPr>
            <w:tcW w:w="4140" w:type="dxa"/>
          </w:tcPr>
          <w:p w14:paraId="40D0D65E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Commissioning flight inspections</w:t>
            </w:r>
          </w:p>
          <w:p w14:paraId="26BCB70E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0C764EF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42CFD0A" w14:textId="0F58D1EB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3779,42</w:t>
            </w:r>
          </w:p>
        </w:tc>
      </w:tr>
      <w:tr w:rsidR="001769BD" w:rsidRPr="00194B3C" w14:paraId="6CD4E9C6" w14:textId="2CF45A27" w:rsidTr="00194B3C">
        <w:trPr>
          <w:trHeight w:val="809"/>
          <w:jc w:val="center"/>
        </w:trPr>
        <w:tc>
          <w:tcPr>
            <w:tcW w:w="570" w:type="dxa"/>
            <w:vAlign w:val="center"/>
          </w:tcPr>
          <w:p w14:paraId="4284F0F9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447" w:type="dxa"/>
          </w:tcPr>
          <w:p w14:paraId="011D53C8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Palanga</w:t>
            </w:r>
            <w:proofErr w:type="spellEnd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NDB</w:t>
            </w:r>
          </w:p>
        </w:tc>
        <w:tc>
          <w:tcPr>
            <w:tcW w:w="4140" w:type="dxa"/>
          </w:tcPr>
          <w:p w14:paraId="5D23D288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</w:t>
            </w:r>
          </w:p>
          <w:p w14:paraId="4250920F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80028E9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353344C3" w14:textId="6058CAF0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1889,71</w:t>
            </w:r>
          </w:p>
        </w:tc>
      </w:tr>
      <w:tr w:rsidR="001769BD" w:rsidRPr="00194B3C" w14:paraId="78E5F421" w14:textId="0AE1C855" w:rsidTr="00194B3C">
        <w:trPr>
          <w:trHeight w:val="791"/>
          <w:jc w:val="center"/>
        </w:trPr>
        <w:tc>
          <w:tcPr>
            <w:tcW w:w="570" w:type="dxa"/>
            <w:vAlign w:val="center"/>
          </w:tcPr>
          <w:p w14:paraId="3F193B41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2447" w:type="dxa"/>
            <w:vAlign w:val="center"/>
          </w:tcPr>
          <w:p w14:paraId="4602FCDD" w14:textId="77777777" w:rsidR="001769BD" w:rsidRPr="00194B3C" w:rsidRDefault="001769BD" w:rsidP="00194B3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Palanga</w:t>
            </w:r>
            <w:proofErr w:type="spellEnd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DME</w:t>
            </w:r>
          </w:p>
        </w:tc>
        <w:tc>
          <w:tcPr>
            <w:tcW w:w="4140" w:type="dxa"/>
          </w:tcPr>
          <w:p w14:paraId="7BAB725D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</w:t>
            </w:r>
          </w:p>
          <w:p w14:paraId="7B4F4FF2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CBAE1FD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12CF100A" w14:textId="507785D5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1889,71</w:t>
            </w:r>
          </w:p>
        </w:tc>
      </w:tr>
      <w:tr w:rsidR="001769BD" w:rsidRPr="00194B3C" w14:paraId="79D722DA" w14:textId="2CA71B16" w:rsidTr="00194B3C">
        <w:trPr>
          <w:trHeight w:val="791"/>
          <w:jc w:val="center"/>
        </w:trPr>
        <w:tc>
          <w:tcPr>
            <w:tcW w:w="570" w:type="dxa"/>
            <w:vAlign w:val="center"/>
          </w:tcPr>
          <w:p w14:paraId="28D38FE6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2447" w:type="dxa"/>
          </w:tcPr>
          <w:p w14:paraId="57443269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Klaipėda</w:t>
            </w:r>
            <w:proofErr w:type="spellEnd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DVOR/DME</w:t>
            </w:r>
          </w:p>
        </w:tc>
        <w:tc>
          <w:tcPr>
            <w:tcW w:w="4140" w:type="dxa"/>
          </w:tcPr>
          <w:p w14:paraId="6E4EC766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Periodic flight inspections</w:t>
            </w:r>
          </w:p>
          <w:p w14:paraId="5F448B6A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3A548FB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21C6F176" w14:textId="18DFB53E" w:rsidR="001769BD" w:rsidRPr="00194B3C" w:rsidRDefault="00BD34E2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4724,28</w:t>
            </w:r>
          </w:p>
        </w:tc>
      </w:tr>
      <w:tr w:rsidR="001769BD" w:rsidRPr="00194B3C" w14:paraId="60AC0B78" w14:textId="682A06DE" w:rsidTr="00194B3C">
        <w:trPr>
          <w:trHeight w:val="719"/>
          <w:jc w:val="center"/>
        </w:trPr>
        <w:tc>
          <w:tcPr>
            <w:tcW w:w="570" w:type="dxa"/>
            <w:vAlign w:val="center"/>
          </w:tcPr>
          <w:p w14:paraId="4D60F13E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2447" w:type="dxa"/>
          </w:tcPr>
          <w:p w14:paraId="1B13AEAB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Palanga</w:t>
            </w:r>
            <w:proofErr w:type="spellEnd"/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ARP</w:t>
            </w:r>
          </w:p>
        </w:tc>
        <w:tc>
          <w:tcPr>
            <w:tcW w:w="4140" w:type="dxa"/>
          </w:tcPr>
          <w:p w14:paraId="5D20931C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Commissioning flight inspections</w:t>
            </w:r>
          </w:p>
          <w:p w14:paraId="45B893D4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50C131E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inspection</w:t>
            </w:r>
            <w:proofErr w:type="spellEnd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66C09" w14:textId="17A79FA0" w:rsidR="001769BD" w:rsidRPr="00194B3C" w:rsidRDefault="007A3719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5669,14</w:t>
            </w:r>
          </w:p>
        </w:tc>
      </w:tr>
      <w:tr w:rsidR="001769BD" w:rsidRPr="00194B3C" w14:paraId="49A91CD3" w14:textId="217B52A3" w:rsidTr="00194B3C">
        <w:trPr>
          <w:jc w:val="center"/>
        </w:trPr>
        <w:tc>
          <w:tcPr>
            <w:tcW w:w="570" w:type="dxa"/>
            <w:vAlign w:val="center"/>
          </w:tcPr>
          <w:p w14:paraId="4340E4C4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6587" w:type="dxa"/>
            <w:gridSpan w:val="2"/>
          </w:tcPr>
          <w:p w14:paraId="2B951BCE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  <w:t>Additional flights, when implementing additional assignments according to the demand of the Buyer:</w:t>
            </w:r>
          </w:p>
          <w:p w14:paraId="12587732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  <w:t xml:space="preserve">a) additional parameter adjustments during regular flight </w:t>
            </w:r>
            <w:proofErr w:type="gram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  <w:t>inspections;</w:t>
            </w:r>
            <w:proofErr w:type="gramEnd"/>
          </w:p>
          <w:p w14:paraId="66E165F8" w14:textId="77777777" w:rsidR="001769BD" w:rsidRPr="00194B3C" w:rsidRDefault="001769BD" w:rsidP="00194B3C">
            <w:pPr>
              <w:tabs>
                <w:tab w:val="left" w:pos="272"/>
              </w:tabs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  <w:t xml:space="preserve">b) special flight </w:t>
            </w:r>
            <w:proofErr w:type="gram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  <w:t>inspections;</w:t>
            </w:r>
            <w:proofErr w:type="gramEnd"/>
          </w:p>
          <w:p w14:paraId="7011CCC2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  <w:t xml:space="preserve">c) instrumental approach for landing </w:t>
            </w:r>
            <w:r w:rsidRPr="00194B3C">
              <w:rPr>
                <w:rFonts w:ascii="Calibri" w:hAnsi="Calibri" w:cs="Calibri"/>
                <w:bCs/>
                <w:color w:val="000000" w:themeColor="text1"/>
                <w:spacing w:val="-2"/>
                <w:sz w:val="22"/>
                <w:szCs w:val="22"/>
                <w:lang w:val="en-GB"/>
              </w:rPr>
              <w:t>LPV/APV SBAS procedure inspection services (ground validations and flight validations</w:t>
            </w:r>
            <w:r w:rsidRPr="00194B3C">
              <w:rPr>
                <w:rFonts w:asciiTheme="minorHAnsi" w:hAnsiTheme="minorHAnsi" w:cstheme="minorHAnsi"/>
                <w:bCs/>
                <w:color w:val="000000" w:themeColor="text1"/>
                <w:spacing w:val="-2"/>
                <w:lang w:val="en-GB"/>
              </w:rPr>
              <w:t>)</w:t>
            </w:r>
            <w:r w:rsidRPr="00194B3C">
              <w:rPr>
                <w:rFonts w:ascii="Calibri" w:hAnsi="Calibri" w:cs="Calibri"/>
                <w:bCs/>
                <w:color w:val="000000" w:themeColor="text1"/>
                <w:spacing w:val="-2"/>
                <w:sz w:val="22"/>
                <w:szCs w:val="22"/>
                <w:lang w:val="en-GB"/>
              </w:rPr>
              <w:t>, other procedure inspection services (traditional, RNP, P-RNAV (DME-DME, GNSS))</w:t>
            </w:r>
          </w:p>
        </w:tc>
        <w:tc>
          <w:tcPr>
            <w:tcW w:w="2340" w:type="dxa"/>
            <w:vAlign w:val="center"/>
          </w:tcPr>
          <w:p w14:paraId="75E91D5E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10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hours</w:t>
            </w:r>
            <w:proofErr w:type="spellEnd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31E07FE" w14:textId="200FDFEB" w:rsidR="001769BD" w:rsidRPr="00194B3C" w:rsidRDefault="007A3719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1889,71</w:t>
            </w:r>
          </w:p>
        </w:tc>
      </w:tr>
      <w:tr w:rsidR="001769BD" w:rsidRPr="00194B3C" w14:paraId="2B54727E" w14:textId="02254769" w:rsidTr="00194B3C">
        <w:trPr>
          <w:trHeight w:val="1954"/>
          <w:jc w:val="center"/>
        </w:trPr>
        <w:tc>
          <w:tcPr>
            <w:tcW w:w="570" w:type="dxa"/>
            <w:vAlign w:val="center"/>
          </w:tcPr>
          <w:p w14:paraId="77C39607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26. </w:t>
            </w:r>
          </w:p>
        </w:tc>
        <w:tc>
          <w:tcPr>
            <w:tcW w:w="6587" w:type="dxa"/>
            <w:gridSpan w:val="2"/>
          </w:tcPr>
          <w:p w14:paraId="255F8068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  <w:t xml:space="preserve">Additional passage to service provision site and back, implementing additional assignments according to the need of the Customer: </w:t>
            </w:r>
          </w:p>
          <w:p w14:paraId="5BCDE4FB" w14:textId="77777777" w:rsidR="001769BD" w:rsidRPr="00194B3C" w:rsidRDefault="001769BD" w:rsidP="00194B3C">
            <w:pPr>
              <w:tabs>
                <w:tab w:val="left" w:pos="272"/>
              </w:tabs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  <w:t xml:space="preserve">a) special flight </w:t>
            </w:r>
            <w:proofErr w:type="gram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  <w:t>inspections;</w:t>
            </w:r>
            <w:proofErr w:type="gramEnd"/>
          </w:p>
          <w:p w14:paraId="04D64ACD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US"/>
              </w:rPr>
              <w:t xml:space="preserve">b) instrumental approach for landing </w:t>
            </w:r>
            <w:r w:rsidRPr="00194B3C">
              <w:rPr>
                <w:rFonts w:ascii="Calibri" w:hAnsi="Calibri" w:cs="Calibri"/>
                <w:bCs/>
                <w:color w:val="000000" w:themeColor="text1"/>
                <w:spacing w:val="-2"/>
                <w:sz w:val="22"/>
                <w:szCs w:val="22"/>
                <w:lang w:val="en-GB"/>
              </w:rPr>
              <w:t>LPV/APV SBAS procedure inspection services (ground validations and flight validations</w:t>
            </w:r>
            <w:r w:rsidRPr="00194B3C">
              <w:rPr>
                <w:rFonts w:asciiTheme="minorHAnsi" w:hAnsiTheme="minorHAnsi" w:cstheme="minorHAnsi"/>
                <w:bCs/>
                <w:color w:val="000000" w:themeColor="text1"/>
                <w:spacing w:val="-2"/>
                <w:lang w:val="en-GB"/>
              </w:rPr>
              <w:t>)</w:t>
            </w:r>
            <w:r w:rsidRPr="00194B3C">
              <w:rPr>
                <w:rFonts w:ascii="Calibri" w:hAnsi="Calibri" w:cs="Calibri"/>
                <w:bCs/>
                <w:color w:val="000000" w:themeColor="text1"/>
                <w:spacing w:val="-2"/>
                <w:sz w:val="22"/>
                <w:szCs w:val="22"/>
                <w:lang w:val="en-GB"/>
              </w:rPr>
              <w:t>, other procedure inspection services (traditional, RNP, P-RNAV (DME-DME, GNSS))</w:t>
            </w:r>
          </w:p>
          <w:p w14:paraId="2C00573E" w14:textId="77777777" w:rsidR="001769BD" w:rsidRPr="00194B3C" w:rsidRDefault="001769BD" w:rsidP="00194B3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vAlign w:val="center"/>
          </w:tcPr>
          <w:p w14:paraId="241FA4EA" w14:textId="77777777" w:rsidR="001769BD" w:rsidRPr="00194B3C" w:rsidRDefault="001769BD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times</w:t>
            </w:r>
            <w:proofErr w:type="spellEnd"/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B313A18" w14:textId="60959910" w:rsidR="001769BD" w:rsidRPr="00194B3C" w:rsidRDefault="007A3719" w:rsidP="00194B3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94B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3779,42</w:t>
            </w:r>
          </w:p>
        </w:tc>
      </w:tr>
    </w:tbl>
    <w:p w14:paraId="61B908D7" w14:textId="77777777" w:rsidR="00BE2E48" w:rsidRPr="00194B3C" w:rsidRDefault="00BE2E48" w:rsidP="00194B3C">
      <w:pPr>
        <w:spacing w:before="6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 </w:t>
      </w:r>
      <w:r w:rsidRPr="00194B3C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The price rate shall include all costs associated with provision of the Services, including arrival to the Service provision site.</w:t>
      </w:r>
    </w:p>
    <w:p w14:paraId="1294FB5F" w14:textId="77777777" w:rsidR="002B6F62" w:rsidRPr="00F32C32" w:rsidRDefault="00BE2E48" w:rsidP="00194B3C">
      <w:pPr>
        <w:rPr>
          <w:color w:val="000000" w:themeColor="text1"/>
        </w:rPr>
      </w:pPr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**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Maximum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quantities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more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than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have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been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specified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Customer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does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not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undertake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purchase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entire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specified</w:t>
      </w:r>
      <w:proofErr w:type="spellEnd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94B3C">
        <w:rPr>
          <w:rFonts w:asciiTheme="minorHAnsi" w:hAnsiTheme="minorHAnsi" w:cstheme="minorHAnsi"/>
          <w:color w:val="000000" w:themeColor="text1"/>
          <w:sz w:val="22"/>
          <w:szCs w:val="22"/>
        </w:rPr>
        <w:t>quantity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or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part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specified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quantity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shall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pay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actually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provided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Services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only</w:t>
      </w:r>
      <w:proofErr w:type="spellEnd"/>
      <w:r w:rsidRPr="00F32C3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sectPr w:rsidR="002B6F62" w:rsidRPr="00F32C32" w:rsidSect="00396EC6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3900" w14:textId="77777777" w:rsidR="00B93DCD" w:rsidRDefault="00B93DCD" w:rsidP="00396EC6">
      <w:r>
        <w:separator/>
      </w:r>
    </w:p>
  </w:endnote>
  <w:endnote w:type="continuationSeparator" w:id="0">
    <w:p w14:paraId="580D65BA" w14:textId="77777777" w:rsidR="00B93DCD" w:rsidRDefault="00B93DCD" w:rsidP="0039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6C47" w14:textId="77777777" w:rsidR="00B93DCD" w:rsidRDefault="00B93DCD" w:rsidP="00396EC6">
      <w:r>
        <w:separator/>
      </w:r>
    </w:p>
  </w:footnote>
  <w:footnote w:type="continuationSeparator" w:id="0">
    <w:p w14:paraId="72099812" w14:textId="77777777" w:rsidR="00B93DCD" w:rsidRDefault="00B93DCD" w:rsidP="0039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7178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7A3CDF" w14:textId="77777777" w:rsidR="00396EC6" w:rsidRDefault="00396EC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E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7E2036" w14:textId="77777777" w:rsidR="00396EC6" w:rsidRDefault="00396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48"/>
    <w:rsid w:val="000D29CC"/>
    <w:rsid w:val="001359D8"/>
    <w:rsid w:val="001769BD"/>
    <w:rsid w:val="00194B3C"/>
    <w:rsid w:val="001C6B00"/>
    <w:rsid w:val="00250506"/>
    <w:rsid w:val="00287E47"/>
    <w:rsid w:val="002B6F62"/>
    <w:rsid w:val="00396EC6"/>
    <w:rsid w:val="00626AD4"/>
    <w:rsid w:val="006A7E81"/>
    <w:rsid w:val="00722093"/>
    <w:rsid w:val="007A3719"/>
    <w:rsid w:val="008259D2"/>
    <w:rsid w:val="00984EDB"/>
    <w:rsid w:val="00991607"/>
    <w:rsid w:val="009B1842"/>
    <w:rsid w:val="00AC32E3"/>
    <w:rsid w:val="00B93DCD"/>
    <w:rsid w:val="00BD34E2"/>
    <w:rsid w:val="00BE2E48"/>
    <w:rsid w:val="00C002AA"/>
    <w:rsid w:val="00C1618B"/>
    <w:rsid w:val="00C442CF"/>
    <w:rsid w:val="00E474F1"/>
    <w:rsid w:val="00E75B45"/>
    <w:rsid w:val="00F32C32"/>
    <w:rsid w:val="00F546E7"/>
    <w:rsid w:val="00F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3D65"/>
  <w15:chartTrackingRefBased/>
  <w15:docId w15:val="{CE584A07-22C7-471B-A0C5-9888385B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BE2E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E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E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EC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96E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EC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5F3B66E808A54FB94A756282E2F0F3" ma:contentTypeVersion="1" ma:contentTypeDescription="Utwórz nowy dokument." ma:contentTypeScope="" ma:versionID="edd983c21afbb193cf5ab273cb0b11df">
  <xsd:schema xmlns:xsd="http://www.w3.org/2001/XMLSchema" xmlns:xs="http://www.w3.org/2001/XMLSchema" xmlns:p="http://schemas.microsoft.com/office/2006/metadata/properties" xmlns:ns2="2f1710b1-eafc-442a-85b7-548e1a0b4c4b" targetNamespace="http://schemas.microsoft.com/office/2006/metadata/properties" ma:root="true" ma:fieldsID="175e6a6087d7df95dc5a862b4129c53a" ns2:_="">
    <xsd:import namespace="2f1710b1-eafc-442a-85b7-548e1a0b4c4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10b1-eafc-442a-85b7-548e1a0b4c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299FA-0390-4F25-BDDA-62B8C3126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75C2A2-FA63-4E5D-ADCB-DFF10599E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C2C47-D01F-4A7E-905B-08B6FB2FD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710b1-eafc-442a-85b7-548e1a0b4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Ernestas Gibavicius</dc:creator>
  <cp:keywords/>
  <dc:description/>
  <cp:lastModifiedBy>Agnė Vyšumirskė</cp:lastModifiedBy>
  <cp:revision>22</cp:revision>
  <dcterms:created xsi:type="dcterms:W3CDTF">2023-04-10T20:43:00Z</dcterms:created>
  <dcterms:modified xsi:type="dcterms:W3CDTF">2023-06-15T06:59:00Z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0x010100615F3B66E808A54FB94A756282E2F0F3</vt:lpwstr>
  </property>
</Properties>
</file>