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https://projektai.intranet.litgrid.eu/PWA/Pušaloto%20TP/_layouts/15/DocIdRedir.aspx?ID=PVIS-896619045-353</Url>
      <Description>PVIS-896619045-353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PVIS-896619045-353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1B5475-3B74-413D-80B1-5C6AD1D1B309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8BA5EA-9BF9-43EC-AA14-9934D2A51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0x01010066872F3CC8F7D84995438B893169A080020012B54CAB2C54F34EB50505BB8D4A944E</vt:lpwstr>
  </property>
  <property fmtid="{D5CDD505-2E9C-101B-9397-08002B2CF9AE}" pid="11" name="_dlc_DocIdItemGuid">
    <vt:lpwstr>03623039-6285-4e3d-8d99-d5c3989ed66d</vt:lpwstr>
  </property>
</Properties>
</file>