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7B773" w14:textId="77777777" w:rsidR="00AC591C" w:rsidRPr="000D5311" w:rsidRDefault="00AC591C" w:rsidP="00AC591C">
      <w:pPr>
        <w:tabs>
          <w:tab w:val="left" w:pos="8137"/>
        </w:tabs>
        <w:spacing w:before="60" w:after="60"/>
        <w:ind w:firstLine="0"/>
        <w:jc w:val="center"/>
        <w:rPr>
          <w:rFonts w:cs="Arial"/>
          <w:b/>
          <w:bCs/>
          <w:sz w:val="20"/>
          <w:szCs w:val="20"/>
        </w:rPr>
      </w:pPr>
      <w:r w:rsidRPr="000D5311">
        <w:rPr>
          <w:rFonts w:cs="Arial"/>
          <w:b/>
          <w:bCs/>
          <w:sz w:val="20"/>
          <w:szCs w:val="20"/>
        </w:rPr>
        <w:t>TECHNINĖ SPECIFIKACIJA</w:t>
      </w:r>
    </w:p>
    <w:p w14:paraId="2405B110" w14:textId="77777777" w:rsidR="00AC591C" w:rsidRPr="000D5311" w:rsidRDefault="00AC591C" w:rsidP="00AC591C">
      <w:pPr>
        <w:pStyle w:val="ListParagraph"/>
        <w:tabs>
          <w:tab w:val="left" w:pos="284"/>
        </w:tabs>
        <w:spacing w:before="60" w:after="60"/>
        <w:ind w:left="0" w:firstLine="0"/>
        <w:contextualSpacing w:val="0"/>
        <w:jc w:val="center"/>
        <w:rPr>
          <w:rFonts w:cs="Arial"/>
          <w:b/>
          <w:bCs/>
          <w:sz w:val="20"/>
          <w:szCs w:val="20"/>
        </w:rPr>
      </w:pPr>
    </w:p>
    <w:p w14:paraId="09667713" w14:textId="77777777" w:rsidR="00AC591C" w:rsidRPr="000D5311" w:rsidRDefault="00AC591C" w:rsidP="00AC591C">
      <w:pPr>
        <w:pStyle w:val="ListParagraph"/>
        <w:numPr>
          <w:ilvl w:val="0"/>
          <w:numId w:val="3"/>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0D5311">
        <w:rPr>
          <w:rFonts w:cs="Arial"/>
          <w:b/>
          <w:sz w:val="20"/>
          <w:szCs w:val="20"/>
        </w:rPr>
        <w:t>SĄVOKOS IR SUTRUMPINIMAI</w:t>
      </w:r>
    </w:p>
    <w:p w14:paraId="3AF2D996" w14:textId="77777777" w:rsidR="00AC591C" w:rsidRPr="000D5311" w:rsidRDefault="00AC591C" w:rsidP="00AC591C">
      <w:pPr>
        <w:pStyle w:val="ListParagraph"/>
        <w:numPr>
          <w:ilvl w:val="1"/>
          <w:numId w:val="1"/>
        </w:numPr>
        <w:tabs>
          <w:tab w:val="left" w:pos="567"/>
        </w:tabs>
        <w:spacing w:before="60" w:after="60"/>
        <w:ind w:left="0" w:firstLine="0"/>
        <w:contextualSpacing w:val="0"/>
        <w:jc w:val="both"/>
        <w:rPr>
          <w:rFonts w:cs="Arial"/>
          <w:sz w:val="20"/>
          <w:szCs w:val="20"/>
        </w:rPr>
      </w:pPr>
      <w:r w:rsidRPr="000D5311">
        <w:rPr>
          <w:rFonts w:cs="Arial"/>
          <w:b/>
          <w:sz w:val="20"/>
          <w:szCs w:val="20"/>
        </w:rPr>
        <w:t xml:space="preserve">Klientas / draudėjas </w:t>
      </w:r>
      <w:r w:rsidRPr="000D5311">
        <w:rPr>
          <w:rFonts w:cs="Arial"/>
          <w:sz w:val="20"/>
          <w:szCs w:val="20"/>
        </w:rPr>
        <w:t xml:space="preserve">– </w:t>
      </w:r>
      <w:sdt>
        <w:sdtPr>
          <w:rPr>
            <w:rStyle w:val="Laukeliai"/>
            <w:rFonts w:cs="Arial"/>
            <w:szCs w:val="20"/>
          </w:rPr>
          <w:id w:val="382223612"/>
          <w:placeholder>
            <w:docPart w:val="AC717EE7D2B64EE08EC9FC6267836AD4"/>
          </w:placeholder>
          <w:dropDownList>
            <w:listItem w:displayText="UAB „Ignitis grupė&quot;" w:value="UAB „Ignitis grupė&quot;"/>
            <w:listItem w:displayText="AB „Ignitis gamyba&quot;" w:value="AB „Ignitis gamyba&quot;"/>
            <w:listItem w:displayText="AB „Energijos skirstymo operatorius&quot;" w:value="AB „Energijos skirstymo operatorius&quot;"/>
            <w:listItem w:displayText="UAB „Ignitis grupės paslaugų centras&quot;" w:value="UAB „Ignitis grupės paslaugų centras&quot;"/>
            <w:listItem w:displayText="UAB „VAE SPB&quot;" w:value="UAB „VAE SPB&quot;"/>
            <w:listItem w:displayText="UAB „Ignitis&quot;" w:value="UAB „Igniti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sidRPr="000D5311">
            <w:rPr>
              <w:rStyle w:val="Laukeliai"/>
              <w:rFonts w:cs="Arial"/>
              <w:szCs w:val="20"/>
            </w:rPr>
            <w:t>AB „Energijos skirstymo operatorius"</w:t>
          </w:r>
        </w:sdtContent>
      </w:sdt>
    </w:p>
    <w:p w14:paraId="1192267D" w14:textId="77777777" w:rsidR="00AC591C" w:rsidRPr="000D5311" w:rsidRDefault="00AC591C" w:rsidP="00AC591C">
      <w:pPr>
        <w:pStyle w:val="ListParagraph"/>
        <w:numPr>
          <w:ilvl w:val="1"/>
          <w:numId w:val="1"/>
        </w:numPr>
        <w:tabs>
          <w:tab w:val="left" w:pos="567"/>
        </w:tabs>
        <w:spacing w:before="60" w:after="60"/>
        <w:ind w:left="0" w:firstLine="0"/>
        <w:contextualSpacing w:val="0"/>
        <w:jc w:val="both"/>
        <w:rPr>
          <w:rFonts w:cs="Arial"/>
          <w:sz w:val="20"/>
          <w:szCs w:val="20"/>
        </w:rPr>
      </w:pPr>
      <w:r w:rsidRPr="000D5311">
        <w:rPr>
          <w:rFonts w:cs="Arial"/>
          <w:b/>
          <w:bCs/>
          <w:sz w:val="20"/>
          <w:szCs w:val="20"/>
        </w:rPr>
        <w:t>Paslaugų teikėjas</w:t>
      </w:r>
      <w:r w:rsidRPr="000D5311">
        <w:rPr>
          <w:rFonts w:cs="Arial"/>
          <w:bCs/>
          <w:sz w:val="20"/>
          <w:szCs w:val="20"/>
        </w:rPr>
        <w:t xml:space="preserve"> – ūkio subjektas – fizinis asmuo, privatusis juridinis asmuo, viešasis juridinis asmuo, kitos organizacijos ir jų padaliniai ar tokių asmenų</w:t>
      </w:r>
      <w:r w:rsidRPr="000D5311">
        <w:rPr>
          <w:rFonts w:cs="Arial"/>
          <w:sz w:val="20"/>
          <w:szCs w:val="20"/>
        </w:rPr>
        <w:t xml:space="preserve"> grupė, su kuriuo Klientas sudaro Sutartį.</w:t>
      </w:r>
    </w:p>
    <w:p w14:paraId="2EDB3877" w14:textId="77777777" w:rsidR="00AC591C" w:rsidRPr="000D5311" w:rsidRDefault="00AC591C" w:rsidP="00AC591C">
      <w:pPr>
        <w:pStyle w:val="ListParagraph"/>
        <w:numPr>
          <w:ilvl w:val="1"/>
          <w:numId w:val="1"/>
        </w:numPr>
        <w:tabs>
          <w:tab w:val="left" w:pos="567"/>
        </w:tabs>
        <w:spacing w:before="60" w:after="60"/>
        <w:ind w:left="0" w:firstLine="0"/>
        <w:contextualSpacing w:val="0"/>
        <w:jc w:val="both"/>
        <w:rPr>
          <w:rFonts w:cs="Arial"/>
          <w:sz w:val="20"/>
          <w:szCs w:val="20"/>
        </w:rPr>
      </w:pPr>
      <w:r w:rsidRPr="000D5311">
        <w:rPr>
          <w:rFonts w:cs="Arial"/>
          <w:b/>
          <w:sz w:val="20"/>
          <w:szCs w:val="20"/>
        </w:rPr>
        <w:t>Sutartis</w:t>
      </w:r>
      <w:r w:rsidRPr="000D5311">
        <w:rPr>
          <w:rFonts w:cs="Arial"/>
          <w:sz w:val="20"/>
          <w:szCs w:val="20"/>
        </w:rPr>
        <w:t xml:space="preserve"> – Sutartis, sudaroma tarp Kliento ir Paslaugų teikėjo dėl Pirkimo objekto.</w:t>
      </w:r>
    </w:p>
    <w:p w14:paraId="2B1209C5" w14:textId="77777777" w:rsidR="00AC591C" w:rsidRPr="000D5311" w:rsidRDefault="00AC591C" w:rsidP="00AC591C">
      <w:pPr>
        <w:pStyle w:val="ListParagraph"/>
        <w:numPr>
          <w:ilvl w:val="1"/>
          <w:numId w:val="1"/>
        </w:numPr>
        <w:tabs>
          <w:tab w:val="left" w:pos="567"/>
        </w:tabs>
        <w:spacing w:before="60" w:after="60"/>
        <w:ind w:left="0" w:firstLine="0"/>
        <w:contextualSpacing w:val="0"/>
        <w:jc w:val="both"/>
        <w:rPr>
          <w:rFonts w:cs="Arial"/>
          <w:sz w:val="20"/>
          <w:szCs w:val="20"/>
        </w:rPr>
      </w:pPr>
      <w:r w:rsidRPr="000D5311">
        <w:rPr>
          <w:rFonts w:cs="Arial"/>
          <w:b/>
          <w:sz w:val="20"/>
          <w:szCs w:val="20"/>
        </w:rPr>
        <w:t>Paslaugos</w:t>
      </w:r>
      <w:r w:rsidRPr="000D5311">
        <w:rPr>
          <w:rFonts w:cs="Arial"/>
          <w:sz w:val="20"/>
          <w:szCs w:val="20"/>
        </w:rPr>
        <w:t xml:space="preserve"> – turto draudimas nuo visų galimų rizikos atvejų.</w:t>
      </w:r>
    </w:p>
    <w:p w14:paraId="6E0D8A8D" w14:textId="77777777" w:rsidR="00AC591C" w:rsidRPr="000D5311" w:rsidRDefault="00AC591C" w:rsidP="00AC591C">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0D5311">
        <w:rPr>
          <w:rFonts w:cs="Arial"/>
          <w:b/>
          <w:sz w:val="20"/>
          <w:szCs w:val="20"/>
        </w:rPr>
        <w:t>PIRKIMO OBJEKTAS</w:t>
      </w:r>
    </w:p>
    <w:p w14:paraId="18894813" w14:textId="77777777" w:rsidR="00AC591C" w:rsidRPr="000D5311" w:rsidRDefault="00AC591C" w:rsidP="00AC591C">
      <w:pPr>
        <w:pStyle w:val="ListParagraph"/>
        <w:numPr>
          <w:ilvl w:val="1"/>
          <w:numId w:val="3"/>
        </w:numPr>
        <w:tabs>
          <w:tab w:val="left" w:pos="540"/>
          <w:tab w:val="left" w:pos="720"/>
        </w:tabs>
        <w:spacing w:before="60" w:after="60"/>
        <w:ind w:left="0" w:firstLine="0"/>
        <w:jc w:val="both"/>
        <w:rPr>
          <w:rFonts w:cs="Arial"/>
          <w:sz w:val="20"/>
          <w:szCs w:val="20"/>
        </w:rPr>
      </w:pPr>
      <w:r w:rsidRPr="000D5311">
        <w:rPr>
          <w:rFonts w:cs="Arial"/>
          <w:sz w:val="20"/>
          <w:szCs w:val="20"/>
        </w:rPr>
        <w:t xml:space="preserve">Rekonstruotos Odos transformatorių pastotės, rekonstruotos Kapsų transformatorių pastotės, rekonstruotos 35/10 </w:t>
      </w:r>
      <w:proofErr w:type="spellStart"/>
      <w:r w:rsidRPr="000D5311">
        <w:rPr>
          <w:rFonts w:cs="Arial"/>
          <w:sz w:val="20"/>
          <w:szCs w:val="20"/>
        </w:rPr>
        <w:t>kV</w:t>
      </w:r>
      <w:proofErr w:type="spellEnd"/>
      <w:r w:rsidRPr="000D5311">
        <w:rPr>
          <w:rFonts w:cs="Arial"/>
          <w:sz w:val="20"/>
          <w:szCs w:val="20"/>
        </w:rPr>
        <w:t xml:space="preserve"> </w:t>
      </w:r>
      <w:proofErr w:type="spellStart"/>
      <w:r w:rsidRPr="000D5311">
        <w:rPr>
          <w:rFonts w:cs="Arial"/>
          <w:sz w:val="20"/>
          <w:szCs w:val="20"/>
        </w:rPr>
        <w:t>Pakapės</w:t>
      </w:r>
      <w:proofErr w:type="spellEnd"/>
      <w:r w:rsidRPr="000D5311">
        <w:rPr>
          <w:rFonts w:cs="Arial"/>
          <w:sz w:val="20"/>
          <w:szCs w:val="20"/>
        </w:rPr>
        <w:t xml:space="preserve"> transformatorių pastotės visų rizikų draudimas.</w:t>
      </w:r>
    </w:p>
    <w:p w14:paraId="659EB653" w14:textId="77777777" w:rsidR="00AC591C" w:rsidRPr="000D5311" w:rsidRDefault="00AC591C" w:rsidP="00AC591C">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0D5311">
        <w:rPr>
          <w:rFonts w:cs="Arial"/>
          <w:b/>
          <w:sz w:val="20"/>
          <w:szCs w:val="20"/>
        </w:rPr>
        <w:t>PIRKIMO OBJEKTO APIMTYS</w:t>
      </w:r>
    </w:p>
    <w:p w14:paraId="14C57B8D" w14:textId="77777777" w:rsidR="00AC591C" w:rsidRPr="000D5311" w:rsidRDefault="00AC591C" w:rsidP="00AC591C">
      <w:pPr>
        <w:pStyle w:val="ListParagraph"/>
        <w:numPr>
          <w:ilvl w:val="1"/>
          <w:numId w:val="4"/>
        </w:numPr>
        <w:tabs>
          <w:tab w:val="left" w:pos="540"/>
        </w:tabs>
        <w:spacing w:before="60" w:after="60"/>
        <w:ind w:left="0" w:firstLine="0"/>
        <w:jc w:val="both"/>
        <w:rPr>
          <w:rFonts w:cs="Arial"/>
          <w:b/>
          <w:i/>
          <w:sz w:val="20"/>
          <w:szCs w:val="20"/>
        </w:rPr>
      </w:pPr>
      <w:r w:rsidRPr="000D5311">
        <w:rPr>
          <w:rFonts w:cs="Arial"/>
          <w:sz w:val="20"/>
          <w:szCs w:val="20"/>
        </w:rPr>
        <w:t>Bus sudaroma viena Sutartis visiems draudžiamo turto objektams, o draudimo liudijimai išduodami kiekvienam draudžiamam turto objektui (nurodytam Priede Nr.1) atskirai (iš viso 3 draudimo liudijimai) nurodytam Priede Nr. 1 draudimo laikotarpiui.</w:t>
      </w:r>
    </w:p>
    <w:p w14:paraId="77218B30" w14:textId="77777777" w:rsidR="00AC591C" w:rsidRPr="000D5311" w:rsidRDefault="00AC591C" w:rsidP="00AC591C">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0D5311">
        <w:rPr>
          <w:rFonts w:cs="Arial"/>
          <w:b/>
          <w:sz w:val="20"/>
          <w:szCs w:val="20"/>
        </w:rPr>
        <w:t>SUTARTINIŲ ĮSIPAREIGOJIMŲ VYKDYMO VIETA</w:t>
      </w:r>
    </w:p>
    <w:p w14:paraId="5CE5AEC4" w14:textId="77777777" w:rsidR="00AC591C" w:rsidRPr="000D5311" w:rsidRDefault="00AC591C" w:rsidP="00AC591C">
      <w:pPr>
        <w:pStyle w:val="ListParagraph"/>
        <w:numPr>
          <w:ilvl w:val="0"/>
          <w:numId w:val="2"/>
        </w:numPr>
        <w:tabs>
          <w:tab w:val="left" w:pos="540"/>
        </w:tabs>
        <w:spacing w:before="60" w:after="60"/>
        <w:jc w:val="both"/>
        <w:rPr>
          <w:rFonts w:cs="Arial"/>
          <w:b/>
          <w:i/>
          <w:vanish/>
          <w:sz w:val="20"/>
          <w:szCs w:val="20"/>
        </w:rPr>
      </w:pPr>
    </w:p>
    <w:p w14:paraId="726E78A1" w14:textId="77777777" w:rsidR="00AC591C" w:rsidRPr="000D5311" w:rsidRDefault="00AC591C" w:rsidP="00AC591C">
      <w:pPr>
        <w:pStyle w:val="ListParagraph"/>
        <w:numPr>
          <w:ilvl w:val="0"/>
          <w:numId w:val="2"/>
        </w:numPr>
        <w:tabs>
          <w:tab w:val="left" w:pos="540"/>
        </w:tabs>
        <w:spacing w:before="60" w:after="60"/>
        <w:jc w:val="both"/>
        <w:rPr>
          <w:rFonts w:cs="Arial"/>
          <w:b/>
          <w:i/>
          <w:vanish/>
          <w:sz w:val="20"/>
          <w:szCs w:val="20"/>
        </w:rPr>
      </w:pPr>
    </w:p>
    <w:p w14:paraId="1316BA1E" w14:textId="77777777" w:rsidR="00AC591C" w:rsidRPr="000D5311" w:rsidRDefault="00AC591C" w:rsidP="00AC591C">
      <w:pPr>
        <w:pStyle w:val="ListParagraph"/>
        <w:numPr>
          <w:ilvl w:val="0"/>
          <w:numId w:val="2"/>
        </w:numPr>
        <w:tabs>
          <w:tab w:val="left" w:pos="540"/>
        </w:tabs>
        <w:spacing w:before="60" w:after="60"/>
        <w:jc w:val="both"/>
        <w:rPr>
          <w:rFonts w:cs="Arial"/>
          <w:b/>
          <w:i/>
          <w:vanish/>
          <w:sz w:val="20"/>
          <w:szCs w:val="20"/>
        </w:rPr>
      </w:pPr>
    </w:p>
    <w:p w14:paraId="69EECDAA" w14:textId="77777777" w:rsidR="00AC591C" w:rsidRPr="000D5311" w:rsidRDefault="00AC591C" w:rsidP="00AC591C">
      <w:pPr>
        <w:pStyle w:val="ListParagraph"/>
        <w:numPr>
          <w:ilvl w:val="0"/>
          <w:numId w:val="2"/>
        </w:numPr>
        <w:tabs>
          <w:tab w:val="left" w:pos="540"/>
        </w:tabs>
        <w:spacing w:before="60" w:after="60"/>
        <w:jc w:val="both"/>
        <w:rPr>
          <w:rFonts w:cs="Arial"/>
          <w:b/>
          <w:i/>
          <w:vanish/>
          <w:sz w:val="20"/>
          <w:szCs w:val="20"/>
        </w:rPr>
      </w:pPr>
    </w:p>
    <w:p w14:paraId="0954D884" w14:textId="77777777" w:rsidR="00AC591C" w:rsidRPr="000D5311" w:rsidRDefault="00AC591C" w:rsidP="000D5311">
      <w:pPr>
        <w:pStyle w:val="ListParagraph"/>
        <w:numPr>
          <w:ilvl w:val="1"/>
          <w:numId w:val="2"/>
        </w:numPr>
        <w:tabs>
          <w:tab w:val="left" w:pos="567"/>
        </w:tabs>
        <w:spacing w:before="60" w:after="60"/>
        <w:ind w:left="0" w:firstLine="0"/>
        <w:jc w:val="both"/>
        <w:rPr>
          <w:rFonts w:cs="Arial"/>
          <w:b/>
          <w:i/>
          <w:sz w:val="20"/>
          <w:szCs w:val="20"/>
        </w:rPr>
      </w:pPr>
      <w:r w:rsidRPr="000D5311">
        <w:rPr>
          <w:rFonts w:cs="Arial"/>
          <w:sz w:val="20"/>
          <w:szCs w:val="20"/>
        </w:rPr>
        <w:t>Draudimo liudijimai turi būti pristatomi adresu Aguonų g. 24, Vilnius arba užsakovui pareikalavus, išsiunčiami užsakovo nurodytu el. paštu.</w:t>
      </w:r>
    </w:p>
    <w:p w14:paraId="1702E6B2" w14:textId="77777777" w:rsidR="00AC591C" w:rsidRPr="000D5311" w:rsidRDefault="00AC591C" w:rsidP="000D5311">
      <w:pPr>
        <w:pStyle w:val="ListParagraph"/>
        <w:numPr>
          <w:ilvl w:val="1"/>
          <w:numId w:val="2"/>
        </w:numPr>
        <w:tabs>
          <w:tab w:val="left" w:pos="567"/>
        </w:tabs>
        <w:spacing w:before="60" w:after="60"/>
        <w:ind w:left="0" w:firstLine="0"/>
        <w:jc w:val="both"/>
        <w:rPr>
          <w:rFonts w:cs="Arial"/>
          <w:sz w:val="20"/>
          <w:szCs w:val="20"/>
        </w:rPr>
      </w:pPr>
      <w:r w:rsidRPr="000D5311">
        <w:rPr>
          <w:rFonts w:cs="Arial"/>
          <w:sz w:val="20"/>
          <w:szCs w:val="20"/>
        </w:rPr>
        <w:t>Draudžiamų objektų lokacijos vietos ir tikslūs adresai nurodyti Priede Nr.1 Draudžiami objektai.</w:t>
      </w:r>
    </w:p>
    <w:p w14:paraId="6558EA9E" w14:textId="77777777" w:rsidR="00AC591C" w:rsidRPr="000D5311" w:rsidRDefault="00AC591C" w:rsidP="00AC591C">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0D5311">
        <w:rPr>
          <w:rFonts w:cs="Arial"/>
          <w:b/>
          <w:sz w:val="20"/>
          <w:szCs w:val="20"/>
        </w:rPr>
        <w:t>REIKALAVIMAI PIRKIMO OBJEKTUI</w:t>
      </w:r>
    </w:p>
    <w:p w14:paraId="1F2D92D5" w14:textId="77777777" w:rsidR="00AC591C" w:rsidRPr="000D5311" w:rsidRDefault="00AC591C" w:rsidP="00AC591C">
      <w:pPr>
        <w:pStyle w:val="ListParagraph"/>
        <w:numPr>
          <w:ilvl w:val="0"/>
          <w:numId w:val="2"/>
        </w:numPr>
        <w:pBdr>
          <w:bottom w:val="single" w:sz="8" w:space="1" w:color="auto"/>
          <w:between w:val="single" w:sz="12" w:space="1" w:color="auto"/>
        </w:pBdr>
        <w:tabs>
          <w:tab w:val="left" w:pos="567"/>
        </w:tabs>
        <w:spacing w:before="60" w:after="60"/>
        <w:rPr>
          <w:rFonts w:cs="Arial"/>
          <w:b/>
          <w:vanish/>
          <w:sz w:val="20"/>
          <w:szCs w:val="20"/>
        </w:rPr>
      </w:pPr>
    </w:p>
    <w:p w14:paraId="3266AA48" w14:textId="77777777" w:rsidR="00AC591C" w:rsidRPr="000D5311" w:rsidRDefault="00AC591C" w:rsidP="00AC591C">
      <w:pPr>
        <w:pStyle w:val="ListParagraph"/>
        <w:numPr>
          <w:ilvl w:val="1"/>
          <w:numId w:val="2"/>
        </w:numPr>
        <w:pBdr>
          <w:bottom w:val="single" w:sz="8" w:space="1" w:color="auto"/>
          <w:between w:val="single" w:sz="12" w:space="1" w:color="auto"/>
        </w:pBdr>
        <w:tabs>
          <w:tab w:val="left" w:pos="540"/>
        </w:tabs>
        <w:spacing w:before="60" w:after="60"/>
        <w:ind w:left="0" w:firstLine="0"/>
        <w:rPr>
          <w:rFonts w:cs="Arial"/>
          <w:b/>
          <w:sz w:val="20"/>
          <w:szCs w:val="20"/>
        </w:rPr>
      </w:pPr>
      <w:r w:rsidRPr="000D5311">
        <w:rPr>
          <w:rFonts w:cs="Arial"/>
          <w:b/>
          <w:sz w:val="20"/>
          <w:szCs w:val="20"/>
        </w:rPr>
        <w:t>Esamos situacijos aprašymas</w:t>
      </w:r>
    </w:p>
    <w:p w14:paraId="279F48C6" w14:textId="77777777" w:rsidR="00AC591C" w:rsidRPr="000D5311" w:rsidRDefault="00AC591C" w:rsidP="00AC591C">
      <w:pPr>
        <w:pStyle w:val="ListParagraph"/>
        <w:numPr>
          <w:ilvl w:val="2"/>
          <w:numId w:val="2"/>
        </w:numPr>
        <w:tabs>
          <w:tab w:val="left" w:pos="540"/>
        </w:tabs>
        <w:spacing w:before="60" w:after="60"/>
        <w:ind w:left="0" w:firstLine="0"/>
        <w:jc w:val="both"/>
        <w:rPr>
          <w:rFonts w:cs="Arial"/>
          <w:b/>
          <w:i/>
          <w:sz w:val="20"/>
          <w:szCs w:val="20"/>
        </w:rPr>
      </w:pPr>
      <w:r w:rsidRPr="000D5311">
        <w:rPr>
          <w:rFonts w:cs="Arial"/>
          <w:sz w:val="20"/>
          <w:szCs w:val="20"/>
        </w:rPr>
        <w:t>Maksimalios turto atkuriamosios vertės draudimo nuo visų galimų rizikos atvejų paslauga.</w:t>
      </w:r>
    </w:p>
    <w:p w14:paraId="24B7ABBF" w14:textId="77777777" w:rsidR="00AC591C" w:rsidRPr="000D5311" w:rsidRDefault="00AC591C" w:rsidP="00AC591C">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354493BB" w14:textId="77777777" w:rsidR="00AC591C" w:rsidRPr="000D5311" w:rsidRDefault="00AC591C" w:rsidP="00AC591C">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22E44281" w14:textId="77777777" w:rsidR="00AC591C" w:rsidRPr="000D5311" w:rsidRDefault="00AC591C" w:rsidP="00AC591C">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29D812FA" w14:textId="77777777" w:rsidR="00AC591C" w:rsidRPr="000D5311" w:rsidRDefault="00AC591C" w:rsidP="00AC591C">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615CB891" w14:textId="77777777" w:rsidR="00AC591C" w:rsidRPr="000D5311" w:rsidRDefault="00AC591C" w:rsidP="00AC591C">
      <w:pPr>
        <w:pStyle w:val="ListParagraph"/>
        <w:numPr>
          <w:ilvl w:val="0"/>
          <w:numId w:val="5"/>
        </w:numPr>
        <w:pBdr>
          <w:bottom w:val="single" w:sz="8" w:space="1" w:color="auto"/>
          <w:between w:val="single" w:sz="12" w:space="1" w:color="auto"/>
        </w:pBdr>
        <w:tabs>
          <w:tab w:val="left" w:pos="567"/>
        </w:tabs>
        <w:spacing w:before="60" w:after="60"/>
        <w:rPr>
          <w:rFonts w:cs="Arial"/>
          <w:b/>
          <w:vanish/>
          <w:sz w:val="20"/>
          <w:szCs w:val="20"/>
        </w:rPr>
      </w:pPr>
    </w:p>
    <w:p w14:paraId="3D2171E9" w14:textId="77777777" w:rsidR="00AC591C" w:rsidRPr="000D5311" w:rsidRDefault="00AC591C" w:rsidP="00AC591C">
      <w:pPr>
        <w:pStyle w:val="ListParagraph"/>
        <w:numPr>
          <w:ilvl w:val="1"/>
          <w:numId w:val="5"/>
        </w:numPr>
        <w:pBdr>
          <w:bottom w:val="single" w:sz="8" w:space="1" w:color="auto"/>
          <w:between w:val="single" w:sz="12" w:space="1" w:color="auto"/>
        </w:pBdr>
        <w:tabs>
          <w:tab w:val="left" w:pos="567"/>
        </w:tabs>
        <w:spacing w:before="60" w:after="60"/>
        <w:rPr>
          <w:rFonts w:cs="Arial"/>
          <w:b/>
          <w:vanish/>
          <w:sz w:val="20"/>
          <w:szCs w:val="20"/>
        </w:rPr>
      </w:pPr>
    </w:p>
    <w:p w14:paraId="471BCC50" w14:textId="77777777" w:rsidR="00AC591C" w:rsidRPr="000D5311" w:rsidRDefault="00AC591C" w:rsidP="00AC591C">
      <w:pPr>
        <w:pStyle w:val="ListParagraph"/>
        <w:numPr>
          <w:ilvl w:val="1"/>
          <w:numId w:val="5"/>
        </w:numPr>
        <w:pBdr>
          <w:bottom w:val="single" w:sz="8" w:space="1" w:color="auto"/>
          <w:between w:val="single" w:sz="12" w:space="1" w:color="auto"/>
        </w:pBdr>
        <w:tabs>
          <w:tab w:val="left" w:pos="540"/>
        </w:tabs>
        <w:spacing w:before="60" w:after="60"/>
        <w:ind w:left="0" w:firstLine="0"/>
        <w:rPr>
          <w:rFonts w:cs="Arial"/>
          <w:b/>
          <w:sz w:val="20"/>
          <w:szCs w:val="20"/>
        </w:rPr>
      </w:pPr>
      <w:r w:rsidRPr="000D5311">
        <w:rPr>
          <w:rFonts w:cs="Arial"/>
          <w:b/>
          <w:sz w:val="20"/>
          <w:szCs w:val="20"/>
        </w:rPr>
        <w:t>Pirkimo objekto aprašymas</w:t>
      </w:r>
    </w:p>
    <w:p w14:paraId="1079FCA5" w14:textId="77777777" w:rsidR="00AC591C" w:rsidRPr="000D5311" w:rsidRDefault="00AC591C" w:rsidP="00AC591C">
      <w:pPr>
        <w:pStyle w:val="ListParagraph"/>
        <w:numPr>
          <w:ilvl w:val="1"/>
          <w:numId w:val="2"/>
        </w:numPr>
        <w:spacing w:before="60" w:after="60"/>
        <w:jc w:val="both"/>
        <w:rPr>
          <w:rFonts w:cs="Arial"/>
          <w:vanish/>
          <w:sz w:val="20"/>
          <w:szCs w:val="20"/>
        </w:rPr>
      </w:pPr>
    </w:p>
    <w:p w14:paraId="32DE08C7" w14:textId="77777777" w:rsidR="00AC591C" w:rsidRPr="000D5311" w:rsidRDefault="00AC591C" w:rsidP="00AC591C">
      <w:pPr>
        <w:pStyle w:val="ListParagraph"/>
        <w:numPr>
          <w:ilvl w:val="1"/>
          <w:numId w:val="2"/>
        </w:numPr>
        <w:spacing w:before="60" w:after="60"/>
        <w:jc w:val="both"/>
        <w:rPr>
          <w:rFonts w:cs="Arial"/>
          <w:vanish/>
          <w:sz w:val="20"/>
          <w:szCs w:val="20"/>
        </w:rPr>
      </w:pPr>
    </w:p>
    <w:p w14:paraId="0B039509" w14:textId="77777777" w:rsidR="00AC591C" w:rsidRPr="000D5311" w:rsidRDefault="00AC591C" w:rsidP="00AC591C">
      <w:pPr>
        <w:pStyle w:val="ListParagraph"/>
        <w:numPr>
          <w:ilvl w:val="2"/>
          <w:numId w:val="5"/>
        </w:numPr>
        <w:tabs>
          <w:tab w:val="left" w:pos="709"/>
        </w:tabs>
        <w:spacing w:before="60" w:after="60"/>
        <w:ind w:left="0" w:firstLine="0"/>
        <w:jc w:val="both"/>
        <w:rPr>
          <w:rFonts w:cs="Arial"/>
          <w:sz w:val="20"/>
          <w:szCs w:val="20"/>
        </w:rPr>
      </w:pPr>
      <w:r w:rsidRPr="000D5311">
        <w:rPr>
          <w:rFonts w:cs="Arial"/>
          <w:sz w:val="20"/>
          <w:szCs w:val="20"/>
          <w:lang w:eastAsia="lt-LT"/>
        </w:rPr>
        <w:t>Paslaugos turi būti teikiamos laikantis galiojančių Lietuvos Respublikos teisės aktų reikalavimų.</w:t>
      </w:r>
    </w:p>
    <w:p w14:paraId="23792C79" w14:textId="77777777" w:rsidR="00AC591C" w:rsidRPr="000D5311" w:rsidRDefault="00AC591C" w:rsidP="00AC591C">
      <w:pPr>
        <w:pStyle w:val="ListParagraph"/>
        <w:numPr>
          <w:ilvl w:val="2"/>
          <w:numId w:val="5"/>
        </w:numPr>
        <w:tabs>
          <w:tab w:val="left" w:pos="709"/>
        </w:tabs>
        <w:spacing w:before="60" w:after="60"/>
        <w:ind w:left="0" w:firstLine="0"/>
        <w:jc w:val="both"/>
        <w:rPr>
          <w:rFonts w:cs="Arial"/>
          <w:sz w:val="20"/>
          <w:szCs w:val="20"/>
        </w:rPr>
      </w:pPr>
      <w:r w:rsidRPr="000D5311">
        <w:rPr>
          <w:rFonts w:cs="Arial"/>
          <w:sz w:val="20"/>
          <w:szCs w:val="20"/>
        </w:rPr>
        <w:t xml:space="preserve"> Kiekvienai draudimo sutarčiai ir draudimo liudijimui taikomi šie reikalavimai:</w:t>
      </w:r>
    </w:p>
    <w:p w14:paraId="7AABEC41" w14:textId="77777777" w:rsidR="00AC591C" w:rsidRPr="000D5311" w:rsidRDefault="00AC591C" w:rsidP="00AC591C">
      <w:pPr>
        <w:pStyle w:val="ListParagraph"/>
        <w:tabs>
          <w:tab w:val="left" w:pos="709"/>
        </w:tabs>
        <w:spacing w:before="60" w:after="60"/>
        <w:ind w:left="0" w:firstLine="0"/>
        <w:jc w:val="both"/>
        <w:rPr>
          <w:rFonts w:cs="Arial"/>
          <w:sz w:val="20"/>
          <w:szCs w:val="20"/>
        </w:rPr>
      </w:pPr>
      <w:r w:rsidRPr="000D5311">
        <w:rPr>
          <w:rFonts w:cs="Arial"/>
          <w:sz w:val="20"/>
          <w:szCs w:val="20"/>
          <w:lang w:val="en-US"/>
        </w:rPr>
        <w:t xml:space="preserve">5.2.2.1. </w:t>
      </w:r>
      <w:r w:rsidRPr="000D5311">
        <w:rPr>
          <w:rFonts w:cs="Arial"/>
          <w:sz w:val="20"/>
          <w:szCs w:val="20"/>
        </w:rPr>
        <w:t>Turtas draudžiamas atkuriamąja verte;</w:t>
      </w:r>
    </w:p>
    <w:p w14:paraId="309372B3" w14:textId="77777777" w:rsidR="00AC591C" w:rsidRPr="000D5311" w:rsidRDefault="00AC591C" w:rsidP="00AC591C">
      <w:pPr>
        <w:pStyle w:val="ListParagraph"/>
        <w:tabs>
          <w:tab w:val="left" w:pos="709"/>
        </w:tabs>
        <w:spacing w:before="60" w:after="60"/>
        <w:ind w:left="0" w:firstLine="0"/>
        <w:jc w:val="both"/>
        <w:rPr>
          <w:rFonts w:cs="Arial"/>
          <w:sz w:val="20"/>
          <w:szCs w:val="20"/>
        </w:rPr>
      </w:pPr>
      <w:r w:rsidRPr="000D5311">
        <w:rPr>
          <w:rFonts w:cs="Arial"/>
          <w:sz w:val="20"/>
          <w:szCs w:val="20"/>
        </w:rPr>
        <w:t>5.2.2.2. Turtas draudžiamas nuo visų rizikų, kartu apdraudžiami ir elektronikos gedimai;</w:t>
      </w:r>
    </w:p>
    <w:p w14:paraId="23A404E3" w14:textId="77777777" w:rsidR="00AC591C" w:rsidRPr="000D5311" w:rsidRDefault="00AC591C" w:rsidP="00AC591C">
      <w:pPr>
        <w:pStyle w:val="ListParagraph"/>
        <w:tabs>
          <w:tab w:val="left" w:pos="709"/>
        </w:tabs>
        <w:spacing w:before="60" w:after="60"/>
        <w:ind w:left="0" w:firstLine="0"/>
        <w:jc w:val="both"/>
        <w:rPr>
          <w:rFonts w:cs="Arial"/>
          <w:sz w:val="20"/>
          <w:szCs w:val="20"/>
        </w:rPr>
      </w:pPr>
      <w:r w:rsidRPr="000D5311">
        <w:rPr>
          <w:rFonts w:cs="Arial"/>
          <w:sz w:val="20"/>
          <w:szCs w:val="20"/>
        </w:rPr>
        <w:t>5.2.2.3. Franšizė (besąlyginė išskaita) – 15 000,00 EUR be PVM;</w:t>
      </w:r>
    </w:p>
    <w:p w14:paraId="665C335B" w14:textId="60AD126D" w:rsidR="00AC591C" w:rsidRPr="000D5311" w:rsidRDefault="00AC591C" w:rsidP="00AC591C">
      <w:pPr>
        <w:pStyle w:val="ListParagraph"/>
        <w:tabs>
          <w:tab w:val="left" w:pos="709"/>
        </w:tabs>
        <w:spacing w:before="60" w:after="60"/>
        <w:ind w:left="0" w:firstLine="0"/>
        <w:jc w:val="both"/>
        <w:rPr>
          <w:rFonts w:cs="Arial"/>
          <w:sz w:val="20"/>
          <w:szCs w:val="20"/>
        </w:rPr>
      </w:pPr>
      <w:r w:rsidRPr="000D5311">
        <w:rPr>
          <w:rFonts w:cs="Arial"/>
          <w:sz w:val="20"/>
          <w:szCs w:val="20"/>
        </w:rPr>
        <w:t>5.2.2.4.  Kartu su turto nuostoliais atlyginamos išlaidos, susijusios su draudiminio įvykio padarinių likvidavimu (išlaidos susijusios su draudiminio įvykio vietos sutvarkymu</w:t>
      </w:r>
      <w:r w:rsidR="000D5311" w:rsidRPr="000D5311">
        <w:rPr>
          <w:rFonts w:cs="Arial"/>
          <w:sz w:val="20"/>
          <w:szCs w:val="20"/>
        </w:rPr>
        <w:t>,</w:t>
      </w:r>
      <w:r w:rsidRPr="000D5311">
        <w:rPr>
          <w:rFonts w:cs="Arial"/>
          <w:sz w:val="20"/>
          <w:szCs w:val="20"/>
        </w:rPr>
        <w:t xml:space="preserve"> liekanų pašalinimu ir t.t.);</w:t>
      </w:r>
    </w:p>
    <w:p w14:paraId="7A2B216B" w14:textId="77777777" w:rsidR="00AC591C" w:rsidRPr="000D5311" w:rsidRDefault="00AC591C" w:rsidP="00AC591C">
      <w:pPr>
        <w:pStyle w:val="ListParagraph"/>
        <w:numPr>
          <w:ilvl w:val="2"/>
          <w:numId w:val="5"/>
        </w:numPr>
        <w:tabs>
          <w:tab w:val="left" w:pos="709"/>
        </w:tabs>
        <w:spacing w:before="60" w:after="60"/>
        <w:ind w:left="0" w:firstLine="0"/>
        <w:jc w:val="both"/>
        <w:rPr>
          <w:rFonts w:cs="Arial"/>
          <w:sz w:val="20"/>
          <w:szCs w:val="20"/>
        </w:rPr>
      </w:pPr>
      <w:r w:rsidRPr="000D5311">
        <w:rPr>
          <w:rFonts w:cs="Arial"/>
          <w:sz w:val="20"/>
          <w:szCs w:val="20"/>
        </w:rPr>
        <w:t xml:space="preserve"> Informacija apie draudžiamuosius objektus, jų draudimo pradžią pateikiama šios techninės specifikacijos Priede Nr. 1 „Draudžiami objektai“.</w:t>
      </w:r>
    </w:p>
    <w:p w14:paraId="63ADED45" w14:textId="77777777" w:rsidR="00AC591C" w:rsidRPr="000D5311" w:rsidRDefault="00AC591C" w:rsidP="00AC591C">
      <w:pPr>
        <w:pStyle w:val="ListParagraph"/>
        <w:tabs>
          <w:tab w:val="left" w:pos="709"/>
        </w:tabs>
        <w:spacing w:before="60" w:after="60"/>
        <w:ind w:left="0" w:firstLine="0"/>
        <w:jc w:val="both"/>
        <w:rPr>
          <w:rFonts w:cs="Arial"/>
          <w:sz w:val="20"/>
          <w:szCs w:val="20"/>
        </w:rPr>
      </w:pPr>
    </w:p>
    <w:p w14:paraId="22746362" w14:textId="77777777" w:rsidR="00AC591C" w:rsidRPr="000D5311" w:rsidRDefault="00AC591C" w:rsidP="00AC591C">
      <w:pPr>
        <w:pBdr>
          <w:bottom w:val="single" w:sz="4" w:space="1" w:color="auto"/>
        </w:pBdr>
        <w:tabs>
          <w:tab w:val="left" w:pos="709"/>
        </w:tabs>
        <w:spacing w:before="60" w:after="60"/>
        <w:ind w:firstLine="0"/>
        <w:jc w:val="both"/>
        <w:rPr>
          <w:rFonts w:cs="Arial"/>
          <w:b/>
          <w:sz w:val="20"/>
          <w:szCs w:val="20"/>
        </w:rPr>
      </w:pPr>
      <w:r w:rsidRPr="000D5311">
        <w:rPr>
          <w:rFonts w:cs="Arial"/>
          <w:b/>
          <w:sz w:val="20"/>
          <w:szCs w:val="20"/>
        </w:rPr>
        <w:t>5.3. SPECIALIOSIOS SĄLYGOS</w:t>
      </w:r>
    </w:p>
    <w:p w14:paraId="66156EFB" w14:textId="77777777" w:rsidR="00AC591C" w:rsidRPr="000D5311" w:rsidRDefault="00AC591C" w:rsidP="00AC591C">
      <w:pPr>
        <w:tabs>
          <w:tab w:val="left" w:pos="586"/>
          <w:tab w:val="left" w:pos="709"/>
          <w:tab w:val="left" w:pos="1560"/>
        </w:tabs>
        <w:ind w:firstLine="0"/>
        <w:jc w:val="both"/>
        <w:rPr>
          <w:rFonts w:cs="Arial"/>
          <w:color w:val="000000" w:themeColor="text1"/>
          <w:sz w:val="20"/>
          <w:szCs w:val="20"/>
        </w:rPr>
      </w:pPr>
      <w:r w:rsidRPr="000D5311">
        <w:rPr>
          <w:rFonts w:cs="Arial"/>
          <w:sz w:val="20"/>
          <w:szCs w:val="20"/>
        </w:rPr>
        <w:t>5.3.1.</w:t>
      </w:r>
      <w:r w:rsidRPr="000D5311">
        <w:rPr>
          <w:rFonts w:cs="Arial"/>
          <w:color w:val="000000" w:themeColor="text1"/>
          <w:sz w:val="20"/>
          <w:szCs w:val="20"/>
        </w:rPr>
        <w:t>Draudimo apsauga apima bet kokius turto sugadinimo, sunaikinimo ar praradimo atvejus, įvykusius staiga ir netikėtai draudimo apsaugos galiojimo laikotarpiu, išskyrus įvykius, nurodytus kaip nedraudžiamieji įvykiai draudimo taisyklėse.</w:t>
      </w:r>
    </w:p>
    <w:p w14:paraId="5F4F7EDB" w14:textId="77777777" w:rsidR="00AC591C" w:rsidRPr="000D5311" w:rsidRDefault="00AC591C" w:rsidP="00AC591C">
      <w:pPr>
        <w:tabs>
          <w:tab w:val="left" w:pos="586"/>
          <w:tab w:val="left" w:pos="709"/>
          <w:tab w:val="left" w:pos="1560"/>
        </w:tabs>
        <w:ind w:firstLine="0"/>
        <w:jc w:val="both"/>
        <w:rPr>
          <w:rFonts w:cs="Arial"/>
          <w:color w:val="000000" w:themeColor="text1"/>
          <w:sz w:val="20"/>
          <w:szCs w:val="20"/>
        </w:rPr>
      </w:pPr>
      <w:r w:rsidRPr="000D5311">
        <w:rPr>
          <w:rFonts w:cs="Arial"/>
          <w:color w:val="000000" w:themeColor="text1"/>
          <w:sz w:val="20"/>
          <w:szCs w:val="20"/>
        </w:rPr>
        <w:t>5.3.2. Draudžiamojo įvykio atveju, kartu su turto nuostoliais atlyginamos papildomos išlaidos, susijusios su draudiminio įvykio padarinių likvidavimu (išlaidos susijusios su draudiminio įvykio vietos sutvarkymu ar išvalymu, atsiradusių liekanų pašalinimu ir t.t.), tačiau neviršijant konkrečioje draudimo vietoje (konkrečiu adresu) esančio apdrausto turto draudimo sumos.</w:t>
      </w:r>
    </w:p>
    <w:p w14:paraId="07C27213" w14:textId="6973C61A" w:rsidR="00AC591C" w:rsidRPr="000D5311" w:rsidRDefault="00AC591C" w:rsidP="00AC591C">
      <w:pPr>
        <w:tabs>
          <w:tab w:val="left" w:pos="586"/>
          <w:tab w:val="left" w:pos="709"/>
          <w:tab w:val="left" w:pos="1560"/>
        </w:tabs>
        <w:ind w:firstLine="0"/>
        <w:jc w:val="both"/>
        <w:rPr>
          <w:rFonts w:cs="Arial"/>
          <w:sz w:val="20"/>
          <w:szCs w:val="20"/>
        </w:rPr>
      </w:pPr>
      <w:r w:rsidRPr="000D5311">
        <w:rPr>
          <w:rFonts w:cs="Arial"/>
          <w:color w:val="000000" w:themeColor="text1"/>
          <w:sz w:val="20"/>
          <w:szCs w:val="20"/>
        </w:rPr>
        <w:t xml:space="preserve">5.3.3. Draudimo apsauga apima </w:t>
      </w:r>
      <w:r w:rsidR="000D5311" w:rsidRPr="000D5311">
        <w:rPr>
          <w:rFonts w:cs="Arial"/>
          <w:color w:val="000000" w:themeColor="text1"/>
          <w:sz w:val="20"/>
          <w:szCs w:val="20"/>
        </w:rPr>
        <w:t>e</w:t>
      </w:r>
      <w:r w:rsidRPr="000D5311">
        <w:rPr>
          <w:rFonts w:cs="Arial"/>
          <w:color w:val="000000" w:themeColor="text1"/>
          <w:sz w:val="20"/>
          <w:szCs w:val="20"/>
        </w:rPr>
        <w:t>lektronikos gedimus, atsiradusius dėl e</w:t>
      </w:r>
      <w:r w:rsidRPr="000D5311">
        <w:rPr>
          <w:rFonts w:cs="Arial"/>
          <w:sz w:val="20"/>
          <w:szCs w:val="20"/>
        </w:rPr>
        <w:t>lektros įtampos svyravimo. Elektros įtampos svyravimai – tai apdraustos elektronikos gedimai dėl staigaus ir netikėto tiekiamos elektros įtampos svyravimo, trumpo sujungimo, elektros srovės dingimo ir viršįtampių poveikio.</w:t>
      </w:r>
    </w:p>
    <w:p w14:paraId="499F0690" w14:textId="77777777" w:rsidR="00AC591C" w:rsidRPr="000D5311" w:rsidRDefault="00AC591C" w:rsidP="00AC591C">
      <w:pPr>
        <w:tabs>
          <w:tab w:val="left" w:pos="586"/>
          <w:tab w:val="left" w:pos="709"/>
          <w:tab w:val="left" w:pos="1560"/>
        </w:tabs>
        <w:ind w:firstLine="0"/>
        <w:jc w:val="both"/>
        <w:rPr>
          <w:rFonts w:cs="Arial"/>
          <w:color w:val="000000" w:themeColor="text1"/>
          <w:sz w:val="20"/>
          <w:szCs w:val="20"/>
        </w:rPr>
      </w:pPr>
      <w:r w:rsidRPr="000D5311">
        <w:rPr>
          <w:rFonts w:cs="Arial"/>
          <w:color w:val="000000" w:themeColor="text1"/>
          <w:sz w:val="20"/>
          <w:szCs w:val="20"/>
        </w:rPr>
        <w:t>5.3.4. Elektronikos gedimų rizikai taikomas draudimo išmokos limitas 2900,00 EUR be PVM visiems įvykiams sutarties galiojimo laikotarpiu, Franšizė (besąlyginė išskaita) – 290,00 EUR be PVM.</w:t>
      </w:r>
    </w:p>
    <w:p w14:paraId="74CB9CF9" w14:textId="77777777" w:rsidR="00AC591C" w:rsidRPr="000D5311" w:rsidRDefault="00AC591C" w:rsidP="00AC591C">
      <w:pPr>
        <w:tabs>
          <w:tab w:val="left" w:pos="586"/>
          <w:tab w:val="left" w:pos="709"/>
          <w:tab w:val="left" w:pos="1560"/>
        </w:tabs>
        <w:ind w:firstLine="0"/>
        <w:jc w:val="both"/>
        <w:rPr>
          <w:rFonts w:cs="Arial"/>
          <w:color w:val="000000" w:themeColor="text1"/>
          <w:sz w:val="20"/>
          <w:szCs w:val="20"/>
        </w:rPr>
      </w:pPr>
      <w:r w:rsidRPr="000D5311">
        <w:rPr>
          <w:rFonts w:cs="Arial"/>
          <w:color w:val="000000" w:themeColor="text1"/>
          <w:sz w:val="20"/>
          <w:szCs w:val="20"/>
        </w:rPr>
        <w:t>5.3.5. Transporto priemonės atsitrenkimas – tai apdrausto turto sugadinimas ar sunaikinimas į jį atsitrenkus kelių eismo transporto priemone.</w:t>
      </w:r>
    </w:p>
    <w:p w14:paraId="4251F46B" w14:textId="1983C8EF" w:rsidR="00AC591C" w:rsidRPr="000D5311" w:rsidRDefault="00AC591C" w:rsidP="00AC591C">
      <w:pPr>
        <w:tabs>
          <w:tab w:val="left" w:pos="586"/>
          <w:tab w:val="left" w:pos="709"/>
          <w:tab w:val="left" w:pos="1560"/>
        </w:tabs>
        <w:ind w:firstLine="0"/>
        <w:jc w:val="both"/>
        <w:rPr>
          <w:rFonts w:cs="Arial"/>
          <w:color w:val="000000" w:themeColor="text1"/>
          <w:sz w:val="20"/>
          <w:szCs w:val="20"/>
        </w:rPr>
      </w:pPr>
      <w:r w:rsidRPr="000D5311">
        <w:rPr>
          <w:rFonts w:cs="Arial"/>
          <w:color w:val="000000" w:themeColor="text1"/>
          <w:sz w:val="20"/>
          <w:szCs w:val="20"/>
        </w:rPr>
        <w:t>5.3.6. Draudėjas patvirtina, kad aplink pastotę yra sumontuota 1,9 m aukščio tvora, įėjimo varteliai rakinami ir su signalizacija. Skirstyklos pastate sumontuotos apsauginės (įėjimo) ir priešgaisrinės signalizacijos. Visi signalai perduodami visą parą budinčiam AB „Energijos skirstymo operatorius“ dispečeriui.</w:t>
      </w:r>
    </w:p>
    <w:p w14:paraId="5D1A7F5E" w14:textId="77777777" w:rsidR="00AC591C" w:rsidRPr="000D5311" w:rsidRDefault="00AC591C" w:rsidP="00AC591C">
      <w:pPr>
        <w:tabs>
          <w:tab w:val="left" w:pos="586"/>
          <w:tab w:val="left" w:pos="709"/>
          <w:tab w:val="left" w:pos="1560"/>
        </w:tabs>
        <w:ind w:firstLine="0"/>
        <w:jc w:val="both"/>
        <w:rPr>
          <w:rFonts w:cs="Arial"/>
          <w:color w:val="000000" w:themeColor="text1"/>
          <w:sz w:val="20"/>
          <w:szCs w:val="20"/>
        </w:rPr>
      </w:pPr>
      <w:r w:rsidRPr="000D5311">
        <w:rPr>
          <w:rFonts w:cs="Arial"/>
          <w:color w:val="000000" w:themeColor="text1"/>
          <w:sz w:val="20"/>
          <w:szCs w:val="20"/>
        </w:rPr>
        <w:t>5.3.7. Jeigu Sutarties galiojimo metu Draudėjas paprašo nutraukti draudimo apsaugą ir draudimo sutartį, tuomet nepanaudota, tačiau jau sumokėta draudimo įmokos dalis yra grąžinama į Draudėjo sąskaitą, neišskaičiavus jokių mokesčių. Draudimo laikotarpis skaičiuojamas kalendorinių dienų tikslumu.</w:t>
      </w:r>
    </w:p>
    <w:p w14:paraId="5C951276" w14:textId="77777777" w:rsidR="00AC591C" w:rsidRPr="000D5311" w:rsidRDefault="00AC591C" w:rsidP="00AC591C">
      <w:pPr>
        <w:pStyle w:val="ListParagraph"/>
        <w:numPr>
          <w:ilvl w:val="0"/>
          <w:numId w:val="2"/>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0D5311">
        <w:rPr>
          <w:rStyle w:val="Laukeliai"/>
          <w:rFonts w:cs="Arial"/>
          <w:b/>
          <w:szCs w:val="20"/>
        </w:rPr>
        <w:lastRenderedPageBreak/>
        <w:t xml:space="preserve">SUTARTINIŲ ĮSIPAREIGOJIMŲ VYKDYMO TVARKA IR TERMINAI </w:t>
      </w:r>
    </w:p>
    <w:p w14:paraId="5DF2267C" w14:textId="77777777" w:rsidR="00AC591C" w:rsidRPr="000D5311" w:rsidRDefault="00AC591C" w:rsidP="00AC591C">
      <w:pPr>
        <w:pStyle w:val="ListParagraph"/>
        <w:numPr>
          <w:ilvl w:val="1"/>
          <w:numId w:val="2"/>
        </w:numPr>
        <w:tabs>
          <w:tab w:val="left" w:pos="567"/>
        </w:tabs>
        <w:spacing w:before="60" w:after="60"/>
        <w:ind w:left="0" w:firstLine="0"/>
        <w:jc w:val="both"/>
        <w:rPr>
          <w:rFonts w:cs="Arial"/>
          <w:sz w:val="20"/>
          <w:szCs w:val="20"/>
        </w:rPr>
      </w:pPr>
      <w:r w:rsidRPr="000D5311">
        <w:rPr>
          <w:rFonts w:cs="Arial"/>
          <w:sz w:val="20"/>
          <w:szCs w:val="20"/>
        </w:rPr>
        <w:t xml:space="preserve">Techninės specifikacijos Priede Nr.1. nurodytiems objektams liudijimai turi įsigalioti nuo Priede Nr. </w:t>
      </w:r>
      <w:r w:rsidRPr="000D5311">
        <w:rPr>
          <w:rFonts w:cs="Arial"/>
          <w:sz w:val="20"/>
          <w:szCs w:val="20"/>
          <w:lang w:val="en-US"/>
        </w:rPr>
        <w:t>1</w:t>
      </w:r>
      <w:r w:rsidRPr="000D5311">
        <w:rPr>
          <w:rFonts w:cs="Arial"/>
          <w:sz w:val="20"/>
          <w:szCs w:val="20"/>
        </w:rPr>
        <w:t xml:space="preserve"> nurodytos datos konkrečiam draudimo objektui. Tuo atveju, jei viešojo pirkimo procedūra nebus baigta iki nurodytos datos, draudimo liudijimas turi įsigalioti nuo draudimo Sutarties sudarymo dienos.</w:t>
      </w:r>
    </w:p>
    <w:p w14:paraId="2DBB5949" w14:textId="77777777" w:rsidR="00AC591C" w:rsidRPr="000D5311" w:rsidRDefault="00AC591C" w:rsidP="00AC591C">
      <w:pPr>
        <w:pStyle w:val="ListParagraph"/>
        <w:numPr>
          <w:ilvl w:val="0"/>
          <w:numId w:val="6"/>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0D5311">
        <w:rPr>
          <w:rStyle w:val="Laukeliai"/>
          <w:rFonts w:cs="Arial"/>
          <w:b/>
          <w:szCs w:val="20"/>
        </w:rPr>
        <w:t>KOKYBĖ IR TRŪKUMŲ ŠALINIMAS</w:t>
      </w:r>
    </w:p>
    <w:p w14:paraId="075D1120" w14:textId="77777777" w:rsidR="00AC591C" w:rsidRPr="000D5311" w:rsidRDefault="00AC591C" w:rsidP="00AC591C">
      <w:pPr>
        <w:pStyle w:val="ListParagraph"/>
        <w:numPr>
          <w:ilvl w:val="0"/>
          <w:numId w:val="2"/>
        </w:numPr>
        <w:tabs>
          <w:tab w:val="left" w:pos="567"/>
        </w:tabs>
        <w:spacing w:before="60" w:after="60"/>
        <w:contextualSpacing w:val="0"/>
        <w:jc w:val="both"/>
        <w:rPr>
          <w:rStyle w:val="Laukeliai"/>
          <w:rFonts w:cs="Arial"/>
          <w:vanish/>
          <w:szCs w:val="20"/>
        </w:rPr>
      </w:pPr>
    </w:p>
    <w:p w14:paraId="1866B6AB" w14:textId="77777777" w:rsidR="00AC591C" w:rsidRPr="000D5311" w:rsidRDefault="00AC591C" w:rsidP="00AC591C">
      <w:pPr>
        <w:pStyle w:val="ListParagraph"/>
        <w:numPr>
          <w:ilvl w:val="0"/>
          <w:numId w:val="2"/>
        </w:numPr>
        <w:tabs>
          <w:tab w:val="left" w:pos="567"/>
        </w:tabs>
        <w:spacing w:before="60" w:after="60"/>
        <w:contextualSpacing w:val="0"/>
        <w:jc w:val="both"/>
        <w:rPr>
          <w:rStyle w:val="Laukeliai"/>
          <w:rFonts w:cs="Arial"/>
          <w:vanish/>
          <w:szCs w:val="20"/>
        </w:rPr>
      </w:pPr>
    </w:p>
    <w:p w14:paraId="377A80E2" w14:textId="12344E97" w:rsidR="00AC591C" w:rsidRPr="000D5311" w:rsidRDefault="00AC591C" w:rsidP="000D5311">
      <w:pPr>
        <w:pStyle w:val="ListParagraph"/>
        <w:numPr>
          <w:ilvl w:val="1"/>
          <w:numId w:val="6"/>
        </w:numPr>
        <w:tabs>
          <w:tab w:val="left" w:pos="540"/>
        </w:tabs>
        <w:spacing w:before="60" w:after="60"/>
        <w:ind w:left="0" w:firstLine="0"/>
        <w:contextualSpacing w:val="0"/>
        <w:jc w:val="both"/>
        <w:rPr>
          <w:rStyle w:val="Laukeliai"/>
          <w:rFonts w:cs="Arial"/>
          <w:szCs w:val="20"/>
        </w:rPr>
      </w:pPr>
      <w:r w:rsidRPr="000D5311">
        <w:rPr>
          <w:rStyle w:val="Laukeliai"/>
          <w:rFonts w:cs="Arial"/>
          <w:szCs w:val="20"/>
        </w:rPr>
        <w:t>Trūkumų pašalinimui</w:t>
      </w:r>
      <w:r w:rsidR="000D5311">
        <w:rPr>
          <w:rStyle w:val="Laukeliai"/>
          <w:rFonts w:cs="Arial"/>
          <w:szCs w:val="20"/>
        </w:rPr>
        <w:t xml:space="preserve"> taikomas terminas</w:t>
      </w:r>
      <w:r w:rsidRPr="000D5311">
        <w:rPr>
          <w:rStyle w:val="Laukeliai"/>
          <w:rFonts w:cs="Arial"/>
          <w:szCs w:val="20"/>
        </w:rPr>
        <w:t xml:space="preserve"> - 2 d</w:t>
      </w:r>
      <w:r w:rsidR="000D5311">
        <w:rPr>
          <w:rStyle w:val="Laukeliai"/>
          <w:rFonts w:cs="Arial"/>
          <w:szCs w:val="20"/>
        </w:rPr>
        <w:t>arbo</w:t>
      </w:r>
      <w:r w:rsidRPr="000D5311">
        <w:rPr>
          <w:rStyle w:val="Laukeliai"/>
          <w:rFonts w:cs="Arial"/>
          <w:szCs w:val="20"/>
        </w:rPr>
        <w:t xml:space="preserve"> d</w:t>
      </w:r>
      <w:r w:rsidR="000D5311">
        <w:rPr>
          <w:rStyle w:val="Laukeliai"/>
          <w:rFonts w:cs="Arial"/>
          <w:szCs w:val="20"/>
        </w:rPr>
        <w:t>ienos</w:t>
      </w:r>
      <w:r w:rsidRPr="000D5311">
        <w:rPr>
          <w:rStyle w:val="Laukeliai"/>
          <w:rFonts w:cs="Arial"/>
          <w:szCs w:val="20"/>
        </w:rPr>
        <w:t>.</w:t>
      </w:r>
    </w:p>
    <w:p w14:paraId="71AF31DE" w14:textId="77777777" w:rsidR="00AC591C" w:rsidRPr="000D5311" w:rsidRDefault="00AC591C" w:rsidP="00AC591C">
      <w:pPr>
        <w:pStyle w:val="ListParagraph"/>
        <w:numPr>
          <w:ilvl w:val="0"/>
          <w:numId w:val="8"/>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0D5311">
        <w:rPr>
          <w:rStyle w:val="Laukeliai"/>
          <w:rFonts w:cs="Arial"/>
          <w:b/>
          <w:szCs w:val="20"/>
        </w:rPr>
        <w:t>KARTU SU TEIKIAMOMIS PASLAUGOMIS PATEIKIAMI DOKUMENTAI</w:t>
      </w:r>
    </w:p>
    <w:p w14:paraId="691914B2" w14:textId="77777777" w:rsidR="00AC591C" w:rsidRPr="000D5311" w:rsidRDefault="00AC591C" w:rsidP="00AC591C">
      <w:pPr>
        <w:pStyle w:val="ListParagraph"/>
        <w:numPr>
          <w:ilvl w:val="0"/>
          <w:numId w:val="6"/>
        </w:numPr>
        <w:tabs>
          <w:tab w:val="left" w:pos="567"/>
        </w:tabs>
        <w:spacing w:before="60" w:after="60"/>
        <w:contextualSpacing w:val="0"/>
        <w:jc w:val="both"/>
        <w:rPr>
          <w:rStyle w:val="Laukeliai"/>
          <w:rFonts w:cs="Arial"/>
          <w:vanish/>
          <w:color w:val="FF0000"/>
          <w:szCs w:val="20"/>
        </w:rPr>
      </w:pPr>
    </w:p>
    <w:p w14:paraId="023BE508" w14:textId="152E74E7" w:rsidR="00AC591C" w:rsidRPr="000D5311" w:rsidRDefault="00AC591C" w:rsidP="000D5311">
      <w:pPr>
        <w:pStyle w:val="ListParagraph"/>
        <w:numPr>
          <w:ilvl w:val="1"/>
          <w:numId w:val="6"/>
        </w:numPr>
        <w:tabs>
          <w:tab w:val="left" w:pos="540"/>
        </w:tabs>
        <w:spacing w:before="60" w:after="60"/>
        <w:ind w:left="0" w:firstLine="0"/>
        <w:contextualSpacing w:val="0"/>
        <w:jc w:val="both"/>
        <w:rPr>
          <w:rStyle w:val="Laukeliai"/>
          <w:rFonts w:cs="Arial"/>
          <w:szCs w:val="20"/>
        </w:rPr>
      </w:pPr>
      <w:r w:rsidRPr="000D5311">
        <w:rPr>
          <w:rStyle w:val="Laukeliai"/>
          <w:rFonts w:cs="Arial"/>
          <w:szCs w:val="20"/>
        </w:rPr>
        <w:t>Licencijų, leidimų ar kitų dokumentų, suteikiančių teisę verstis atitinkama veikla</w:t>
      </w:r>
      <w:r w:rsidR="000D5311">
        <w:rPr>
          <w:rStyle w:val="Laukeliai"/>
          <w:rFonts w:cs="Arial"/>
          <w:szCs w:val="20"/>
        </w:rPr>
        <w:t>, kopija</w:t>
      </w:r>
      <w:r w:rsidRPr="000D5311">
        <w:rPr>
          <w:rStyle w:val="Laukeliai"/>
          <w:rFonts w:cs="Arial"/>
          <w:szCs w:val="20"/>
        </w:rPr>
        <w:t>.</w:t>
      </w:r>
    </w:p>
    <w:p w14:paraId="4ECE1AC1" w14:textId="77777777" w:rsidR="00AC591C" w:rsidRPr="000D5311" w:rsidRDefault="00AC591C" w:rsidP="00AC591C">
      <w:pPr>
        <w:pStyle w:val="ListParagraph"/>
        <w:numPr>
          <w:ilvl w:val="0"/>
          <w:numId w:val="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0D5311">
        <w:rPr>
          <w:rFonts w:cs="Arial"/>
          <w:b/>
          <w:sz w:val="20"/>
          <w:szCs w:val="20"/>
        </w:rPr>
        <w:t xml:space="preserve">KLIENTO SUTARTINIAI ĮSIPAREIGOJIMAI </w:t>
      </w:r>
    </w:p>
    <w:p w14:paraId="53E53675" w14:textId="6725C627" w:rsidR="00AC591C" w:rsidRPr="000D5311" w:rsidRDefault="00AC591C" w:rsidP="00AC591C">
      <w:pPr>
        <w:pStyle w:val="ListParagraph"/>
        <w:numPr>
          <w:ilvl w:val="1"/>
          <w:numId w:val="8"/>
        </w:numPr>
        <w:tabs>
          <w:tab w:val="left" w:pos="567"/>
        </w:tabs>
        <w:spacing w:before="60" w:after="60"/>
        <w:ind w:left="0" w:firstLine="0"/>
        <w:jc w:val="both"/>
        <w:rPr>
          <w:rFonts w:cs="Arial"/>
          <w:iCs/>
          <w:sz w:val="20"/>
          <w:szCs w:val="20"/>
        </w:rPr>
      </w:pPr>
      <w:r w:rsidRPr="000D5311">
        <w:rPr>
          <w:rFonts w:cs="Arial"/>
          <w:iCs/>
          <w:sz w:val="20"/>
          <w:szCs w:val="20"/>
        </w:rPr>
        <w:t>Prieš 5 d</w:t>
      </w:r>
      <w:r w:rsidR="000D5311">
        <w:rPr>
          <w:rFonts w:cs="Arial"/>
          <w:iCs/>
          <w:sz w:val="20"/>
          <w:szCs w:val="20"/>
        </w:rPr>
        <w:t>arbo dienas</w:t>
      </w:r>
      <w:r w:rsidRPr="000D5311">
        <w:rPr>
          <w:rFonts w:cs="Arial"/>
          <w:iCs/>
          <w:sz w:val="20"/>
          <w:szCs w:val="20"/>
        </w:rPr>
        <w:t xml:space="preserve"> iki draudimo apsaugos įsigaliojimo datos (nurodytos Priede Nr. 1 Draudžiami objektai) pateikti Paslaugų užsakovui</w:t>
      </w:r>
      <w:bookmarkStart w:id="0" w:name="_GoBack"/>
      <w:bookmarkEnd w:id="0"/>
      <w:r w:rsidRPr="000D5311">
        <w:rPr>
          <w:rFonts w:cs="Arial"/>
          <w:iCs/>
          <w:sz w:val="20"/>
          <w:szCs w:val="20"/>
        </w:rPr>
        <w:t xml:space="preserve"> draudimo polisus. Tuo atveju, jei viešojo pirkimo procedūra tai dienai dar nebus baigta, draudimo liudijimus pateikti Sutarties pasirašymo dieną.</w:t>
      </w:r>
    </w:p>
    <w:p w14:paraId="1B66F6E8" w14:textId="77777777" w:rsidR="00AC591C" w:rsidRPr="000D5311" w:rsidRDefault="00AC591C" w:rsidP="00AC591C">
      <w:pPr>
        <w:pStyle w:val="ListParagraph"/>
        <w:numPr>
          <w:ilvl w:val="0"/>
          <w:numId w:val="7"/>
        </w:numPr>
        <w:pBdr>
          <w:top w:val="single" w:sz="8" w:space="1" w:color="auto"/>
          <w:bottom w:val="single" w:sz="8" w:space="1" w:color="auto"/>
        </w:pBdr>
        <w:tabs>
          <w:tab w:val="left" w:pos="630"/>
        </w:tabs>
        <w:spacing w:before="60" w:after="60"/>
        <w:ind w:left="0" w:firstLine="0"/>
        <w:rPr>
          <w:rFonts w:cs="Arial"/>
          <w:b/>
          <w:sz w:val="20"/>
          <w:szCs w:val="20"/>
        </w:rPr>
      </w:pPr>
      <w:r w:rsidRPr="000D5311">
        <w:rPr>
          <w:rFonts w:cs="Arial"/>
          <w:b/>
          <w:sz w:val="20"/>
          <w:szCs w:val="20"/>
        </w:rPr>
        <w:t>PRIEDAI</w:t>
      </w:r>
    </w:p>
    <w:p w14:paraId="581AD1EF" w14:textId="77777777" w:rsidR="00AC591C" w:rsidRPr="000D5311" w:rsidRDefault="00AC591C" w:rsidP="00AC591C">
      <w:pPr>
        <w:pStyle w:val="ListParagraph"/>
        <w:numPr>
          <w:ilvl w:val="0"/>
          <w:numId w:val="6"/>
        </w:numPr>
        <w:spacing w:before="60" w:after="60"/>
        <w:jc w:val="both"/>
        <w:rPr>
          <w:rFonts w:cs="Arial"/>
          <w:bCs/>
          <w:vanish/>
          <w:sz w:val="20"/>
          <w:szCs w:val="20"/>
        </w:rPr>
      </w:pPr>
    </w:p>
    <w:p w14:paraId="17F4ABBF" w14:textId="77777777" w:rsidR="00AC591C" w:rsidRPr="000D5311" w:rsidRDefault="00AC591C" w:rsidP="00AC591C">
      <w:pPr>
        <w:pStyle w:val="ListParagraph"/>
        <w:numPr>
          <w:ilvl w:val="0"/>
          <w:numId w:val="6"/>
        </w:numPr>
        <w:spacing w:before="60" w:after="60"/>
        <w:jc w:val="both"/>
        <w:rPr>
          <w:rFonts w:cs="Arial"/>
          <w:bCs/>
          <w:vanish/>
          <w:sz w:val="20"/>
          <w:szCs w:val="20"/>
        </w:rPr>
      </w:pPr>
    </w:p>
    <w:p w14:paraId="5464B669" w14:textId="04B9BF4D" w:rsidR="00745E45" w:rsidRPr="000D5311" w:rsidRDefault="00AC591C" w:rsidP="000D5311">
      <w:pPr>
        <w:pStyle w:val="ListParagraph"/>
        <w:numPr>
          <w:ilvl w:val="1"/>
          <w:numId w:val="6"/>
        </w:numPr>
        <w:tabs>
          <w:tab w:val="left" w:pos="567"/>
        </w:tabs>
        <w:ind w:left="0" w:firstLine="0"/>
        <w:rPr>
          <w:rFonts w:cs="Arial"/>
          <w:sz w:val="20"/>
          <w:szCs w:val="20"/>
        </w:rPr>
      </w:pPr>
      <w:r w:rsidRPr="000D5311">
        <w:rPr>
          <w:rFonts w:cs="Arial"/>
          <w:bCs/>
          <w:sz w:val="20"/>
          <w:szCs w:val="20"/>
        </w:rPr>
        <w:t xml:space="preserve">Priedas Nr. 1 – </w:t>
      </w:r>
      <w:r w:rsidRPr="000D5311">
        <w:rPr>
          <w:rFonts w:cs="Arial"/>
          <w:sz w:val="20"/>
          <w:szCs w:val="20"/>
        </w:rPr>
        <w:t>Draudžiami objektai.</w:t>
      </w:r>
    </w:p>
    <w:sectPr w:rsidR="00745E45" w:rsidRPr="000D5311">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F2892" w14:textId="77777777" w:rsidR="00AC591C" w:rsidRDefault="00AC591C" w:rsidP="00AC591C">
      <w:r>
        <w:separator/>
      </w:r>
    </w:p>
  </w:endnote>
  <w:endnote w:type="continuationSeparator" w:id="0">
    <w:p w14:paraId="0BB77E71" w14:textId="77777777" w:rsidR="00AC591C" w:rsidRDefault="00AC591C" w:rsidP="00AC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2671C" w14:textId="77777777" w:rsidR="00AC591C" w:rsidRDefault="00AC5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3661" w14:textId="77777777" w:rsidR="00AC591C" w:rsidRDefault="00AC5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80F5" w14:textId="77777777" w:rsidR="00AC591C" w:rsidRDefault="00AC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145FC" w14:textId="77777777" w:rsidR="00AC591C" w:rsidRDefault="00AC591C" w:rsidP="00AC591C">
      <w:r>
        <w:separator/>
      </w:r>
    </w:p>
  </w:footnote>
  <w:footnote w:type="continuationSeparator" w:id="0">
    <w:p w14:paraId="7DDB5639" w14:textId="77777777" w:rsidR="00AC591C" w:rsidRDefault="00AC591C" w:rsidP="00AC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C83F" w14:textId="77777777" w:rsidR="00AC591C" w:rsidRDefault="00AC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6FA0" w14:textId="6347E417" w:rsidR="00AC591C" w:rsidRDefault="00AC591C">
    <w:pPr>
      <w:pStyle w:val="Header"/>
    </w:pPr>
    <w:r>
      <w:rPr>
        <w:noProof/>
      </w:rPr>
      <mc:AlternateContent>
        <mc:Choice Requires="wps">
          <w:drawing>
            <wp:anchor distT="0" distB="0" distL="114300" distR="114300" simplePos="0" relativeHeight="251659264" behindDoc="0" locked="0" layoutInCell="0" allowOverlap="1" wp14:anchorId="580640DD" wp14:editId="19FE1440">
              <wp:simplePos x="0" y="0"/>
              <wp:positionH relativeFrom="page">
                <wp:posOffset>0</wp:posOffset>
              </wp:positionH>
              <wp:positionV relativeFrom="page">
                <wp:posOffset>190500</wp:posOffset>
              </wp:positionV>
              <wp:extent cx="7560310" cy="266700"/>
              <wp:effectExtent l="0" t="0" r="0" b="0"/>
              <wp:wrapNone/>
              <wp:docPr id="1" name="MSIPCM3db049d8b5ac91bc3970bb0b"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779968" w14:textId="68A6A020" w:rsidR="00AC591C" w:rsidRPr="00AC591C" w:rsidRDefault="00AC591C" w:rsidP="00AC591C">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80640DD" id="_x0000_t202" coordsize="21600,21600" o:spt="202" path="m,l,21600r21600,l21600,xe">
              <v:stroke joinstyle="miter"/>
              <v:path gradientshapeok="t" o:connecttype="rect"/>
            </v:shapetype>
            <v:shape id="MSIPCM3db049d8b5ac91bc3970bb0b"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2MRj7B4DAAA3BgAADgAAAAAAAAAA&#10;AAAAAAAuAgAAZHJzL2Uyb0RvYy54bWxQSwECLQAUAAYACAAAACEAN6R6OtwAAAAHAQAADwAAAAAA&#10;AAAAAAAAAAB4BQAAZHJzL2Rvd25yZXYueG1sUEsFBgAAAAAEAAQA8wAAAIEGAAAAAA==&#10;" o:allowincell="f" filled="f" stroked="f" strokeweight=".5pt">
              <v:textbox inset=",0,20pt,0">
                <w:txbxContent>
                  <w:p w14:paraId="0D779968" w14:textId="68A6A020" w:rsidR="00AC591C" w:rsidRPr="00AC591C" w:rsidRDefault="00AC591C" w:rsidP="00AC591C">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43B8" w14:textId="77777777" w:rsidR="00AC591C" w:rsidRDefault="00AC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0252DC"/>
    <w:multiLevelType w:val="multilevel"/>
    <w:tmpl w:val="07A0FC72"/>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7"/>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1C"/>
    <w:rsid w:val="000D5311"/>
    <w:rsid w:val="006A49DA"/>
    <w:rsid w:val="00A65A2E"/>
    <w:rsid w:val="00AC5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28882"/>
  <w15:chartTrackingRefBased/>
  <w15:docId w15:val="{DA07E9CA-7A15-4F2F-939C-947BC386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591C"/>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C591C"/>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C591C"/>
    <w:rPr>
      <w:rFonts w:ascii="Arial" w:hAnsi="Arial"/>
    </w:rPr>
  </w:style>
  <w:style w:type="character" w:customStyle="1" w:styleId="Laukeliai">
    <w:name w:val="Laukeliai"/>
    <w:basedOn w:val="DefaultParagraphFont"/>
    <w:uiPriority w:val="1"/>
    <w:rsid w:val="00AC591C"/>
    <w:rPr>
      <w:rFonts w:ascii="Arial" w:hAnsi="Arial"/>
      <w:sz w:val="20"/>
    </w:rPr>
  </w:style>
  <w:style w:type="paragraph" w:styleId="Header">
    <w:name w:val="header"/>
    <w:basedOn w:val="Normal"/>
    <w:link w:val="HeaderChar"/>
    <w:uiPriority w:val="99"/>
    <w:unhideWhenUsed/>
    <w:rsid w:val="00AC591C"/>
    <w:pPr>
      <w:tabs>
        <w:tab w:val="center" w:pos="4819"/>
        <w:tab w:val="right" w:pos="9638"/>
      </w:tabs>
    </w:pPr>
  </w:style>
  <w:style w:type="character" w:customStyle="1" w:styleId="HeaderChar">
    <w:name w:val="Header Char"/>
    <w:basedOn w:val="DefaultParagraphFont"/>
    <w:link w:val="Header"/>
    <w:uiPriority w:val="99"/>
    <w:rsid w:val="00AC591C"/>
    <w:rPr>
      <w:rFonts w:ascii="Arial" w:hAnsi="Arial"/>
    </w:rPr>
  </w:style>
  <w:style w:type="paragraph" w:styleId="Footer">
    <w:name w:val="footer"/>
    <w:basedOn w:val="Normal"/>
    <w:link w:val="FooterChar"/>
    <w:uiPriority w:val="99"/>
    <w:unhideWhenUsed/>
    <w:rsid w:val="00AC591C"/>
    <w:pPr>
      <w:tabs>
        <w:tab w:val="center" w:pos="4819"/>
        <w:tab w:val="right" w:pos="9638"/>
      </w:tabs>
    </w:pPr>
  </w:style>
  <w:style w:type="character" w:customStyle="1" w:styleId="FooterChar">
    <w:name w:val="Footer Char"/>
    <w:basedOn w:val="DefaultParagraphFont"/>
    <w:link w:val="Footer"/>
    <w:uiPriority w:val="99"/>
    <w:rsid w:val="00AC591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717EE7D2B64EE08EC9FC6267836AD4"/>
        <w:category>
          <w:name w:val="General"/>
          <w:gallery w:val="placeholder"/>
        </w:category>
        <w:types>
          <w:type w:val="bbPlcHdr"/>
        </w:types>
        <w:behaviors>
          <w:behavior w:val="content"/>
        </w:behaviors>
        <w:guid w:val="{AAF258B7-F057-47FC-B98E-1025B6CF5500}"/>
      </w:docPartPr>
      <w:docPartBody>
        <w:p w:rsidR="0046495F" w:rsidRDefault="0036302F" w:rsidP="0036302F">
          <w:pPr>
            <w:pStyle w:val="AC717EE7D2B64EE08EC9FC6267836AD4"/>
          </w:pPr>
          <w:r w:rsidRPr="00BA53E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2F"/>
    <w:rsid w:val="0036302F"/>
    <w:rsid w:val="00464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6302F"/>
    <w:rPr>
      <w:rFonts w:ascii="Arial" w:hAnsi="Arial" w:cs="Arial"/>
      <w:sz w:val="20"/>
      <w:szCs w:val="20"/>
    </w:rPr>
  </w:style>
  <w:style w:type="paragraph" w:customStyle="1" w:styleId="AC717EE7D2B64EE08EC9FC6267836AD4">
    <w:name w:val="AC717EE7D2B64EE08EC9FC6267836AD4"/>
    <w:rsid w:val="00363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3138</Words>
  <Characters>1790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Lukauskaitė</dc:creator>
  <cp:keywords/>
  <dc:description/>
  <cp:lastModifiedBy>Sigita Danienė</cp:lastModifiedBy>
  <cp:revision>2</cp:revision>
  <dcterms:created xsi:type="dcterms:W3CDTF">2020-06-15T11:48:00Z</dcterms:created>
  <dcterms:modified xsi:type="dcterms:W3CDTF">2020-06-19T06:44:00Z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sigita.daniene@ignitis.lt</vt:lpwstr>
  </property>
  <property fmtid="{D5CDD505-2E9C-101B-9397-08002B2CF9AE}" pid="5" name="MSIP_Label_320c693d-44b7-4e16-b3dd-4fcd87401cf5_SetDate">
    <vt:lpwstr>2020-06-19T06:37:23.5426106Z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92b80a43-9197-4918-8bee-f8eaed669ca1</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sigita.daniene@ignitis.lt</vt:lpwstr>
  </property>
  <property fmtid="{D5CDD505-2E9C-101B-9397-08002B2CF9AE}" pid="13" name="MSIP_Label_190751af-2442-49a7-b7b9-9f0bcce858c9_SetDate">
    <vt:lpwstr>2020-06-19T06:37:23.5426106Z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92b80a43-9197-4918-8bee-f8eaed669ca1</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