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07AC" w14:textId="3CA942A9" w:rsidR="001D47D4" w:rsidRPr="001D47D4" w:rsidRDefault="001D47D4" w:rsidP="001D47D4">
      <w:pPr>
        <w:spacing w:after="0" w:line="240" w:lineRule="auto"/>
        <w:jc w:val="right"/>
        <w:rPr>
          <w:rFonts w:ascii="Times New Roman" w:eastAsia="Calibri" w:hAnsi="Times New Roman" w:cs="Times New Roman"/>
          <w:sz w:val="24"/>
          <w:szCs w:val="24"/>
          <w:lang w:eastAsia="en-GB"/>
        </w:rPr>
      </w:pPr>
      <w:r w:rsidRPr="001D47D4">
        <w:rPr>
          <w:rFonts w:ascii="Times New Roman" w:eastAsia="Calibri" w:hAnsi="Times New Roman" w:cs="Times New Roman"/>
          <w:sz w:val="24"/>
          <w:szCs w:val="24"/>
          <w:lang w:eastAsia="en-GB"/>
        </w:rPr>
        <w:t>1 priedas. TECHNINĖ SPECIFIKACIJA</w:t>
      </w:r>
    </w:p>
    <w:p w14:paraId="5E663E0D" w14:textId="77777777" w:rsidR="001D47D4" w:rsidRDefault="001D47D4" w:rsidP="00BA136B">
      <w:pPr>
        <w:spacing w:after="0" w:line="240" w:lineRule="auto"/>
        <w:jc w:val="center"/>
        <w:rPr>
          <w:rFonts w:ascii="Times New Roman" w:eastAsia="Calibri" w:hAnsi="Times New Roman" w:cs="Times New Roman"/>
          <w:b/>
          <w:bCs/>
          <w:sz w:val="24"/>
          <w:szCs w:val="24"/>
          <w:lang w:eastAsia="en-GB"/>
        </w:rPr>
      </w:pPr>
    </w:p>
    <w:p w14:paraId="515658D4" w14:textId="5CA91A63" w:rsidR="00BA136B" w:rsidRPr="00BA136B" w:rsidRDefault="00BA136B" w:rsidP="00BA136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lang w:eastAsia="en-GB"/>
        </w:rPr>
        <w:t>LED EKRANŲ SIENOS</w:t>
      </w:r>
      <w:r w:rsidRPr="00BA136B">
        <w:rPr>
          <w:rFonts w:ascii="Times New Roman" w:eastAsia="Calibri" w:hAnsi="Times New Roman" w:cs="Times New Roman"/>
          <w:b/>
          <w:bCs/>
          <w:sz w:val="24"/>
          <w:szCs w:val="24"/>
          <w:lang w:eastAsia="en-GB"/>
        </w:rPr>
        <w:t xml:space="preserve"> PIRKIMO</w:t>
      </w:r>
    </w:p>
    <w:p w14:paraId="515658D5" w14:textId="37DC1708" w:rsidR="00BA136B" w:rsidRPr="00BA136B" w:rsidRDefault="00BA136B" w:rsidP="00BA136B">
      <w:pPr>
        <w:spacing w:after="0" w:line="240" w:lineRule="auto"/>
        <w:jc w:val="center"/>
        <w:rPr>
          <w:rFonts w:ascii="Times New Roman" w:eastAsia="Calibri" w:hAnsi="Times New Roman" w:cs="Times New Roman"/>
          <w:b/>
          <w:bCs/>
          <w:sz w:val="24"/>
          <w:szCs w:val="24"/>
          <w:lang w:eastAsia="en-GB"/>
        </w:rPr>
      </w:pPr>
      <w:r w:rsidRPr="00BA136B">
        <w:rPr>
          <w:rFonts w:ascii="Times New Roman" w:eastAsia="Calibri" w:hAnsi="Times New Roman" w:cs="Times New Roman"/>
          <w:b/>
          <w:bCs/>
          <w:sz w:val="24"/>
          <w:szCs w:val="24"/>
          <w:lang w:eastAsia="en-GB"/>
        </w:rPr>
        <w:t>TECHNINĖ SPECIFIKACIJA</w:t>
      </w:r>
    </w:p>
    <w:p w14:paraId="515658D6" w14:textId="77777777" w:rsidR="00BA136B" w:rsidRPr="00BA136B" w:rsidRDefault="00BA136B" w:rsidP="00BA136B">
      <w:pPr>
        <w:spacing w:after="0" w:line="240" w:lineRule="auto"/>
        <w:jc w:val="center"/>
        <w:rPr>
          <w:rFonts w:ascii="Times New Roman" w:eastAsia="Calibri" w:hAnsi="Times New Roman" w:cs="Times New Roman"/>
          <w:b/>
          <w:bCs/>
          <w:sz w:val="24"/>
          <w:szCs w:val="24"/>
          <w:lang w:eastAsia="en-GB"/>
        </w:rPr>
      </w:pPr>
    </w:p>
    <w:p w14:paraId="515658D7" w14:textId="77777777" w:rsidR="00BA136B" w:rsidRPr="00BA136B" w:rsidRDefault="00BA136B" w:rsidP="00BA136B">
      <w:pPr>
        <w:numPr>
          <w:ilvl w:val="0"/>
          <w:numId w:val="1"/>
        </w:numPr>
        <w:spacing w:after="0" w:line="240" w:lineRule="auto"/>
        <w:contextualSpacing/>
        <w:jc w:val="both"/>
        <w:rPr>
          <w:rFonts w:ascii="Times New Roman" w:eastAsia="Times New Roman" w:hAnsi="Times New Roman" w:cs="Times New Roman"/>
          <w:b/>
          <w:bCs/>
          <w:sz w:val="24"/>
          <w:szCs w:val="24"/>
        </w:rPr>
      </w:pPr>
      <w:r w:rsidRPr="00BA136B">
        <w:rPr>
          <w:rFonts w:ascii="Times New Roman" w:eastAsia="Times New Roman" w:hAnsi="Times New Roman" w:cs="Times New Roman"/>
          <w:b/>
          <w:bCs/>
          <w:sz w:val="24"/>
          <w:szCs w:val="24"/>
        </w:rPr>
        <w:t>Bendri reikalavimai:</w:t>
      </w:r>
    </w:p>
    <w:p w14:paraId="515658D8" w14:textId="77777777" w:rsidR="00BA136B" w:rsidRPr="00BA136B" w:rsidRDefault="00BA136B" w:rsidP="00BA136B">
      <w:pPr>
        <w:numPr>
          <w:ilvl w:val="1"/>
          <w:numId w:val="1"/>
        </w:numPr>
        <w:tabs>
          <w:tab w:val="left" w:pos="1134"/>
        </w:tabs>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 xml:space="preserve">Perkančioji organizacija siekia įsigyti </w:t>
      </w:r>
      <w:r>
        <w:rPr>
          <w:rFonts w:ascii="Times New Roman" w:eastAsia="Times New Roman" w:hAnsi="Times New Roman" w:cs="Times New Roman"/>
          <w:b/>
          <w:sz w:val="24"/>
          <w:szCs w:val="24"/>
        </w:rPr>
        <w:t xml:space="preserve">LED ekranų sieną </w:t>
      </w:r>
      <w:r>
        <w:rPr>
          <w:rFonts w:ascii="Times New Roman" w:eastAsia="Times New Roman" w:hAnsi="Times New Roman" w:cs="Times New Roman"/>
          <w:sz w:val="24"/>
          <w:szCs w:val="24"/>
        </w:rPr>
        <w:t>(su montavimo paslaugomis)</w:t>
      </w:r>
      <w:r w:rsidRPr="00BA136B">
        <w:rPr>
          <w:rFonts w:ascii="Times New Roman" w:eastAsia="Times New Roman" w:hAnsi="Times New Roman" w:cs="Times New Roman"/>
          <w:sz w:val="24"/>
          <w:szCs w:val="24"/>
        </w:rPr>
        <w:t xml:space="preserve"> (toliau – Prekės).</w:t>
      </w:r>
    </w:p>
    <w:p w14:paraId="515658D9" w14:textId="77777777" w:rsidR="00BA136B" w:rsidRPr="00BA136B" w:rsidRDefault="00BA136B" w:rsidP="00BA136B">
      <w:pPr>
        <w:numPr>
          <w:ilvl w:val="1"/>
          <w:numId w:val="1"/>
        </w:numPr>
        <w:tabs>
          <w:tab w:val="left" w:pos="1134"/>
        </w:tabs>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Reikalavimai Prekėms pateikiami šioje Techninėje specifikacijoje.</w:t>
      </w:r>
    </w:p>
    <w:p w14:paraId="515658DA" w14:textId="77777777" w:rsidR="00BA136B" w:rsidRPr="00BA136B" w:rsidRDefault="00BA136B" w:rsidP="00BA136B">
      <w:pPr>
        <w:numPr>
          <w:ilvl w:val="1"/>
          <w:numId w:val="1"/>
        </w:numPr>
        <w:tabs>
          <w:tab w:val="left" w:pos="1134"/>
        </w:tabs>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15658DB" w14:textId="77777777" w:rsidR="00BA136B" w:rsidRPr="00BA136B" w:rsidRDefault="00BA136B" w:rsidP="00BA136B">
      <w:pPr>
        <w:numPr>
          <w:ilvl w:val="1"/>
          <w:numId w:val="1"/>
        </w:numPr>
        <w:tabs>
          <w:tab w:val="left" w:pos="1134"/>
        </w:tabs>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Prekės skirtos televizijos darbams, susisiekimui, signalų apdorojimui ir kt.</w:t>
      </w:r>
    </w:p>
    <w:p w14:paraId="515658DD" w14:textId="77777777" w:rsidR="00BA136B" w:rsidRPr="00BA136B" w:rsidRDefault="00BA136B" w:rsidP="00BA136B">
      <w:pPr>
        <w:numPr>
          <w:ilvl w:val="1"/>
          <w:numId w:val="1"/>
        </w:numPr>
        <w:tabs>
          <w:tab w:val="left" w:pos="993"/>
        </w:tabs>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Techninėje specifikacijoje vartojamos sąvokos:</w:t>
      </w:r>
    </w:p>
    <w:p w14:paraId="515658DE" w14:textId="77777777" w:rsidR="00BA136B" w:rsidRPr="00BA136B" w:rsidRDefault="00BA136B" w:rsidP="00BA136B">
      <w:pPr>
        <w:numPr>
          <w:ilvl w:val="2"/>
          <w:numId w:val="1"/>
        </w:numPr>
        <w:tabs>
          <w:tab w:val="left" w:pos="993"/>
        </w:tabs>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b/>
          <w:bCs/>
          <w:sz w:val="24"/>
          <w:szCs w:val="24"/>
        </w:rPr>
        <w:t>Dokumentacija</w:t>
      </w:r>
      <w:r w:rsidRPr="00BA136B">
        <w:rPr>
          <w:rFonts w:ascii="Times New Roman" w:eastAsia="Times New Roman" w:hAnsi="Times New Roman" w:cs="Times New Roman"/>
          <w:sz w:val="24"/>
          <w:szCs w:val="24"/>
        </w:rPr>
        <w:t xml:space="preserve"> – dokumentai (vartotojo vadovai, techniniai pasai, kita gamintojo teikiama informacija apie Prekės parametrus) arba gamintojų internetinių puslapių nuorodos, kuriuose pateikiama gamintojo informacija apie siūlomų Prekių atitikimą reikalaujamam parametrui / specifikacijai.</w:t>
      </w:r>
    </w:p>
    <w:p w14:paraId="515658DF" w14:textId="77777777" w:rsidR="00BA136B" w:rsidRPr="00BA136B" w:rsidRDefault="00BA136B" w:rsidP="00BA136B">
      <w:pPr>
        <w:numPr>
          <w:ilvl w:val="1"/>
          <w:numId w:val="1"/>
        </w:numPr>
        <w:spacing w:after="0" w:line="240" w:lineRule="auto"/>
        <w:contextualSpacing/>
        <w:jc w:val="both"/>
        <w:rPr>
          <w:rFonts w:ascii="Times New Roman" w:eastAsia="Times New Roman" w:hAnsi="Times New Roman" w:cs="Times New Roman"/>
          <w:b/>
          <w:bCs/>
          <w:sz w:val="24"/>
          <w:szCs w:val="24"/>
        </w:rPr>
      </w:pPr>
      <w:r w:rsidRPr="00BA136B">
        <w:rPr>
          <w:rFonts w:ascii="Times New Roman" w:eastAsia="Times New Roman" w:hAnsi="Times New Roman" w:cs="Times New Roman"/>
          <w:b/>
          <w:bCs/>
          <w:sz w:val="24"/>
          <w:szCs w:val="24"/>
        </w:rPr>
        <w:t xml:space="preserve">Bendri reikalavimai tiekėjui dėl Techninės specifikacijos pildymo: </w:t>
      </w:r>
    </w:p>
    <w:p w14:paraId="515658E0"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turi užpildyti visus Techninės specifikacijos lentelių laukelius, kurie pažymėti „/</w:t>
      </w:r>
      <w:r w:rsidRPr="00BA136B">
        <w:rPr>
          <w:rFonts w:ascii="Times New Roman" w:eastAsia="Times New Roman" w:hAnsi="Times New Roman" w:cs="Times New Roman"/>
          <w:i/>
          <w:iCs/>
          <w:sz w:val="24"/>
          <w:szCs w:val="24"/>
        </w:rPr>
        <w:t>įrašyti</w:t>
      </w:r>
      <w:r w:rsidRPr="00BA136B">
        <w:rPr>
          <w:rFonts w:ascii="Times New Roman" w:eastAsia="Times New Roman" w:hAnsi="Times New Roman" w:cs="Times New Roman"/>
          <w:sz w:val="24"/>
          <w:szCs w:val="24"/>
        </w:rPr>
        <w:t>/“ (tiekėjas ištrina „/</w:t>
      </w:r>
      <w:r w:rsidRPr="00BA136B">
        <w:rPr>
          <w:rFonts w:ascii="Times New Roman" w:eastAsia="Times New Roman" w:hAnsi="Times New Roman" w:cs="Times New Roman"/>
          <w:i/>
          <w:iCs/>
          <w:sz w:val="24"/>
          <w:szCs w:val="24"/>
        </w:rPr>
        <w:t>įrašyti</w:t>
      </w:r>
      <w:r w:rsidRPr="00BA136B">
        <w:rPr>
          <w:rFonts w:ascii="Times New Roman" w:eastAsia="Times New Roman" w:hAnsi="Times New Roman" w:cs="Times New Roman"/>
          <w:sz w:val="24"/>
          <w:szCs w:val="24"/>
        </w:rPr>
        <w:t>/“ ir nurodo reikalaujama informaciją). Tiekėjui minėtų laukelių neužpildžius arba užpildžius netinkamai, tiekėjo pasiūlymas gali būti atmestas, kaip neatitinkantis Pirkimo dokumentų reikalavimų.</w:t>
      </w:r>
    </w:p>
    <w:p w14:paraId="515658E1"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negali palikti tuščių laukelių, kurie pažymėti „/</w:t>
      </w:r>
      <w:r w:rsidRPr="00BA136B">
        <w:rPr>
          <w:rFonts w:ascii="Times New Roman" w:eastAsia="Times New Roman" w:hAnsi="Times New Roman" w:cs="Times New Roman"/>
          <w:i/>
          <w:iCs/>
          <w:sz w:val="24"/>
          <w:szCs w:val="24"/>
        </w:rPr>
        <w:t>įrašyti</w:t>
      </w:r>
      <w:r w:rsidRPr="00BA136B">
        <w:rPr>
          <w:rFonts w:ascii="Times New Roman" w:eastAsia="Times New Roman" w:hAnsi="Times New Roman" w:cs="Times New Roman"/>
          <w:sz w:val="24"/>
          <w:szCs w:val="24"/>
        </w:rPr>
        <w:t>/“.</w:t>
      </w:r>
    </w:p>
    <w:p w14:paraId="515658E2"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14:paraId="515658E3"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515658E4" w14:textId="77777777" w:rsidR="00BA136B" w:rsidRPr="00BA136B" w:rsidRDefault="00BA136B" w:rsidP="00BA136B">
      <w:pPr>
        <w:numPr>
          <w:ilvl w:val="1"/>
          <w:numId w:val="1"/>
        </w:numPr>
        <w:tabs>
          <w:tab w:val="left" w:pos="1134"/>
        </w:tabs>
        <w:spacing w:after="0" w:line="240" w:lineRule="auto"/>
        <w:contextualSpacing/>
        <w:jc w:val="both"/>
        <w:rPr>
          <w:rFonts w:ascii="Times New Roman" w:eastAsia="Times New Roman" w:hAnsi="Times New Roman" w:cs="Times New Roman"/>
          <w:b/>
          <w:bCs/>
          <w:sz w:val="24"/>
          <w:szCs w:val="24"/>
        </w:rPr>
      </w:pPr>
      <w:r w:rsidRPr="00BA136B">
        <w:rPr>
          <w:rFonts w:ascii="Times New Roman" w:eastAsia="Times New Roman" w:hAnsi="Times New Roman" w:cs="Times New Roman"/>
          <w:b/>
          <w:bCs/>
          <w:sz w:val="24"/>
          <w:szCs w:val="24"/>
        </w:rPr>
        <w:t>Reikalavimai tiekėjui dėl lentelių stulpelių „Siūlomi parametrai“ pildymo:</w:t>
      </w:r>
    </w:p>
    <w:p w14:paraId="515658E5"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BA136B">
        <w:rPr>
          <w:rFonts w:ascii="Times New Roman" w:eastAsia="Times New Roman" w:hAnsi="Times New Roman" w:cs="Times New Roman"/>
          <w:i/>
          <w:iCs/>
          <w:sz w:val="24"/>
          <w:szCs w:val="24"/>
        </w:rPr>
        <w:t>/įrašyti neprivaloma/</w:t>
      </w:r>
      <w:r w:rsidRPr="00BA136B">
        <w:rPr>
          <w:rFonts w:ascii="Times New Roman" w:eastAsia="Times New Roman" w:hAnsi="Times New Roman" w:cs="Times New Roman"/>
          <w:sz w:val="24"/>
          <w:szCs w:val="24"/>
        </w:rPr>
        <w:t>“ arba eilutė perbraukta.</w:t>
      </w:r>
    </w:p>
    <w:p w14:paraId="515658E6"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bookmarkStart w:id="0" w:name="_Ref62483907"/>
      <w:r w:rsidRPr="00BA136B">
        <w:rPr>
          <w:rFonts w:ascii="Times New Roman" w:eastAsia="Times New Roman" w:hAnsi="Times New Roman" w:cs="Times New Roman"/>
          <w:sz w:val="24"/>
          <w:szCs w:val="24"/>
        </w:rPr>
        <w:t xml:space="preserve">Tiekėjas, nurodydamas siūlomos Prekės atitikimą, turi nurodyti konkrečias siūlomos įrangos specifikacijas / parametrus, pvz.: </w:t>
      </w:r>
      <w:r w:rsidRPr="00BA136B">
        <w:rPr>
          <w:rFonts w:ascii="Times New Roman" w:eastAsia="Times New Roman" w:hAnsi="Times New Roman" w:cs="Times New Roman"/>
          <w:i/>
          <w:iCs/>
          <w:sz w:val="24"/>
          <w:szCs w:val="24"/>
        </w:rPr>
        <w:t>„ilgis 1,5 m“</w:t>
      </w:r>
      <w:r w:rsidRPr="00BA136B">
        <w:rPr>
          <w:rFonts w:ascii="Times New Roman" w:eastAsia="Times New Roman" w:hAnsi="Times New Roman" w:cs="Times New Roman"/>
          <w:sz w:val="24"/>
          <w:szCs w:val="24"/>
        </w:rPr>
        <w:t xml:space="preserve">, o ne </w:t>
      </w:r>
      <w:r w:rsidRPr="00BA136B">
        <w:rPr>
          <w:rFonts w:ascii="Times New Roman" w:eastAsia="Times New Roman" w:hAnsi="Times New Roman" w:cs="Times New Roman"/>
          <w:i/>
          <w:iCs/>
          <w:sz w:val="24"/>
          <w:szCs w:val="24"/>
        </w:rPr>
        <w:t>„ilgis ne mažiau kaip 1,25 m“</w:t>
      </w:r>
      <w:bookmarkEnd w:id="0"/>
      <w:r w:rsidRPr="00BA136B">
        <w:rPr>
          <w:rFonts w:ascii="Times New Roman" w:eastAsia="Times New Roman" w:hAnsi="Times New Roman" w:cs="Times New Roman"/>
          <w:sz w:val="24"/>
          <w:szCs w:val="24"/>
        </w:rPr>
        <w:t>.</w:t>
      </w:r>
    </w:p>
    <w:p w14:paraId="515658E7"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 xml:space="preserve">Tiekėjui vietoje konkrečių specifikacijų / parametrų nurodžius </w:t>
      </w:r>
      <w:r w:rsidRPr="00BA136B">
        <w:rPr>
          <w:rFonts w:ascii="Times New Roman" w:eastAsia="Times New Roman" w:hAnsi="Times New Roman" w:cs="Times New Roman"/>
          <w:i/>
          <w:iCs/>
          <w:sz w:val="24"/>
          <w:szCs w:val="24"/>
        </w:rPr>
        <w:t>„atitinka“</w:t>
      </w:r>
      <w:r w:rsidRPr="00BA136B">
        <w:rPr>
          <w:rFonts w:ascii="Times New Roman" w:eastAsia="Times New Roman" w:hAnsi="Times New Roman" w:cs="Times New Roman"/>
          <w:sz w:val="24"/>
          <w:szCs w:val="24"/>
        </w:rPr>
        <w:t xml:space="preserve">, </w:t>
      </w:r>
      <w:r w:rsidRPr="00BA136B">
        <w:rPr>
          <w:rFonts w:ascii="Times New Roman" w:eastAsia="Times New Roman" w:hAnsi="Times New Roman" w:cs="Times New Roman"/>
          <w:i/>
          <w:iCs/>
          <w:sz w:val="24"/>
          <w:szCs w:val="24"/>
        </w:rPr>
        <w:t>„taip“</w:t>
      </w:r>
      <w:r w:rsidRPr="00BA136B">
        <w:rPr>
          <w:rFonts w:ascii="Times New Roman" w:eastAsia="Times New Roman" w:hAnsi="Times New Roman" w:cs="Times New Roman"/>
          <w:sz w:val="24"/>
          <w:szCs w:val="24"/>
        </w:rPr>
        <w:t xml:space="preserve"> ar panašiai, toks tiekėjo pasiūlymas gali būti atmestas, kaip neatitinkantis Pirkimo dokumentų reikalavimų, jeigu reikalavimo formuluotė reikalavo nurodyti konkrečias specifikacijas, kaip nurodyta 8.2 punkte.</w:t>
      </w:r>
    </w:p>
    <w:p w14:paraId="515658E8"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vadovaujantis Pirkimo sąlygų 11.3 punktu, Techninėje specifikacijoje stulpelyje „Siūlomi parametrai“ nurodytą informaciją galės paaiškinti tik tuo atveju, jeigu:</w:t>
      </w:r>
    </w:p>
    <w:p w14:paraId="515658E9" w14:textId="77777777" w:rsidR="00BA136B" w:rsidRPr="00BA136B" w:rsidRDefault="00BA136B" w:rsidP="00BA136B">
      <w:pPr>
        <w:numPr>
          <w:ilvl w:val="3"/>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kartu su pasiūlymu pateikė Dokumentaciją ir pateiktoje Dokumentacijoje yra nurodyta informacija, patvirtinanti, kad tiekėjo siūloma prekė atitinka Techninėje specifikacijoje nurodytus reikalavimus;</w:t>
      </w:r>
    </w:p>
    <w:p w14:paraId="515658EA" w14:textId="77777777" w:rsidR="00BA136B" w:rsidRPr="00BA136B" w:rsidRDefault="00BA136B" w:rsidP="00BA136B">
      <w:pPr>
        <w:numPr>
          <w:ilvl w:val="3"/>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pateiks paaiškinimą iš viešai prieinamos siūlomos Prekės gamintojo informacijos, kad tiekėjo siūloma prekė atitinka Techninėje specifikacijoje nurodytus reikalavimus.</w:t>
      </w:r>
    </w:p>
    <w:p w14:paraId="515658EB" w14:textId="77777777" w:rsidR="00BA136B" w:rsidRPr="00BA136B" w:rsidRDefault="00BA136B" w:rsidP="00BA136B">
      <w:pPr>
        <w:numPr>
          <w:ilvl w:val="1"/>
          <w:numId w:val="1"/>
        </w:numPr>
        <w:tabs>
          <w:tab w:val="left" w:pos="1134"/>
        </w:tabs>
        <w:spacing w:after="0" w:line="240" w:lineRule="auto"/>
        <w:contextualSpacing/>
        <w:jc w:val="both"/>
        <w:rPr>
          <w:rFonts w:ascii="Times New Roman" w:eastAsia="Times New Roman" w:hAnsi="Times New Roman" w:cs="Times New Roman"/>
          <w:b/>
          <w:bCs/>
          <w:sz w:val="24"/>
          <w:szCs w:val="24"/>
        </w:rPr>
      </w:pPr>
      <w:r w:rsidRPr="00BA136B">
        <w:rPr>
          <w:rFonts w:ascii="Times New Roman" w:eastAsia="Times New Roman" w:hAnsi="Times New Roman" w:cs="Times New Roman"/>
          <w:b/>
          <w:bCs/>
          <w:sz w:val="24"/>
          <w:szCs w:val="24"/>
        </w:rPr>
        <w:t>Reikalavimai tiekėjui dėl lentelių stulpelių „Siūlomus parametrus patvirtinantys dokumentai“ pildymo:</w:t>
      </w:r>
    </w:p>
    <w:p w14:paraId="515658EC"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 xml:space="preserve">Tiekėjas gali, tačiau neprivalo, pateikti Dokumentaciją, kuri patvirtina tiekėjo siūlomos Prekės atitikimą Techninės specifikacijos reikalavimams, vietoje </w:t>
      </w:r>
      <w:bookmarkStart w:id="1" w:name="_Hlk43218316"/>
      <w:r w:rsidRPr="00BA136B">
        <w:rPr>
          <w:rFonts w:ascii="Times New Roman" w:eastAsia="Times New Roman" w:hAnsi="Times New Roman" w:cs="Times New Roman"/>
          <w:sz w:val="24"/>
          <w:szCs w:val="24"/>
        </w:rPr>
        <w:t>„</w:t>
      </w:r>
      <w:r w:rsidRPr="00BA136B">
        <w:rPr>
          <w:rFonts w:ascii="Times New Roman" w:eastAsia="Times New Roman" w:hAnsi="Times New Roman" w:cs="Times New Roman"/>
          <w:i/>
          <w:iCs/>
          <w:sz w:val="24"/>
          <w:szCs w:val="24"/>
        </w:rPr>
        <w:t>/įrašyti neprivaloma/</w:t>
      </w:r>
      <w:r w:rsidRPr="00BA136B">
        <w:rPr>
          <w:rFonts w:ascii="Times New Roman" w:eastAsia="Times New Roman" w:hAnsi="Times New Roman" w:cs="Times New Roman"/>
          <w:sz w:val="24"/>
          <w:szCs w:val="24"/>
        </w:rPr>
        <w:t>“</w:t>
      </w:r>
      <w:bookmarkEnd w:id="1"/>
      <w:r w:rsidRPr="00BA136B">
        <w:rPr>
          <w:rFonts w:ascii="Times New Roman" w:eastAsia="Times New Roman" w:hAnsi="Times New Roman" w:cs="Times New Roman"/>
          <w:sz w:val="24"/>
          <w:szCs w:val="24"/>
        </w:rPr>
        <w:t xml:space="preserve"> nurodydamas prie pasiūlymo pridedamo dokumento pavadinimą / bylos pavadinimą arba nuorodą į konkretų internetinį puslapį.</w:t>
      </w:r>
    </w:p>
    <w:p w14:paraId="515658ED"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Tiekėjas pasirinkęs neteikti Dokumentacijos, vietoje „</w:t>
      </w:r>
      <w:r w:rsidRPr="00BA136B">
        <w:rPr>
          <w:rFonts w:ascii="Times New Roman" w:eastAsia="Times New Roman" w:hAnsi="Times New Roman" w:cs="Times New Roman"/>
          <w:i/>
          <w:iCs/>
          <w:sz w:val="24"/>
          <w:szCs w:val="24"/>
        </w:rPr>
        <w:t>/įrašyti neprivaloma/</w:t>
      </w:r>
      <w:r w:rsidRPr="00BA136B">
        <w:rPr>
          <w:rFonts w:ascii="Times New Roman" w:eastAsia="Times New Roman" w:hAnsi="Times New Roman" w:cs="Times New Roman"/>
          <w:sz w:val="24"/>
          <w:szCs w:val="24"/>
        </w:rPr>
        <w:t>“ pažymi „X“ arba pan.</w:t>
      </w:r>
    </w:p>
    <w:p w14:paraId="515658EE"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Dokumentacija turi būti parengta įrangos gamintojo, o ne trečiųjų šalių. Jeigu įranga sudaryta iš kitų gamintojų įrangos ar dalių gali būti teikiama tiek galutinio gaminio, tiek komplektuojančios dalies gamintojo Dokumentacija.</w:t>
      </w:r>
    </w:p>
    <w:p w14:paraId="515658EF"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Jeigu Dokumentacija patvirtina atitikimą keliems reikalavimams, tiekėjas nurodo, kurių punktų reikalavimus ji patvirtina.</w:t>
      </w:r>
    </w:p>
    <w:p w14:paraId="515658F0" w14:textId="77777777" w:rsidR="00BA136B" w:rsidRPr="00BA136B" w:rsidRDefault="00BA136B" w:rsidP="00BA136B">
      <w:pPr>
        <w:numPr>
          <w:ilvl w:val="2"/>
          <w:numId w:val="1"/>
        </w:numPr>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Dokumentacija gali būti teikiama dėl tų lentelių stulpeliuose „Reikalavimai“ nurodytų reikalavimų, jeigu nėra nurodyta kitaip (pvz., stulpelio laukelis „Siūlomus parametrus patvirtinantys dokumentai“ perbrauktas).</w:t>
      </w:r>
    </w:p>
    <w:p w14:paraId="515658F1" w14:textId="77777777" w:rsidR="00BA136B" w:rsidRPr="00BA136B" w:rsidRDefault="00BA136B" w:rsidP="00BA136B">
      <w:pPr>
        <w:numPr>
          <w:ilvl w:val="2"/>
          <w:numId w:val="1"/>
        </w:numPr>
        <w:tabs>
          <w:tab w:val="left" w:pos="993"/>
        </w:tabs>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Perkančioji organizacija prašo tiekėjų, kad, nurodant Dokumentacijos pavadinimą, kartu būtų pateikiama nuoroda į konkretų puslapį, paragrafą ir pan., kai tai yra įmanoma, sklandesniam tiekėjų pasiūlymų vertinimui.</w:t>
      </w:r>
    </w:p>
    <w:p w14:paraId="515658F2" w14:textId="77777777" w:rsidR="00BA136B" w:rsidRPr="00BA136B" w:rsidRDefault="00BA136B" w:rsidP="00BA136B">
      <w:pPr>
        <w:numPr>
          <w:ilvl w:val="2"/>
          <w:numId w:val="1"/>
        </w:numPr>
        <w:tabs>
          <w:tab w:val="left" w:pos="993"/>
        </w:tabs>
        <w:spacing w:after="0" w:line="240" w:lineRule="auto"/>
        <w:contextualSpacing/>
        <w:jc w:val="both"/>
        <w:rPr>
          <w:rFonts w:ascii="Times New Roman" w:eastAsia="Times New Roman" w:hAnsi="Times New Roman" w:cs="Times New Roman"/>
          <w:sz w:val="24"/>
          <w:szCs w:val="24"/>
        </w:rPr>
      </w:pPr>
      <w:r w:rsidRPr="00BA136B">
        <w:rPr>
          <w:rFonts w:ascii="Times New Roman" w:eastAsia="Times New Roman" w:hAnsi="Times New Roman" w:cs="Times New Roman"/>
          <w:sz w:val="24"/>
          <w:szCs w:val="24"/>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sąlygų reikalavimų.</w:t>
      </w:r>
    </w:p>
    <w:p w14:paraId="515658F3" w14:textId="77777777" w:rsidR="00BA136B" w:rsidRPr="008145AD" w:rsidRDefault="00BA136B" w:rsidP="008145AD">
      <w:pPr>
        <w:pStyle w:val="ListParagraph"/>
        <w:numPr>
          <w:ilvl w:val="1"/>
          <w:numId w:val="1"/>
        </w:numPr>
        <w:tabs>
          <w:tab w:val="left" w:pos="993"/>
        </w:tabs>
        <w:spacing w:after="0" w:line="240" w:lineRule="auto"/>
        <w:jc w:val="both"/>
        <w:rPr>
          <w:rFonts w:ascii="Times New Roman" w:eastAsia="Times New Roman" w:hAnsi="Times New Roman" w:cs="Times New Roman"/>
          <w:sz w:val="24"/>
          <w:szCs w:val="24"/>
        </w:rPr>
      </w:pPr>
      <w:r w:rsidRPr="008145AD">
        <w:rPr>
          <w:rFonts w:ascii="Times New Roman" w:eastAsia="Times New Roman" w:hAnsi="Times New Roman" w:cs="Times New Roman"/>
          <w:sz w:val="24"/>
          <w:szCs w:val="24"/>
        </w:rPr>
        <w:t>Jei Prekių gamintojas nuo pasiūlymo pateikimo momento iki Prekių pristatymo termino nustoja gaminti siūlomą Prekę (ar Prekės sudedamąsias dalis), tiekėjas</w:t>
      </w:r>
      <w:bookmarkStart w:id="2" w:name="_Hlk42000936"/>
      <w:r w:rsidRPr="008145AD">
        <w:rPr>
          <w:rFonts w:ascii="Times New Roman" w:eastAsia="Times New Roman" w:hAnsi="Times New Roman" w:cs="Times New Roman"/>
          <w:sz w:val="24"/>
          <w:szCs w:val="24"/>
        </w:rPr>
        <w:t>, gavęs rašytinį Perkančiosios organizacijos sutikimą,</w:t>
      </w:r>
      <w:bookmarkEnd w:id="2"/>
      <w:r w:rsidRPr="008145AD">
        <w:rPr>
          <w:rFonts w:ascii="Times New Roman" w:eastAsia="Times New Roman" w:hAnsi="Times New Roman" w:cs="Times New Roman"/>
          <w:sz w:val="24"/>
          <w:szCs w:val="24"/>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15658F4" w14:textId="77777777" w:rsidR="00BA136B" w:rsidRPr="008145AD" w:rsidRDefault="00BA136B" w:rsidP="008145AD">
      <w:pPr>
        <w:pStyle w:val="ListParagraph"/>
        <w:numPr>
          <w:ilvl w:val="1"/>
          <w:numId w:val="1"/>
        </w:numPr>
        <w:spacing w:after="0" w:line="240" w:lineRule="auto"/>
        <w:jc w:val="both"/>
        <w:rPr>
          <w:rFonts w:ascii="Times New Roman" w:eastAsia="Times New Roman" w:hAnsi="Times New Roman" w:cs="Times New Roman"/>
          <w:sz w:val="24"/>
          <w:szCs w:val="24"/>
        </w:rPr>
      </w:pPr>
      <w:r w:rsidRPr="008145AD">
        <w:rPr>
          <w:rFonts w:ascii="Times New Roman" w:eastAsia="Times New Roman" w:hAnsi="Times New Roman" w:cs="Times New Roman"/>
          <w:sz w:val="24"/>
          <w:szCs w:val="24"/>
        </w:rPr>
        <w:t>Prekės turi būti komplektuojamos su visais tinkamam Prekių veikimui reikalingais priedais – montavimo medžiagomis, priedais, kabeliais ir pan., jeigu tokie priedai reikalingi tinkamam Prekių veikimui.</w:t>
      </w:r>
    </w:p>
    <w:p w14:paraId="515658F5" w14:textId="765C6812" w:rsidR="00BA136B" w:rsidRPr="008145AD" w:rsidRDefault="00BA136B" w:rsidP="008145AD">
      <w:pPr>
        <w:pStyle w:val="ListParagraph"/>
        <w:numPr>
          <w:ilvl w:val="1"/>
          <w:numId w:val="1"/>
        </w:numPr>
        <w:spacing w:after="0" w:line="240" w:lineRule="auto"/>
        <w:jc w:val="both"/>
        <w:rPr>
          <w:rFonts w:ascii="Times New Roman" w:eastAsia="Times New Roman" w:hAnsi="Times New Roman" w:cs="Times New Roman"/>
          <w:b/>
          <w:bCs/>
          <w:sz w:val="24"/>
          <w:szCs w:val="24"/>
        </w:rPr>
      </w:pPr>
      <w:r w:rsidRPr="008145AD">
        <w:rPr>
          <w:rFonts w:ascii="Times New Roman" w:eastAsia="Times New Roman" w:hAnsi="Times New Roman" w:cs="Times New Roman"/>
          <w:sz w:val="24"/>
          <w:szCs w:val="24"/>
        </w:rPr>
        <w:t>Prekės, atitinkančios Techninės specifikacijos reikalavimus, turi būti pristatytos</w:t>
      </w:r>
      <w:r w:rsidR="008825EE" w:rsidRPr="008145AD">
        <w:rPr>
          <w:rFonts w:ascii="Times New Roman" w:eastAsia="Times New Roman" w:hAnsi="Times New Roman" w:cs="Times New Roman"/>
          <w:sz w:val="24"/>
          <w:szCs w:val="24"/>
        </w:rPr>
        <w:t xml:space="preserve"> ir sumontuotos, paleistos bei sukonfigūruotos</w:t>
      </w:r>
      <w:r w:rsidRPr="008145AD">
        <w:rPr>
          <w:rFonts w:ascii="Times New Roman" w:eastAsia="Times New Roman" w:hAnsi="Times New Roman" w:cs="Times New Roman"/>
          <w:sz w:val="24"/>
          <w:szCs w:val="24"/>
        </w:rPr>
        <w:t xml:space="preserve"> adresu S. Konarskio g. 49, 03123 Vilnius</w:t>
      </w:r>
      <w:r w:rsidR="008825EE" w:rsidRPr="008145AD">
        <w:rPr>
          <w:rFonts w:ascii="Times New Roman" w:eastAsia="Times New Roman" w:hAnsi="Times New Roman" w:cs="Times New Roman"/>
          <w:sz w:val="24"/>
          <w:szCs w:val="24"/>
        </w:rPr>
        <w:t xml:space="preserve"> Perknčiosios organizacijos nurodytose patalpose</w:t>
      </w:r>
      <w:r w:rsidRPr="008145AD">
        <w:rPr>
          <w:rFonts w:ascii="Times New Roman" w:eastAsia="Times New Roman" w:hAnsi="Times New Roman" w:cs="Times New Roman"/>
          <w:sz w:val="24"/>
          <w:szCs w:val="24"/>
        </w:rPr>
        <w:t>.</w:t>
      </w:r>
    </w:p>
    <w:p w14:paraId="515658F6" w14:textId="122C3CDD" w:rsidR="00BA136B" w:rsidRPr="008145AD" w:rsidRDefault="00BA136B" w:rsidP="008145AD">
      <w:pPr>
        <w:pStyle w:val="ListParagraph"/>
        <w:numPr>
          <w:ilvl w:val="1"/>
          <w:numId w:val="1"/>
        </w:numPr>
        <w:spacing w:after="0" w:line="240" w:lineRule="auto"/>
        <w:jc w:val="both"/>
        <w:rPr>
          <w:rFonts w:ascii="Times New Roman" w:eastAsia="Times New Roman" w:hAnsi="Times New Roman" w:cs="Times New Roman"/>
          <w:b/>
          <w:bCs/>
          <w:sz w:val="24"/>
          <w:szCs w:val="24"/>
        </w:rPr>
      </w:pPr>
      <w:r w:rsidRPr="008145AD">
        <w:rPr>
          <w:rFonts w:ascii="Times New Roman" w:eastAsia="Times New Roman" w:hAnsi="Times New Roman" w:cs="Times New Roman"/>
          <w:sz w:val="24"/>
          <w:szCs w:val="24"/>
        </w:rPr>
        <w:t xml:space="preserve">Prekių pristatymo ir sumontavimo, paleidimo </w:t>
      </w:r>
      <w:r w:rsidR="008825EE" w:rsidRPr="008145AD">
        <w:rPr>
          <w:rFonts w:ascii="Times New Roman" w:eastAsia="Times New Roman" w:hAnsi="Times New Roman" w:cs="Times New Roman"/>
          <w:sz w:val="24"/>
          <w:szCs w:val="24"/>
        </w:rPr>
        <w:t>bei</w:t>
      </w:r>
      <w:r w:rsidRPr="008145AD">
        <w:rPr>
          <w:rFonts w:ascii="Times New Roman" w:eastAsia="Times New Roman" w:hAnsi="Times New Roman" w:cs="Times New Roman"/>
          <w:sz w:val="24"/>
          <w:szCs w:val="24"/>
        </w:rPr>
        <w:t xml:space="preserve"> konfigūravimo terminas – </w:t>
      </w:r>
      <w:r w:rsidR="00DD1A39" w:rsidRPr="008145AD">
        <w:rPr>
          <w:rFonts w:ascii="Times New Roman" w:eastAsia="Times New Roman" w:hAnsi="Times New Roman" w:cs="Times New Roman"/>
          <w:sz w:val="24"/>
          <w:szCs w:val="24"/>
        </w:rPr>
        <w:t xml:space="preserve">3 </w:t>
      </w:r>
      <w:r w:rsidRPr="008145AD">
        <w:rPr>
          <w:rFonts w:ascii="Times New Roman" w:eastAsia="Times New Roman" w:hAnsi="Times New Roman" w:cs="Times New Roman"/>
          <w:sz w:val="24"/>
          <w:szCs w:val="24"/>
        </w:rPr>
        <w:t>(</w:t>
      </w:r>
      <w:r w:rsidR="00DD1A39" w:rsidRPr="008145AD">
        <w:rPr>
          <w:rFonts w:ascii="Times New Roman" w:eastAsia="Times New Roman" w:hAnsi="Times New Roman" w:cs="Times New Roman"/>
          <w:sz w:val="24"/>
          <w:szCs w:val="24"/>
        </w:rPr>
        <w:t>trys</w:t>
      </w:r>
      <w:r w:rsidRPr="008145AD">
        <w:rPr>
          <w:rFonts w:ascii="Times New Roman" w:eastAsia="Times New Roman" w:hAnsi="Times New Roman" w:cs="Times New Roman"/>
          <w:sz w:val="24"/>
          <w:szCs w:val="24"/>
        </w:rPr>
        <w:t>) mėnesiai nuo sutarties įsigaliojimo.</w:t>
      </w:r>
    </w:p>
    <w:p w14:paraId="515658F7" w14:textId="77777777" w:rsidR="00BA136B" w:rsidRPr="00BA136B" w:rsidRDefault="00BA136B" w:rsidP="00BA136B">
      <w:pPr>
        <w:spacing w:after="0" w:line="240" w:lineRule="auto"/>
        <w:ind w:left="720"/>
        <w:contextualSpacing/>
        <w:jc w:val="both"/>
        <w:rPr>
          <w:rFonts w:ascii="Times New Roman" w:eastAsia="Times New Roman" w:hAnsi="Times New Roman" w:cs="Times New Roman"/>
          <w:sz w:val="24"/>
          <w:szCs w:val="24"/>
        </w:rPr>
      </w:pPr>
    </w:p>
    <w:p w14:paraId="515658F8" w14:textId="77777777" w:rsidR="00BA136B" w:rsidRPr="008145AD" w:rsidRDefault="00BA136B" w:rsidP="008145AD">
      <w:pPr>
        <w:pStyle w:val="ListParagraph"/>
        <w:numPr>
          <w:ilvl w:val="0"/>
          <w:numId w:val="1"/>
        </w:numPr>
        <w:spacing w:after="0" w:line="240" w:lineRule="auto"/>
        <w:jc w:val="both"/>
        <w:rPr>
          <w:rFonts w:ascii="Times New Roman" w:eastAsia="Times New Roman" w:hAnsi="Times New Roman" w:cs="Times New Roman"/>
          <w:b/>
          <w:bCs/>
          <w:sz w:val="24"/>
          <w:szCs w:val="24"/>
        </w:rPr>
      </w:pPr>
      <w:r w:rsidRPr="008145AD">
        <w:rPr>
          <w:rFonts w:ascii="Times New Roman" w:eastAsia="Times New Roman" w:hAnsi="Times New Roman" w:cs="Times New Roman"/>
          <w:b/>
          <w:bCs/>
          <w:sz w:val="24"/>
          <w:szCs w:val="24"/>
        </w:rPr>
        <w:t>Konkretūs reikalavimai prekėms:</w:t>
      </w:r>
    </w:p>
    <w:p w14:paraId="515658FA" w14:textId="516DD2DF" w:rsidR="00BA136B" w:rsidRPr="00BA136B" w:rsidRDefault="00754E68" w:rsidP="00BA136B">
      <w:pPr>
        <w:spacing w:after="120" w:line="240" w:lineRule="auto"/>
        <w:ind w:firstLine="720"/>
        <w:jc w:val="right"/>
        <w:rPr>
          <w:rFonts w:ascii="Times New Roman" w:eastAsia="Calibri" w:hAnsi="Times New Roman" w:cs="Times New Roman"/>
          <w:i/>
          <w:iCs/>
          <w:sz w:val="24"/>
          <w:szCs w:val="24"/>
          <w:lang w:eastAsia="en-GB"/>
        </w:rPr>
      </w:pPr>
      <w:r>
        <w:rPr>
          <w:rFonts w:ascii="Times New Roman" w:eastAsia="Calibri" w:hAnsi="Times New Roman" w:cs="Times New Roman"/>
          <w:b/>
          <w:bCs/>
          <w:i/>
          <w:iCs/>
          <w:sz w:val="24"/>
          <w:szCs w:val="24"/>
          <w:lang w:eastAsia="en-GB"/>
        </w:rPr>
        <w:t>1</w:t>
      </w:r>
      <w:r w:rsidR="00BA136B" w:rsidRPr="00BA136B">
        <w:rPr>
          <w:rFonts w:ascii="Times New Roman" w:eastAsia="Calibri" w:hAnsi="Times New Roman" w:cs="Times New Roman"/>
          <w:b/>
          <w:bCs/>
          <w:i/>
          <w:iCs/>
          <w:sz w:val="24"/>
          <w:szCs w:val="24"/>
          <w:lang w:eastAsia="en-GB"/>
        </w:rPr>
        <w:t xml:space="preserve"> lentelė. Reikalavimai </w:t>
      </w:r>
      <w:bookmarkStart w:id="3" w:name="_Hlk71294093"/>
      <w:r w:rsidR="00BA136B" w:rsidRPr="00BA136B">
        <w:rPr>
          <w:rFonts w:ascii="Times New Roman" w:eastAsia="Calibri" w:hAnsi="Times New Roman" w:cs="Times New Roman"/>
          <w:b/>
          <w:bCs/>
          <w:i/>
          <w:iCs/>
          <w:sz w:val="24"/>
          <w:szCs w:val="24"/>
          <w:lang w:eastAsia="en-GB"/>
        </w:rPr>
        <w:t>LED ekranų sienai</w:t>
      </w:r>
      <w:bookmarkEnd w:id="3"/>
    </w:p>
    <w:tbl>
      <w:tblPr>
        <w:tblStyle w:val="TableGrid11"/>
        <w:tblpPr w:leftFromText="180" w:rightFromText="180" w:vertAnchor="text" w:tblpXSpec="center" w:tblpY="1"/>
        <w:tblOverlap w:val="never"/>
        <w:tblW w:w="10343" w:type="dxa"/>
        <w:jc w:val="center"/>
        <w:tblLayout w:type="fixed"/>
        <w:tblLook w:val="04A0" w:firstRow="1" w:lastRow="0" w:firstColumn="1" w:lastColumn="0" w:noHBand="0" w:noVBand="1"/>
      </w:tblPr>
      <w:tblGrid>
        <w:gridCol w:w="704"/>
        <w:gridCol w:w="673"/>
        <w:gridCol w:w="815"/>
        <w:gridCol w:w="1043"/>
        <w:gridCol w:w="2520"/>
        <w:gridCol w:w="4588"/>
      </w:tblGrid>
      <w:tr w:rsidR="00BA136B" w:rsidRPr="00BA136B" w14:paraId="515658FD" w14:textId="77777777" w:rsidTr="00E96A10">
        <w:trPr>
          <w:jc w:val="center"/>
        </w:trPr>
        <w:tc>
          <w:tcPr>
            <w:tcW w:w="1377" w:type="dxa"/>
            <w:gridSpan w:val="2"/>
            <w:vAlign w:val="center"/>
          </w:tcPr>
          <w:p w14:paraId="515658FB" w14:textId="77777777" w:rsidR="00BA136B" w:rsidRPr="00BA136B" w:rsidRDefault="00BA136B" w:rsidP="00BA136B">
            <w:pPr>
              <w:numPr>
                <w:ilvl w:val="0"/>
                <w:numId w:val="3"/>
              </w:numPr>
              <w:jc w:val="center"/>
              <w:rPr>
                <w:rFonts w:ascii="Times New Roman" w:eastAsia="Calibri" w:hAnsi="Times New Roman" w:cs="Times New Roman"/>
                <w:b/>
                <w:bCs/>
                <w:color w:val="000000"/>
                <w:sz w:val="24"/>
                <w:szCs w:val="24"/>
                <w:lang w:eastAsia="en-GB"/>
              </w:rPr>
            </w:pPr>
          </w:p>
        </w:tc>
        <w:tc>
          <w:tcPr>
            <w:tcW w:w="8966" w:type="dxa"/>
            <w:gridSpan w:val="4"/>
          </w:tcPr>
          <w:p w14:paraId="515658FC" w14:textId="77777777" w:rsidR="00BA136B" w:rsidRPr="00BA136B" w:rsidRDefault="00BA136B" w:rsidP="00BA136B">
            <w:pPr>
              <w:rPr>
                <w:rFonts w:ascii="Times New Roman" w:eastAsia="Calibri" w:hAnsi="Times New Roman" w:cs="Times New Roman"/>
                <w:b/>
                <w:bCs/>
                <w:color w:val="000000"/>
                <w:sz w:val="24"/>
                <w:szCs w:val="24"/>
                <w:lang w:eastAsia="en-GB"/>
              </w:rPr>
            </w:pPr>
            <w:r w:rsidRPr="00BA136B">
              <w:rPr>
                <w:rFonts w:ascii="Times New Roman" w:eastAsia="Calibri" w:hAnsi="Times New Roman" w:cs="Times New Roman"/>
                <w:b/>
                <w:bCs/>
                <w:color w:val="000000"/>
                <w:lang w:eastAsia="en-GB"/>
              </w:rPr>
              <w:t>LED ekranas</w:t>
            </w:r>
          </w:p>
        </w:tc>
      </w:tr>
      <w:tr w:rsidR="00BA136B" w:rsidRPr="00BA136B" w14:paraId="51565900" w14:textId="77777777" w:rsidTr="00E96A10">
        <w:trPr>
          <w:jc w:val="center"/>
        </w:trPr>
        <w:tc>
          <w:tcPr>
            <w:tcW w:w="2192" w:type="dxa"/>
            <w:gridSpan w:val="3"/>
            <w:vAlign w:val="center"/>
          </w:tcPr>
          <w:p w14:paraId="515658FE" w14:textId="77777777" w:rsidR="00BA136B" w:rsidRPr="00BA136B" w:rsidRDefault="00BA136B" w:rsidP="00BA136B">
            <w:pPr>
              <w:rPr>
                <w:rFonts w:ascii="Times New Roman" w:eastAsia="Calibri" w:hAnsi="Times New Roman" w:cs="Times New Roman"/>
                <w:bCs/>
                <w:noProof/>
                <w:sz w:val="24"/>
                <w:szCs w:val="24"/>
                <w:lang w:eastAsia="en-GB"/>
              </w:rPr>
            </w:pPr>
            <w:r w:rsidRPr="00BA136B">
              <w:rPr>
                <w:rFonts w:ascii="Times New Roman" w:eastAsia="Calibri" w:hAnsi="Times New Roman" w:cs="Times New Roman"/>
                <w:bCs/>
                <w:noProof/>
                <w:sz w:val="24"/>
                <w:szCs w:val="24"/>
                <w:lang w:eastAsia="en-GB"/>
              </w:rPr>
              <w:t>Gamintojas</w:t>
            </w:r>
          </w:p>
        </w:tc>
        <w:tc>
          <w:tcPr>
            <w:tcW w:w="8151" w:type="dxa"/>
            <w:gridSpan w:val="3"/>
            <w:vAlign w:val="center"/>
          </w:tcPr>
          <w:p w14:paraId="515658FF" w14:textId="0E3ACCA3" w:rsidR="00BA136B" w:rsidRPr="00BA136B" w:rsidRDefault="00D906BE" w:rsidP="00BA136B">
            <w:pPr>
              <w:rPr>
                <w:rFonts w:ascii="Times New Roman" w:eastAsia="Calibri" w:hAnsi="Times New Roman" w:cs="Times New Roman"/>
                <w:bCs/>
                <w:noProof/>
                <w:sz w:val="24"/>
                <w:szCs w:val="24"/>
                <w:lang w:eastAsia="en-GB"/>
              </w:rPr>
            </w:pPr>
            <w:r w:rsidRPr="005543BF">
              <w:rPr>
                <w:bCs/>
                <w:i/>
                <w:iCs/>
                <w:noProof/>
                <w:sz w:val="24"/>
                <w:szCs w:val="24"/>
              </w:rPr>
              <w:t>LP DISPLAY Technology Ltd</w:t>
            </w:r>
            <w:r w:rsidR="00C83A1B">
              <w:rPr>
                <w:bCs/>
                <w:i/>
                <w:iCs/>
                <w:noProof/>
                <w:sz w:val="24"/>
                <w:szCs w:val="24"/>
              </w:rPr>
              <w:t>; Novastar</w:t>
            </w:r>
          </w:p>
        </w:tc>
      </w:tr>
      <w:tr w:rsidR="00BA136B" w:rsidRPr="00BA136B" w14:paraId="51565903" w14:textId="77777777" w:rsidTr="00E96A10">
        <w:trPr>
          <w:jc w:val="center"/>
        </w:trPr>
        <w:tc>
          <w:tcPr>
            <w:tcW w:w="2192" w:type="dxa"/>
            <w:gridSpan w:val="3"/>
            <w:vAlign w:val="center"/>
          </w:tcPr>
          <w:p w14:paraId="51565901" w14:textId="77777777" w:rsidR="00BA136B" w:rsidRPr="00BA136B" w:rsidRDefault="00BA136B" w:rsidP="00BA136B">
            <w:pPr>
              <w:rPr>
                <w:rFonts w:ascii="Times New Roman" w:eastAsia="Calibri" w:hAnsi="Times New Roman" w:cs="Times New Roman"/>
                <w:bCs/>
                <w:noProof/>
                <w:sz w:val="24"/>
                <w:szCs w:val="24"/>
                <w:lang w:eastAsia="en-GB"/>
              </w:rPr>
            </w:pPr>
            <w:r w:rsidRPr="00BA136B">
              <w:rPr>
                <w:rFonts w:ascii="Times New Roman" w:eastAsia="Calibri" w:hAnsi="Times New Roman" w:cs="Times New Roman"/>
                <w:bCs/>
                <w:noProof/>
                <w:sz w:val="24"/>
                <w:szCs w:val="24"/>
                <w:lang w:eastAsia="en-GB"/>
              </w:rPr>
              <w:t>Modelis</w:t>
            </w:r>
          </w:p>
        </w:tc>
        <w:tc>
          <w:tcPr>
            <w:tcW w:w="8151" w:type="dxa"/>
            <w:gridSpan w:val="3"/>
            <w:vAlign w:val="center"/>
          </w:tcPr>
          <w:p w14:paraId="51565902" w14:textId="1201DDA4" w:rsidR="00BA136B" w:rsidRPr="00C83A1B" w:rsidRDefault="00C37FD8" w:rsidP="00BA136B">
            <w:pPr>
              <w:rPr>
                <w:rFonts w:ascii="Times New Roman" w:eastAsia="Calibri" w:hAnsi="Times New Roman" w:cs="Times New Roman"/>
                <w:b/>
                <w:noProof/>
                <w:sz w:val="24"/>
                <w:szCs w:val="24"/>
                <w:lang w:eastAsia="en-GB"/>
              </w:rPr>
            </w:pPr>
            <w:r w:rsidRPr="00D1710E">
              <w:rPr>
                <w:bCs/>
                <w:noProof/>
                <w:sz w:val="24"/>
                <w:szCs w:val="24"/>
              </w:rPr>
              <w:t>LPD-BSUG6315A</w:t>
            </w:r>
            <w:r w:rsidR="00C83A1B">
              <w:rPr>
                <w:bCs/>
                <w:noProof/>
                <w:sz w:val="24"/>
                <w:szCs w:val="24"/>
              </w:rPr>
              <w:t xml:space="preserve">; </w:t>
            </w:r>
            <w:r w:rsidR="00C83A1B" w:rsidRPr="00C83A1B">
              <w:rPr>
                <w:bCs/>
                <w:noProof/>
                <w:sz w:val="24"/>
                <w:szCs w:val="24"/>
              </w:rPr>
              <w:t>VX4S</w:t>
            </w:r>
          </w:p>
        </w:tc>
      </w:tr>
      <w:tr w:rsidR="00BA136B" w:rsidRPr="00BA136B" w14:paraId="51565909" w14:textId="77777777" w:rsidTr="00E96A10">
        <w:trPr>
          <w:jc w:val="center"/>
        </w:trPr>
        <w:tc>
          <w:tcPr>
            <w:tcW w:w="704" w:type="dxa"/>
            <w:vAlign w:val="center"/>
          </w:tcPr>
          <w:p w14:paraId="51565904" w14:textId="77777777" w:rsidR="00BA136B" w:rsidRPr="00BA136B" w:rsidRDefault="00BA136B" w:rsidP="00BA136B">
            <w:pPr>
              <w:jc w:val="center"/>
              <w:rPr>
                <w:rFonts w:ascii="Times New Roman" w:eastAsia="Calibri" w:hAnsi="Times New Roman" w:cs="Times New Roman"/>
                <w:b/>
                <w:bCs/>
                <w:color w:val="000000"/>
                <w:sz w:val="24"/>
                <w:szCs w:val="24"/>
                <w:lang w:eastAsia="en-GB"/>
              </w:rPr>
            </w:pPr>
            <w:r w:rsidRPr="00BA136B">
              <w:rPr>
                <w:rFonts w:ascii="Times New Roman" w:eastAsia="Calibri" w:hAnsi="Times New Roman" w:cs="Times New Roman"/>
                <w:b/>
                <w:bCs/>
                <w:color w:val="000000"/>
                <w:sz w:val="24"/>
                <w:szCs w:val="24"/>
                <w:lang w:eastAsia="en-GB"/>
              </w:rPr>
              <w:t>Eil.</w:t>
            </w:r>
          </w:p>
          <w:p w14:paraId="51565905" w14:textId="77777777" w:rsidR="00BA136B" w:rsidRPr="00BA136B" w:rsidRDefault="00BA136B" w:rsidP="00BA136B">
            <w:pPr>
              <w:jc w:val="center"/>
              <w:rPr>
                <w:rFonts w:ascii="Times New Roman" w:eastAsia="Calibri" w:hAnsi="Times New Roman" w:cs="Times New Roman"/>
                <w:b/>
                <w:bCs/>
                <w:color w:val="000000"/>
                <w:sz w:val="24"/>
                <w:szCs w:val="24"/>
                <w:lang w:eastAsia="en-GB"/>
              </w:rPr>
            </w:pPr>
            <w:r w:rsidRPr="00BA136B">
              <w:rPr>
                <w:rFonts w:ascii="Times New Roman" w:eastAsia="Calibri" w:hAnsi="Times New Roman" w:cs="Times New Roman"/>
                <w:b/>
                <w:bCs/>
                <w:color w:val="000000"/>
                <w:sz w:val="24"/>
                <w:szCs w:val="24"/>
                <w:lang w:eastAsia="en-GB"/>
              </w:rPr>
              <w:t>Nr.</w:t>
            </w:r>
          </w:p>
        </w:tc>
        <w:tc>
          <w:tcPr>
            <w:tcW w:w="2531" w:type="dxa"/>
            <w:gridSpan w:val="3"/>
            <w:vAlign w:val="center"/>
          </w:tcPr>
          <w:p w14:paraId="51565906" w14:textId="77777777" w:rsidR="00BA136B" w:rsidRPr="00BA136B" w:rsidRDefault="00BA136B" w:rsidP="00BA136B">
            <w:pPr>
              <w:jc w:val="center"/>
              <w:rPr>
                <w:rFonts w:ascii="Times New Roman" w:eastAsia="Calibri" w:hAnsi="Times New Roman" w:cs="Times New Roman"/>
                <w:b/>
                <w:bCs/>
                <w:color w:val="000000"/>
                <w:sz w:val="24"/>
                <w:szCs w:val="24"/>
                <w:lang w:eastAsia="en-GB"/>
              </w:rPr>
            </w:pPr>
            <w:r w:rsidRPr="00BA136B">
              <w:rPr>
                <w:rFonts w:ascii="Times New Roman" w:eastAsia="Calibri" w:hAnsi="Times New Roman" w:cs="Times New Roman"/>
                <w:b/>
                <w:bCs/>
                <w:color w:val="000000"/>
                <w:sz w:val="24"/>
                <w:szCs w:val="24"/>
                <w:lang w:eastAsia="en-GB"/>
              </w:rPr>
              <w:t>Reikalavimai</w:t>
            </w:r>
          </w:p>
        </w:tc>
        <w:tc>
          <w:tcPr>
            <w:tcW w:w="2520" w:type="dxa"/>
            <w:vAlign w:val="center"/>
          </w:tcPr>
          <w:p w14:paraId="51565907" w14:textId="77777777" w:rsidR="00BA136B" w:rsidRPr="00BA136B" w:rsidRDefault="00BA136B" w:rsidP="00BA136B">
            <w:pPr>
              <w:jc w:val="center"/>
              <w:rPr>
                <w:rFonts w:ascii="Times New Roman" w:eastAsia="Calibri" w:hAnsi="Times New Roman" w:cs="Times New Roman"/>
                <w:b/>
                <w:bCs/>
                <w:noProof/>
                <w:color w:val="000000"/>
                <w:sz w:val="24"/>
                <w:szCs w:val="24"/>
                <w:lang w:eastAsia="en-GB"/>
              </w:rPr>
            </w:pPr>
            <w:r w:rsidRPr="00BA136B">
              <w:rPr>
                <w:rFonts w:ascii="Times New Roman" w:eastAsia="Calibri" w:hAnsi="Times New Roman" w:cs="Times New Roman"/>
                <w:b/>
                <w:bCs/>
                <w:noProof/>
                <w:sz w:val="24"/>
                <w:szCs w:val="24"/>
                <w:lang w:eastAsia="en-GB"/>
              </w:rPr>
              <w:t>Siūlomi parametrai</w:t>
            </w:r>
          </w:p>
        </w:tc>
        <w:tc>
          <w:tcPr>
            <w:tcW w:w="4588" w:type="dxa"/>
            <w:vAlign w:val="center"/>
          </w:tcPr>
          <w:p w14:paraId="51565908" w14:textId="77777777" w:rsidR="00BA136B" w:rsidRPr="00BA136B" w:rsidRDefault="00BA136B" w:rsidP="00BA136B">
            <w:pPr>
              <w:jc w:val="center"/>
              <w:rPr>
                <w:rFonts w:ascii="Times New Roman" w:eastAsia="Calibri" w:hAnsi="Times New Roman" w:cs="Times New Roman"/>
                <w:b/>
                <w:bCs/>
                <w:noProof/>
                <w:color w:val="000000"/>
                <w:sz w:val="24"/>
                <w:szCs w:val="24"/>
                <w:lang w:eastAsia="en-GB"/>
              </w:rPr>
            </w:pPr>
            <w:r w:rsidRPr="00BA136B">
              <w:rPr>
                <w:rFonts w:ascii="Times New Roman" w:eastAsia="Calibri" w:hAnsi="Times New Roman" w:cs="Times New Roman"/>
                <w:b/>
                <w:bCs/>
                <w:noProof/>
                <w:sz w:val="24"/>
                <w:szCs w:val="24"/>
                <w:lang w:eastAsia="en-GB"/>
              </w:rPr>
              <w:t>Siūlomus parametrus patvirtinantys dokumentai</w:t>
            </w:r>
          </w:p>
        </w:tc>
      </w:tr>
      <w:tr w:rsidR="00BA136B" w:rsidRPr="00BA136B" w14:paraId="5156590E" w14:textId="77777777" w:rsidTr="00E96A10">
        <w:trPr>
          <w:jc w:val="center"/>
        </w:trPr>
        <w:tc>
          <w:tcPr>
            <w:tcW w:w="704" w:type="dxa"/>
            <w:vAlign w:val="center"/>
          </w:tcPr>
          <w:p w14:paraId="5156590A"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0B"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Ekrano dydis: 3700 mm ilgis, 1046 mm aukštis. Galima ekrano išmatavimų paklaida: -40 mm (t. y. ekranas gali būti 40 mm siauresnis ir žemesnis). Ekranas negali būti platesnis ir aukštesnis už nurodytus išmatavimus</w:t>
            </w:r>
          </w:p>
        </w:tc>
        <w:tc>
          <w:tcPr>
            <w:tcW w:w="2520" w:type="dxa"/>
            <w:vAlign w:val="center"/>
          </w:tcPr>
          <w:p w14:paraId="4005B41C" w14:textId="77777777" w:rsidR="00BA136B" w:rsidRDefault="003D4D75" w:rsidP="00BA136B">
            <w:pPr>
              <w:jc w:val="center"/>
              <w:rPr>
                <w:rFonts w:ascii="Times New Roman" w:hAnsi="Times New Roman" w:cs="Times New Roman"/>
                <w:bCs/>
                <w:iCs/>
                <w:sz w:val="24"/>
                <w:szCs w:val="24"/>
              </w:rPr>
            </w:pPr>
            <w:r w:rsidRPr="00F23DD2">
              <w:rPr>
                <w:rFonts w:ascii="Times New Roman" w:hAnsi="Times New Roman" w:cs="Times New Roman"/>
                <w:bCs/>
                <w:iCs/>
                <w:sz w:val="24"/>
                <w:szCs w:val="24"/>
              </w:rPr>
              <w:t>Ekrano dydis: 3660</w:t>
            </w:r>
            <w:r w:rsidR="004E6A08">
              <w:rPr>
                <w:rFonts w:ascii="Times New Roman" w:hAnsi="Times New Roman" w:cs="Times New Roman"/>
                <w:bCs/>
                <w:iCs/>
                <w:sz w:val="24"/>
                <w:szCs w:val="24"/>
              </w:rPr>
              <w:t xml:space="preserve"> </w:t>
            </w:r>
            <w:r w:rsidRPr="00F23DD2">
              <w:rPr>
                <w:rFonts w:ascii="Times New Roman" w:hAnsi="Times New Roman" w:cs="Times New Roman"/>
                <w:bCs/>
                <w:iCs/>
                <w:sz w:val="24"/>
                <w:szCs w:val="24"/>
              </w:rPr>
              <w:t xml:space="preserve"> mm ilgis, 1029 mm aukštis.</w:t>
            </w:r>
          </w:p>
          <w:p w14:paraId="5156590C" w14:textId="1ECFD5F4" w:rsidR="004E6A08" w:rsidRPr="00F23DD2" w:rsidRDefault="004E6A08" w:rsidP="00BA136B">
            <w:pPr>
              <w:jc w:val="center"/>
              <w:rPr>
                <w:rFonts w:ascii="Times New Roman" w:eastAsia="Calibri" w:hAnsi="Times New Roman" w:cs="Times New Roman"/>
                <w:iCs/>
                <w:color w:val="000000"/>
                <w:sz w:val="24"/>
                <w:szCs w:val="24"/>
                <w:lang w:eastAsia="en-GB"/>
              </w:rPr>
            </w:pPr>
            <w:r>
              <w:rPr>
                <w:rFonts w:ascii="Times New Roman" w:hAnsi="Times New Roman" w:cs="Times New Roman"/>
                <w:bCs/>
                <w:iCs/>
                <w:sz w:val="24"/>
                <w:szCs w:val="24"/>
              </w:rPr>
              <w:t xml:space="preserve">Ekranas susideda iš </w:t>
            </w:r>
            <w:r w:rsidR="007C447D">
              <w:rPr>
                <w:rFonts w:ascii="Times New Roman" w:hAnsi="Times New Roman" w:cs="Times New Roman"/>
                <w:bCs/>
                <w:iCs/>
                <w:sz w:val="24"/>
                <w:szCs w:val="24"/>
              </w:rPr>
              <w:t>18 (610x343mm) panelių (cabinets)</w:t>
            </w:r>
          </w:p>
        </w:tc>
        <w:tc>
          <w:tcPr>
            <w:tcW w:w="4588" w:type="dxa"/>
            <w:vAlign w:val="center"/>
          </w:tcPr>
          <w:p w14:paraId="5156590D" w14:textId="57830F2F" w:rsidR="00BA136B" w:rsidRPr="00320395" w:rsidRDefault="00BE0988" w:rsidP="00BA136B">
            <w:pPr>
              <w:jc w:val="center"/>
              <w:rPr>
                <w:rFonts w:ascii="Times New Roman" w:eastAsia="Calibri" w:hAnsi="Times New Roman" w:cs="Times New Roman"/>
                <w:color w:val="000000"/>
                <w:sz w:val="24"/>
                <w:szCs w:val="24"/>
                <w:highlight w:val="yellow"/>
                <w:lang w:eastAsia="en-GB"/>
              </w:rPr>
            </w:pPr>
            <w:r w:rsidRPr="00BE0988">
              <w:rPr>
                <w:rFonts w:ascii="Times New Roman" w:eastAsia="Calibri" w:hAnsi="Times New Roman" w:cs="Times New Roman"/>
                <w:bCs/>
                <w:i/>
                <w:sz w:val="24"/>
                <w:szCs w:val="24"/>
                <w:lang w:eastAsia="en-GB"/>
              </w:rPr>
              <w:t>610x343mm p1.5(LPD-BSUG6315A)</w:t>
            </w:r>
            <w:r w:rsidR="00B31AF0">
              <w:rPr>
                <w:rFonts w:ascii="Times New Roman" w:eastAsia="Calibri" w:hAnsi="Times New Roman" w:cs="Times New Roman"/>
                <w:bCs/>
                <w:i/>
                <w:sz w:val="24"/>
                <w:szCs w:val="24"/>
                <w:lang w:eastAsia="en-GB"/>
              </w:rPr>
              <w:t>.pdf (</w:t>
            </w:r>
            <w:r w:rsidR="00F72B0F" w:rsidRPr="00F72B0F">
              <w:rPr>
                <w:rFonts w:ascii="Times New Roman" w:eastAsia="Calibri" w:hAnsi="Times New Roman" w:cs="Times New Roman"/>
                <w:bCs/>
                <w:i/>
                <w:sz w:val="24"/>
                <w:szCs w:val="24"/>
                <w:lang w:eastAsia="en-GB"/>
              </w:rPr>
              <w:t>https://en.szlpdisplay.com/?products_7/197.html</w:t>
            </w:r>
            <w:r w:rsidR="00B31AF0">
              <w:rPr>
                <w:rFonts w:ascii="Times New Roman" w:eastAsia="Calibri" w:hAnsi="Times New Roman" w:cs="Times New Roman"/>
                <w:bCs/>
                <w:i/>
                <w:sz w:val="24"/>
                <w:szCs w:val="24"/>
                <w:lang w:eastAsia="en-GB"/>
              </w:rPr>
              <w:t>)</w:t>
            </w:r>
          </w:p>
        </w:tc>
      </w:tr>
      <w:tr w:rsidR="00BA136B" w:rsidRPr="00BA136B" w14:paraId="51565913" w14:textId="77777777" w:rsidTr="00E96A10">
        <w:trPr>
          <w:jc w:val="center"/>
        </w:trPr>
        <w:tc>
          <w:tcPr>
            <w:tcW w:w="704" w:type="dxa"/>
            <w:vAlign w:val="center"/>
          </w:tcPr>
          <w:p w14:paraId="5156590F"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10"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 xml:space="preserve">Atstumas tarp taškų centrų (ang. </w:t>
            </w:r>
            <w:r w:rsidRPr="00C5734F">
              <w:rPr>
                <w:rFonts w:ascii="Times New Roman" w:eastAsia="Calibri" w:hAnsi="Times New Roman" w:cs="Times New Roman"/>
                <w:i/>
                <w:iCs/>
                <w:color w:val="000000"/>
                <w:sz w:val="24"/>
                <w:szCs w:val="24"/>
                <w:lang w:eastAsia="en-GB"/>
              </w:rPr>
              <w:t>pixel pitch</w:t>
            </w:r>
            <w:r w:rsidRPr="00BA136B">
              <w:rPr>
                <w:rFonts w:ascii="Times New Roman" w:eastAsia="Calibri" w:hAnsi="Times New Roman" w:cs="Times New Roman"/>
                <w:color w:val="000000"/>
                <w:sz w:val="24"/>
                <w:szCs w:val="24"/>
                <w:lang w:eastAsia="en-GB"/>
              </w:rPr>
              <w:t>) ne daugiau kaip 1,58 mm</w:t>
            </w:r>
          </w:p>
        </w:tc>
        <w:tc>
          <w:tcPr>
            <w:tcW w:w="2520" w:type="dxa"/>
            <w:vAlign w:val="center"/>
          </w:tcPr>
          <w:p w14:paraId="51565911" w14:textId="4575D9B6" w:rsidR="00BA136B" w:rsidRPr="00F23DD2" w:rsidRDefault="00376BCE" w:rsidP="00BA136B">
            <w:pPr>
              <w:jc w:val="center"/>
              <w:rPr>
                <w:rFonts w:ascii="Times New Roman" w:eastAsia="Calibri" w:hAnsi="Times New Roman" w:cs="Times New Roman"/>
                <w:iCs/>
                <w:sz w:val="24"/>
                <w:szCs w:val="24"/>
              </w:rPr>
            </w:pPr>
            <w:r w:rsidRPr="00F23DD2">
              <w:rPr>
                <w:rFonts w:ascii="Times New Roman" w:hAnsi="Times New Roman" w:cs="Times New Roman"/>
                <w:iCs/>
                <w:color w:val="000000"/>
                <w:sz w:val="24"/>
                <w:szCs w:val="24"/>
              </w:rPr>
              <w:t>Atstumas tarp taškų centrų (ang. pixel pitch) 1,58 mm</w:t>
            </w:r>
          </w:p>
        </w:tc>
        <w:tc>
          <w:tcPr>
            <w:tcW w:w="4588" w:type="dxa"/>
            <w:vAlign w:val="center"/>
          </w:tcPr>
          <w:p w14:paraId="51565912" w14:textId="7EAAD1BB"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18" w14:textId="77777777" w:rsidTr="00E96A10">
        <w:trPr>
          <w:jc w:val="center"/>
        </w:trPr>
        <w:tc>
          <w:tcPr>
            <w:tcW w:w="704" w:type="dxa"/>
            <w:vAlign w:val="center"/>
          </w:tcPr>
          <w:p w14:paraId="51565914"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15"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Matymo kampas ne blogiau kaip H/V 160</w:t>
            </w:r>
            <w:r w:rsidRPr="00BA136B">
              <w:rPr>
                <w:rFonts w:ascii="Times New Roman" w:eastAsia="Calibri" w:hAnsi="Times New Roman" w:cs="Times New Roman"/>
                <w:color w:val="000000"/>
                <w:sz w:val="24"/>
                <w:szCs w:val="24"/>
                <w:vertAlign w:val="superscript"/>
                <w:lang w:eastAsia="en-GB"/>
              </w:rPr>
              <w:t>o</w:t>
            </w:r>
          </w:p>
        </w:tc>
        <w:tc>
          <w:tcPr>
            <w:tcW w:w="2520" w:type="dxa"/>
            <w:vAlign w:val="center"/>
          </w:tcPr>
          <w:p w14:paraId="51565916" w14:textId="39F2BBCC" w:rsidR="00BA136B" w:rsidRPr="00F23DD2" w:rsidRDefault="00797C1A"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Matymo kampas H/V 160</w:t>
            </w:r>
          </w:p>
        </w:tc>
        <w:tc>
          <w:tcPr>
            <w:tcW w:w="4588" w:type="dxa"/>
            <w:vAlign w:val="center"/>
          </w:tcPr>
          <w:p w14:paraId="51565917" w14:textId="0C90B6C3"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1D" w14:textId="77777777" w:rsidTr="00E96A10">
        <w:trPr>
          <w:jc w:val="center"/>
        </w:trPr>
        <w:tc>
          <w:tcPr>
            <w:tcW w:w="704" w:type="dxa"/>
            <w:vAlign w:val="center"/>
          </w:tcPr>
          <w:p w14:paraId="51565919"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1A"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 xml:space="preserve">Vaizdo atsistatymo trukmė (ang. </w:t>
            </w:r>
            <w:r w:rsidRPr="00C5734F">
              <w:rPr>
                <w:rFonts w:ascii="Times New Roman" w:eastAsia="Calibri" w:hAnsi="Times New Roman" w:cs="Times New Roman"/>
                <w:i/>
                <w:iCs/>
                <w:color w:val="000000"/>
                <w:sz w:val="24"/>
                <w:szCs w:val="24"/>
                <w:lang w:eastAsia="en-GB"/>
              </w:rPr>
              <w:t>Refresh rate</w:t>
            </w:r>
            <w:r w:rsidRPr="00BA136B">
              <w:rPr>
                <w:rFonts w:ascii="Times New Roman" w:eastAsia="Calibri" w:hAnsi="Times New Roman" w:cs="Times New Roman"/>
                <w:color w:val="000000"/>
                <w:sz w:val="24"/>
                <w:szCs w:val="24"/>
                <w:lang w:eastAsia="en-GB"/>
              </w:rPr>
              <w:t>) ne mažiau kaip 3840 Hz.</w:t>
            </w:r>
          </w:p>
        </w:tc>
        <w:tc>
          <w:tcPr>
            <w:tcW w:w="2520" w:type="dxa"/>
            <w:vAlign w:val="center"/>
          </w:tcPr>
          <w:p w14:paraId="5156591B" w14:textId="72DA84CF" w:rsidR="00BA136B" w:rsidRPr="00F23DD2" w:rsidRDefault="00DE089D"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Vaizdo atsistatymo trukmė (ang. Refresh rate) 3840 Hz.</w:t>
            </w:r>
          </w:p>
        </w:tc>
        <w:tc>
          <w:tcPr>
            <w:tcW w:w="4588" w:type="dxa"/>
            <w:vAlign w:val="center"/>
          </w:tcPr>
          <w:p w14:paraId="5156591C" w14:textId="314FCBFA"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22" w14:textId="77777777" w:rsidTr="00E96A10">
        <w:trPr>
          <w:jc w:val="center"/>
        </w:trPr>
        <w:tc>
          <w:tcPr>
            <w:tcW w:w="704" w:type="dxa"/>
            <w:vAlign w:val="center"/>
          </w:tcPr>
          <w:p w14:paraId="5156591E"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1F"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w:t>
            </w:r>
            <w:r w:rsidRPr="00C5734F">
              <w:rPr>
                <w:rFonts w:ascii="Times New Roman" w:eastAsia="Calibri" w:hAnsi="Times New Roman" w:cs="Times New Roman"/>
                <w:i/>
                <w:iCs/>
                <w:color w:val="000000"/>
                <w:sz w:val="24"/>
                <w:szCs w:val="24"/>
                <w:lang w:eastAsia="en-GB"/>
              </w:rPr>
              <w:t>Black chip</w:t>
            </w:r>
            <w:r w:rsidRPr="00BA136B">
              <w:rPr>
                <w:rFonts w:ascii="Times New Roman" w:eastAsia="Calibri" w:hAnsi="Times New Roman" w:cs="Times New Roman"/>
                <w:color w:val="000000"/>
                <w:sz w:val="24"/>
                <w:szCs w:val="24"/>
                <w:lang w:eastAsia="en-GB"/>
              </w:rPr>
              <w:t>” arba lygiavertė technologija, užtikrinanti geresnį kontrastą</w:t>
            </w:r>
          </w:p>
        </w:tc>
        <w:tc>
          <w:tcPr>
            <w:tcW w:w="2520" w:type="dxa"/>
            <w:vAlign w:val="center"/>
          </w:tcPr>
          <w:p w14:paraId="52946631" w14:textId="77777777" w:rsidR="00921468" w:rsidRPr="00F23DD2" w:rsidRDefault="00921468" w:rsidP="00921468">
            <w:pPr>
              <w:jc w:val="center"/>
              <w:rPr>
                <w:rFonts w:ascii="Times New Roman" w:hAnsi="Times New Roman" w:cs="Times New Roman"/>
                <w:bCs/>
                <w:iCs/>
                <w:sz w:val="24"/>
                <w:szCs w:val="24"/>
              </w:rPr>
            </w:pPr>
            <w:r w:rsidRPr="00F23DD2">
              <w:rPr>
                <w:rFonts w:ascii="Times New Roman" w:hAnsi="Times New Roman" w:cs="Times New Roman"/>
                <w:bCs/>
                <w:iCs/>
                <w:sz w:val="24"/>
                <w:szCs w:val="24"/>
              </w:rPr>
              <w:t>Black</w:t>
            </w:r>
          </w:p>
          <w:p w14:paraId="51565920" w14:textId="7EFC19DA" w:rsidR="00BA136B" w:rsidRPr="00F23DD2" w:rsidRDefault="00921468" w:rsidP="00921468">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LED (improving contrast)</w:t>
            </w:r>
            <w:r w:rsidRPr="00F23DD2">
              <w:rPr>
                <w:rFonts w:ascii="Times New Roman" w:hAnsi="Times New Roman" w:cs="Times New Roman"/>
                <w:iCs/>
              </w:rPr>
              <w:t xml:space="preserve"> </w:t>
            </w:r>
            <w:r w:rsidRPr="00F23DD2">
              <w:rPr>
                <w:rFonts w:ascii="Times New Roman" w:hAnsi="Times New Roman" w:cs="Times New Roman"/>
                <w:bCs/>
                <w:iCs/>
                <w:sz w:val="24"/>
                <w:szCs w:val="24"/>
              </w:rPr>
              <w:t>technologija, užtikrinanti geresnį</w:t>
            </w:r>
            <w:r w:rsidR="008A03D0">
              <w:rPr>
                <w:rFonts w:ascii="Times New Roman" w:hAnsi="Times New Roman" w:cs="Times New Roman"/>
                <w:bCs/>
                <w:iCs/>
                <w:sz w:val="24"/>
                <w:szCs w:val="24"/>
              </w:rPr>
              <w:t xml:space="preserve"> </w:t>
            </w:r>
            <w:r w:rsidR="008A03D0" w:rsidRPr="00BA136B">
              <w:rPr>
                <w:rFonts w:ascii="Times New Roman" w:eastAsia="Calibri" w:hAnsi="Times New Roman" w:cs="Times New Roman"/>
                <w:color w:val="000000"/>
                <w:sz w:val="24"/>
                <w:szCs w:val="24"/>
                <w:lang w:eastAsia="en-GB"/>
              </w:rPr>
              <w:t xml:space="preserve"> kontrastą</w:t>
            </w:r>
          </w:p>
        </w:tc>
        <w:tc>
          <w:tcPr>
            <w:tcW w:w="4588" w:type="dxa"/>
            <w:vAlign w:val="center"/>
          </w:tcPr>
          <w:p w14:paraId="51565921" w14:textId="0862A8A0"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27" w14:textId="77777777" w:rsidTr="00E96A10">
        <w:trPr>
          <w:jc w:val="center"/>
        </w:trPr>
        <w:tc>
          <w:tcPr>
            <w:tcW w:w="704" w:type="dxa"/>
            <w:vAlign w:val="center"/>
          </w:tcPr>
          <w:p w14:paraId="51565923"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24"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 xml:space="preserve">Šviesos srautas  (ang. </w:t>
            </w:r>
            <w:r w:rsidRPr="00C5734F">
              <w:rPr>
                <w:rFonts w:ascii="Times New Roman" w:eastAsia="Calibri" w:hAnsi="Times New Roman" w:cs="Times New Roman"/>
                <w:i/>
                <w:iCs/>
                <w:color w:val="000000"/>
                <w:sz w:val="24"/>
                <w:szCs w:val="24"/>
                <w:lang w:eastAsia="en-GB"/>
              </w:rPr>
              <w:t>brightness</w:t>
            </w:r>
            <w:r w:rsidRPr="00BA136B">
              <w:rPr>
                <w:rFonts w:ascii="Times New Roman" w:eastAsia="Calibri" w:hAnsi="Times New Roman" w:cs="Times New Roman"/>
                <w:color w:val="000000"/>
                <w:sz w:val="24"/>
                <w:szCs w:val="24"/>
                <w:lang w:eastAsia="en-GB"/>
              </w:rPr>
              <w:t>) ne mažiau 600 nitų (cd/m</w:t>
            </w:r>
            <w:r w:rsidRPr="00BA136B">
              <w:rPr>
                <w:rFonts w:ascii="Times New Roman" w:eastAsia="Calibri" w:hAnsi="Times New Roman" w:cs="Times New Roman"/>
                <w:color w:val="000000"/>
                <w:sz w:val="24"/>
                <w:szCs w:val="24"/>
                <w:vertAlign w:val="superscript"/>
                <w:lang w:eastAsia="en-GB"/>
              </w:rPr>
              <w:t>2</w:t>
            </w:r>
            <w:r w:rsidRPr="00BA136B">
              <w:rPr>
                <w:rFonts w:ascii="Times New Roman" w:eastAsia="Calibri" w:hAnsi="Times New Roman" w:cs="Times New Roman"/>
                <w:color w:val="000000"/>
                <w:sz w:val="24"/>
                <w:szCs w:val="24"/>
                <w:lang w:eastAsia="en-GB"/>
              </w:rPr>
              <w:t>)</w:t>
            </w:r>
          </w:p>
        </w:tc>
        <w:tc>
          <w:tcPr>
            <w:tcW w:w="2520" w:type="dxa"/>
            <w:vAlign w:val="center"/>
          </w:tcPr>
          <w:p w14:paraId="51565925" w14:textId="47F925A1" w:rsidR="00BA136B" w:rsidRPr="00F23DD2" w:rsidRDefault="00A9038D"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Šviesos srautas  (ang. brightness) 600 nitų (cd/m2)</w:t>
            </w:r>
          </w:p>
        </w:tc>
        <w:tc>
          <w:tcPr>
            <w:tcW w:w="4588" w:type="dxa"/>
            <w:vAlign w:val="center"/>
          </w:tcPr>
          <w:p w14:paraId="51565926" w14:textId="2B2177F3"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2C" w14:textId="77777777" w:rsidTr="00E96A10">
        <w:trPr>
          <w:jc w:val="center"/>
        </w:trPr>
        <w:tc>
          <w:tcPr>
            <w:tcW w:w="704" w:type="dxa"/>
            <w:vAlign w:val="center"/>
          </w:tcPr>
          <w:p w14:paraId="51565928"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29"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LED ekranas turi užtikrinti ne mažiau kaip 100.000 valandų veikimo laikotarpį</w:t>
            </w:r>
          </w:p>
        </w:tc>
        <w:tc>
          <w:tcPr>
            <w:tcW w:w="2520" w:type="dxa"/>
            <w:vAlign w:val="center"/>
          </w:tcPr>
          <w:p w14:paraId="5156592A" w14:textId="547EEC01" w:rsidR="00BA136B" w:rsidRPr="00F23DD2" w:rsidRDefault="00C27399"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LED ekranas užtikrina 100.000 valandų veikimo laikotarpį</w:t>
            </w:r>
          </w:p>
        </w:tc>
        <w:tc>
          <w:tcPr>
            <w:tcW w:w="4588" w:type="dxa"/>
            <w:vAlign w:val="center"/>
          </w:tcPr>
          <w:p w14:paraId="5156592B" w14:textId="23A41C70"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31" w14:textId="77777777" w:rsidTr="00E96A10">
        <w:trPr>
          <w:jc w:val="center"/>
        </w:trPr>
        <w:tc>
          <w:tcPr>
            <w:tcW w:w="704" w:type="dxa"/>
            <w:vAlign w:val="center"/>
          </w:tcPr>
          <w:p w14:paraId="5156592D"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2E"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LED ekrano darbinė temperatūra ne blogiau kaip –10 + 45 C</w:t>
            </w:r>
          </w:p>
        </w:tc>
        <w:tc>
          <w:tcPr>
            <w:tcW w:w="2520" w:type="dxa"/>
            <w:vAlign w:val="center"/>
          </w:tcPr>
          <w:p w14:paraId="5156592F" w14:textId="69288890" w:rsidR="00BA136B" w:rsidRPr="00F23DD2" w:rsidRDefault="00354594"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LED ekrano darbinė temperatūra  –</w:t>
            </w:r>
            <w:r w:rsidRPr="00F23DD2">
              <w:rPr>
                <w:rFonts w:ascii="Times New Roman" w:hAnsi="Times New Roman" w:cs="Times New Roman"/>
                <w:bCs/>
                <w:iCs/>
                <w:sz w:val="24"/>
                <w:szCs w:val="24"/>
                <w:lang w:val="en-US"/>
              </w:rPr>
              <w:t>2</w:t>
            </w:r>
            <w:r w:rsidRPr="00F23DD2">
              <w:rPr>
                <w:rFonts w:ascii="Times New Roman" w:hAnsi="Times New Roman" w:cs="Times New Roman"/>
                <w:bCs/>
                <w:iCs/>
                <w:sz w:val="24"/>
                <w:szCs w:val="24"/>
              </w:rPr>
              <w:t>0 + 60 C</w:t>
            </w:r>
          </w:p>
        </w:tc>
        <w:tc>
          <w:tcPr>
            <w:tcW w:w="4588" w:type="dxa"/>
            <w:vAlign w:val="center"/>
          </w:tcPr>
          <w:p w14:paraId="51565930" w14:textId="6315271C"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36" w14:textId="77777777" w:rsidTr="00E96A10">
        <w:trPr>
          <w:jc w:val="center"/>
        </w:trPr>
        <w:tc>
          <w:tcPr>
            <w:tcW w:w="704" w:type="dxa"/>
            <w:vAlign w:val="center"/>
          </w:tcPr>
          <w:p w14:paraId="51565932"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33"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LED ekrano darbinė drėgmė ne blogiau kaip ~10% - ~80%.</w:t>
            </w:r>
          </w:p>
        </w:tc>
        <w:tc>
          <w:tcPr>
            <w:tcW w:w="2520" w:type="dxa"/>
            <w:vAlign w:val="center"/>
          </w:tcPr>
          <w:p w14:paraId="51565934" w14:textId="368C9070" w:rsidR="00BA136B" w:rsidRPr="00F23DD2" w:rsidRDefault="000D3DA5"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LED ekrano darbinė drėgmė ~10% - ~90%.</w:t>
            </w:r>
          </w:p>
        </w:tc>
        <w:tc>
          <w:tcPr>
            <w:tcW w:w="4588" w:type="dxa"/>
            <w:vAlign w:val="center"/>
          </w:tcPr>
          <w:p w14:paraId="51565935" w14:textId="7E1C1557"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3B" w14:textId="77777777" w:rsidTr="00E96A10">
        <w:trPr>
          <w:jc w:val="center"/>
        </w:trPr>
        <w:tc>
          <w:tcPr>
            <w:tcW w:w="704" w:type="dxa"/>
            <w:vAlign w:val="center"/>
          </w:tcPr>
          <w:p w14:paraId="51565937"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38"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Užtikrinamas ryškumo valdymas rankiniu ir automatiniu būdu</w:t>
            </w:r>
          </w:p>
        </w:tc>
        <w:tc>
          <w:tcPr>
            <w:tcW w:w="2520" w:type="dxa"/>
            <w:vAlign w:val="center"/>
          </w:tcPr>
          <w:p w14:paraId="51565939" w14:textId="0ED344E5" w:rsidR="00BA136B" w:rsidRPr="00F23DD2" w:rsidRDefault="007A6050"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Užtikrinamas ryškumo valdymas rankiniu ir automatiniu būdu (0~100% manual/auto/time</w:t>
            </w:r>
            <w:r w:rsidRPr="00F23DD2">
              <w:rPr>
                <w:rFonts w:ascii="Times New Roman" w:eastAsia="MS Gothic" w:hAnsi="Times New Roman" w:cs="Times New Roman"/>
                <w:bCs/>
                <w:iCs/>
                <w:sz w:val="24"/>
                <w:szCs w:val="24"/>
              </w:rPr>
              <w:t>)</w:t>
            </w:r>
          </w:p>
        </w:tc>
        <w:tc>
          <w:tcPr>
            <w:tcW w:w="4588" w:type="dxa"/>
            <w:vAlign w:val="center"/>
          </w:tcPr>
          <w:p w14:paraId="5156593A" w14:textId="3A1A693E" w:rsidR="00BA136B" w:rsidRPr="00320395" w:rsidRDefault="00BE0988" w:rsidP="00BA136B">
            <w:pPr>
              <w:jc w:val="center"/>
              <w:rPr>
                <w:rFonts w:ascii="Times New Roman" w:eastAsia="Calibri" w:hAnsi="Times New Roman" w:cs="Times New Roman"/>
                <w:sz w:val="24"/>
                <w:szCs w:val="24"/>
                <w:highlight w:val="yellow"/>
              </w:rPr>
            </w:pPr>
            <w:r w:rsidRPr="00BE0988">
              <w:rPr>
                <w:rFonts w:ascii="Times New Roman" w:eastAsia="Calibri" w:hAnsi="Times New Roman" w:cs="Times New Roman"/>
                <w:bCs/>
                <w:i/>
                <w:sz w:val="24"/>
                <w:szCs w:val="24"/>
                <w:lang w:eastAsia="en-GB"/>
              </w:rPr>
              <w:t>610x343mm p1.5(LPD-BSUG6315A)</w:t>
            </w:r>
            <w:r>
              <w:rPr>
                <w:rFonts w:ascii="Times New Roman" w:eastAsia="Calibri" w:hAnsi="Times New Roman" w:cs="Times New Roman"/>
                <w:bCs/>
                <w:i/>
                <w:sz w:val="24"/>
                <w:szCs w:val="24"/>
                <w:lang w:eastAsia="en-GB"/>
              </w:rPr>
              <w:t>.pdf (</w:t>
            </w:r>
            <w:r w:rsidRPr="00F72B0F">
              <w:rPr>
                <w:rFonts w:ascii="Times New Roman" w:eastAsia="Calibri" w:hAnsi="Times New Roman" w:cs="Times New Roman"/>
                <w:bCs/>
                <w:i/>
                <w:sz w:val="24"/>
                <w:szCs w:val="24"/>
                <w:lang w:eastAsia="en-GB"/>
              </w:rPr>
              <w:t>https://en.szlpdisplay.com/?products_7/197.html</w:t>
            </w:r>
            <w:r>
              <w:rPr>
                <w:rFonts w:ascii="Times New Roman" w:eastAsia="Calibri" w:hAnsi="Times New Roman" w:cs="Times New Roman"/>
                <w:bCs/>
                <w:i/>
                <w:sz w:val="24"/>
                <w:szCs w:val="24"/>
                <w:lang w:eastAsia="en-GB"/>
              </w:rPr>
              <w:t>)</w:t>
            </w:r>
          </w:p>
        </w:tc>
      </w:tr>
      <w:tr w:rsidR="00BA136B" w:rsidRPr="00BA136B" w14:paraId="51565940" w14:textId="77777777" w:rsidTr="00E96A10">
        <w:trPr>
          <w:jc w:val="center"/>
        </w:trPr>
        <w:tc>
          <w:tcPr>
            <w:tcW w:w="704" w:type="dxa"/>
            <w:vAlign w:val="center"/>
          </w:tcPr>
          <w:p w14:paraId="5156593C"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3D" w14:textId="7777777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Ekranas turi turėti ne mažiau kaip 2 atskirus valdiklius (</w:t>
            </w:r>
            <w:r w:rsidRPr="00C5734F">
              <w:rPr>
                <w:rFonts w:ascii="Times New Roman" w:eastAsia="Calibri" w:hAnsi="Times New Roman" w:cs="Times New Roman"/>
                <w:i/>
                <w:iCs/>
                <w:color w:val="000000"/>
                <w:sz w:val="24"/>
                <w:szCs w:val="24"/>
                <w:lang w:eastAsia="en-GB"/>
              </w:rPr>
              <w:t>controller</w:t>
            </w:r>
            <w:r w:rsidRPr="00BA136B">
              <w:rPr>
                <w:rFonts w:ascii="Times New Roman" w:eastAsia="Calibri" w:hAnsi="Times New Roman" w:cs="Times New Roman"/>
                <w:color w:val="000000"/>
                <w:sz w:val="24"/>
                <w:szCs w:val="24"/>
                <w:lang w:eastAsia="en-GB"/>
              </w:rPr>
              <w:t>) su konverteriais (</w:t>
            </w:r>
            <w:r w:rsidRPr="00C5734F">
              <w:rPr>
                <w:rFonts w:ascii="Times New Roman" w:eastAsia="Calibri" w:hAnsi="Times New Roman" w:cs="Times New Roman"/>
                <w:i/>
                <w:iCs/>
                <w:color w:val="000000"/>
                <w:sz w:val="24"/>
                <w:szCs w:val="24"/>
                <w:lang w:eastAsia="en-GB"/>
              </w:rPr>
              <w:t>scaler</w:t>
            </w:r>
            <w:r w:rsidRPr="00BA136B">
              <w:rPr>
                <w:rFonts w:ascii="Times New Roman" w:eastAsia="Calibri" w:hAnsi="Times New Roman" w:cs="Times New Roman"/>
                <w:color w:val="000000"/>
                <w:sz w:val="24"/>
                <w:szCs w:val="24"/>
                <w:lang w:eastAsia="en-GB"/>
              </w:rPr>
              <w:t>) su ne mažiau kaip 1 vnt. SDI įėjimu (HD) kiekviename iš jų.</w:t>
            </w:r>
          </w:p>
        </w:tc>
        <w:tc>
          <w:tcPr>
            <w:tcW w:w="2520" w:type="dxa"/>
            <w:vAlign w:val="center"/>
          </w:tcPr>
          <w:p w14:paraId="5156593E" w14:textId="156D4CF0" w:rsidR="00BA136B" w:rsidRPr="00F23DD2" w:rsidRDefault="00996585"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 xml:space="preserve">Ekranas turi 2 atskirus valdiklius (controller) su konverteriais (scaler) su </w:t>
            </w:r>
            <w:r w:rsidR="00973C39">
              <w:rPr>
                <w:rFonts w:ascii="Times New Roman" w:hAnsi="Times New Roman" w:cs="Times New Roman"/>
                <w:bCs/>
                <w:iCs/>
                <w:sz w:val="24"/>
                <w:szCs w:val="24"/>
              </w:rPr>
              <w:t>1</w:t>
            </w:r>
            <w:r w:rsidRPr="00F23DD2">
              <w:rPr>
                <w:rFonts w:ascii="Times New Roman" w:hAnsi="Times New Roman" w:cs="Times New Roman"/>
                <w:bCs/>
                <w:iCs/>
                <w:sz w:val="24"/>
                <w:szCs w:val="24"/>
              </w:rPr>
              <w:t xml:space="preserve"> vnt. SDI įėjim</w:t>
            </w:r>
            <w:r w:rsidR="00246DD6">
              <w:rPr>
                <w:rFonts w:ascii="Times New Roman" w:hAnsi="Times New Roman" w:cs="Times New Roman"/>
                <w:bCs/>
                <w:iCs/>
                <w:sz w:val="24"/>
                <w:szCs w:val="24"/>
              </w:rPr>
              <w:t>u</w:t>
            </w:r>
            <w:r w:rsidRPr="00F23DD2">
              <w:rPr>
                <w:rFonts w:ascii="Times New Roman" w:hAnsi="Times New Roman" w:cs="Times New Roman"/>
                <w:bCs/>
                <w:iCs/>
                <w:sz w:val="24"/>
                <w:szCs w:val="24"/>
              </w:rPr>
              <w:t xml:space="preserve"> (HD) kiekviename iš jų. Taip pat yra DVI ir HDMI įėjimai</w:t>
            </w:r>
          </w:p>
        </w:tc>
        <w:tc>
          <w:tcPr>
            <w:tcW w:w="4588" w:type="dxa"/>
            <w:tcBorders>
              <w:bottom w:val="single" w:sz="4" w:space="0" w:color="auto"/>
            </w:tcBorders>
            <w:vAlign w:val="center"/>
          </w:tcPr>
          <w:p w14:paraId="5156593F" w14:textId="08041F0D" w:rsidR="00AB31AC" w:rsidRPr="00BA136B" w:rsidRDefault="00763C76" w:rsidP="00BA136B">
            <w:pPr>
              <w:jc w:val="center"/>
              <w:rPr>
                <w:rFonts w:ascii="Times New Roman" w:eastAsia="Calibri" w:hAnsi="Times New Roman" w:cs="Times New Roman"/>
                <w:sz w:val="24"/>
                <w:szCs w:val="24"/>
              </w:rPr>
            </w:pPr>
            <w:r w:rsidRPr="00763C76">
              <w:rPr>
                <w:rFonts w:ascii="Times New Roman" w:eastAsia="Calibri" w:hAnsi="Times New Roman" w:cs="Times New Roman"/>
                <w:bCs/>
                <w:i/>
                <w:sz w:val="24"/>
                <w:szCs w:val="24"/>
                <w:lang w:eastAsia="en-GB"/>
              </w:rPr>
              <w:t>VX4S-N All-in-One Controller Specifications-V1.0.1</w:t>
            </w:r>
            <w:r>
              <w:rPr>
                <w:rFonts w:ascii="Times New Roman" w:eastAsia="Calibri" w:hAnsi="Times New Roman" w:cs="Times New Roman"/>
                <w:bCs/>
                <w:i/>
                <w:sz w:val="24"/>
                <w:szCs w:val="24"/>
                <w:lang w:eastAsia="en-GB"/>
              </w:rPr>
              <w:t xml:space="preserve">.pdf </w:t>
            </w:r>
            <w:r w:rsidRPr="00763C76">
              <w:rPr>
                <w:rFonts w:ascii="Times New Roman" w:eastAsia="Calibri" w:hAnsi="Times New Roman" w:cs="Times New Roman"/>
                <w:bCs/>
                <w:i/>
                <w:sz w:val="24"/>
                <w:szCs w:val="24"/>
                <w:lang w:eastAsia="en-GB"/>
              </w:rPr>
              <w:t xml:space="preserve"> </w:t>
            </w:r>
          </w:p>
        </w:tc>
      </w:tr>
      <w:tr w:rsidR="00BA136B" w:rsidRPr="00BA136B" w14:paraId="51565945" w14:textId="77777777" w:rsidTr="00E96A10">
        <w:trPr>
          <w:jc w:val="center"/>
        </w:trPr>
        <w:tc>
          <w:tcPr>
            <w:tcW w:w="704" w:type="dxa"/>
            <w:vAlign w:val="center"/>
          </w:tcPr>
          <w:p w14:paraId="51565941"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42" w14:textId="166E7E17" w:rsidR="00BA136B" w:rsidRPr="00BA136B" w:rsidRDefault="00BA136B" w:rsidP="00BA136B">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Ekraną bus galima montuoti ant dabar turimo rėmo. Jei rėmas netinkamas</w:t>
            </w:r>
            <w:r w:rsidR="00DD1A39">
              <w:rPr>
                <w:rFonts w:ascii="Times New Roman" w:eastAsia="Calibri" w:hAnsi="Times New Roman" w:cs="Times New Roman"/>
                <w:color w:val="000000"/>
                <w:sz w:val="24"/>
                <w:szCs w:val="24"/>
                <w:lang w:eastAsia="en-GB"/>
              </w:rPr>
              <w:t xml:space="preserve"> </w:t>
            </w:r>
            <w:r w:rsidRPr="00BA136B">
              <w:rPr>
                <w:rFonts w:ascii="Times New Roman" w:eastAsia="Calibri" w:hAnsi="Times New Roman" w:cs="Times New Roman"/>
                <w:color w:val="000000"/>
                <w:sz w:val="24"/>
                <w:szCs w:val="24"/>
                <w:lang w:eastAsia="en-GB"/>
              </w:rPr>
              <w:t xml:space="preserve">- tiekėjas </w:t>
            </w:r>
            <w:r w:rsidR="00DD1A39" w:rsidRPr="00BA136B">
              <w:rPr>
                <w:rFonts w:ascii="Times New Roman" w:eastAsia="Calibri" w:hAnsi="Times New Roman" w:cs="Times New Roman"/>
                <w:color w:val="000000"/>
                <w:sz w:val="24"/>
                <w:szCs w:val="24"/>
                <w:lang w:eastAsia="en-GB"/>
              </w:rPr>
              <w:t>tur</w:t>
            </w:r>
            <w:r w:rsidR="00DD1A39">
              <w:rPr>
                <w:rFonts w:ascii="Times New Roman" w:eastAsia="Calibri" w:hAnsi="Times New Roman" w:cs="Times New Roman"/>
                <w:color w:val="000000"/>
                <w:sz w:val="24"/>
                <w:szCs w:val="24"/>
                <w:lang w:eastAsia="en-GB"/>
              </w:rPr>
              <w:t>ės</w:t>
            </w:r>
            <w:r w:rsidR="00DD1A39" w:rsidRPr="00BA136B">
              <w:rPr>
                <w:rFonts w:ascii="Times New Roman" w:eastAsia="Calibri" w:hAnsi="Times New Roman" w:cs="Times New Roman"/>
                <w:color w:val="000000"/>
                <w:sz w:val="24"/>
                <w:szCs w:val="24"/>
                <w:lang w:eastAsia="en-GB"/>
              </w:rPr>
              <w:t xml:space="preserve"> </w:t>
            </w:r>
            <w:r w:rsidRPr="00BA136B">
              <w:rPr>
                <w:rFonts w:ascii="Times New Roman" w:eastAsia="Calibri" w:hAnsi="Times New Roman" w:cs="Times New Roman"/>
                <w:color w:val="000000"/>
                <w:sz w:val="24"/>
                <w:szCs w:val="24"/>
                <w:lang w:eastAsia="en-GB"/>
              </w:rPr>
              <w:t xml:space="preserve">jį perdaryti arba pasiūlyti kitą. Ekrano rėmo konstrukcija </w:t>
            </w:r>
            <w:r w:rsidR="00DD1A39" w:rsidRPr="00BA136B">
              <w:rPr>
                <w:rFonts w:ascii="Times New Roman" w:eastAsia="Calibri" w:hAnsi="Times New Roman" w:cs="Times New Roman"/>
                <w:color w:val="000000"/>
                <w:sz w:val="24"/>
                <w:szCs w:val="24"/>
                <w:lang w:eastAsia="en-GB"/>
              </w:rPr>
              <w:t>tur</w:t>
            </w:r>
            <w:r w:rsidR="00DD1A39">
              <w:rPr>
                <w:rFonts w:ascii="Times New Roman" w:eastAsia="Calibri" w:hAnsi="Times New Roman" w:cs="Times New Roman"/>
                <w:color w:val="000000"/>
                <w:sz w:val="24"/>
                <w:szCs w:val="24"/>
                <w:lang w:eastAsia="en-GB"/>
              </w:rPr>
              <w:t>ės</w:t>
            </w:r>
            <w:r w:rsidR="00DD1A39" w:rsidRPr="00BA136B">
              <w:rPr>
                <w:rFonts w:ascii="Times New Roman" w:eastAsia="Calibri" w:hAnsi="Times New Roman" w:cs="Times New Roman"/>
                <w:color w:val="000000"/>
                <w:sz w:val="24"/>
                <w:szCs w:val="24"/>
                <w:lang w:eastAsia="en-GB"/>
              </w:rPr>
              <w:t xml:space="preserve"> </w:t>
            </w:r>
            <w:r w:rsidRPr="00BA136B">
              <w:rPr>
                <w:rFonts w:ascii="Times New Roman" w:eastAsia="Calibri" w:hAnsi="Times New Roman" w:cs="Times New Roman"/>
                <w:color w:val="000000"/>
                <w:sz w:val="24"/>
                <w:szCs w:val="24"/>
                <w:lang w:eastAsia="en-GB"/>
              </w:rPr>
              <w:t>būti suderinta su Užsakovu</w:t>
            </w:r>
            <w:r w:rsidR="00DD1A39">
              <w:rPr>
                <w:rFonts w:ascii="Times New Roman" w:eastAsia="Calibri" w:hAnsi="Times New Roman" w:cs="Times New Roman"/>
                <w:color w:val="000000"/>
                <w:sz w:val="24"/>
                <w:szCs w:val="24"/>
                <w:lang w:eastAsia="en-GB"/>
              </w:rPr>
              <w:t xml:space="preserve"> pasirašius Sutartį</w:t>
            </w:r>
            <w:r w:rsidRPr="00BA136B">
              <w:rPr>
                <w:rFonts w:ascii="Times New Roman" w:eastAsia="Calibri" w:hAnsi="Times New Roman" w:cs="Times New Roman"/>
                <w:color w:val="000000"/>
                <w:sz w:val="24"/>
                <w:szCs w:val="24"/>
                <w:lang w:eastAsia="en-GB"/>
              </w:rPr>
              <w:t xml:space="preserve">. Rėmas turi būti pastatomas ant žemės, su ratukais. Dekoracijos, esančios aplink ekraną negali būti keičiamos. </w:t>
            </w:r>
          </w:p>
        </w:tc>
        <w:tc>
          <w:tcPr>
            <w:tcW w:w="2520" w:type="dxa"/>
            <w:vAlign w:val="center"/>
          </w:tcPr>
          <w:p w14:paraId="51565943" w14:textId="46921E47" w:rsidR="00BA136B" w:rsidRPr="00F23DD2" w:rsidRDefault="00222E82"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Taip, bus naudojamas dabar turimas rėmas.</w:t>
            </w:r>
          </w:p>
        </w:tc>
        <w:tc>
          <w:tcPr>
            <w:tcW w:w="4588" w:type="dxa"/>
            <w:tcBorders>
              <w:tl2br w:val="single" w:sz="4" w:space="0" w:color="auto"/>
              <w:tr2bl w:val="single" w:sz="4" w:space="0" w:color="auto"/>
            </w:tcBorders>
            <w:vAlign w:val="center"/>
          </w:tcPr>
          <w:p w14:paraId="51565944" w14:textId="77777777" w:rsidR="00BA136B" w:rsidRPr="00BA136B" w:rsidRDefault="00BA136B" w:rsidP="00BA136B">
            <w:pPr>
              <w:jc w:val="center"/>
              <w:rPr>
                <w:rFonts w:ascii="Times New Roman" w:eastAsia="Calibri" w:hAnsi="Times New Roman" w:cs="Times New Roman"/>
                <w:sz w:val="24"/>
                <w:szCs w:val="24"/>
              </w:rPr>
            </w:pPr>
          </w:p>
        </w:tc>
      </w:tr>
      <w:tr w:rsidR="00BA136B" w:rsidRPr="00BA136B" w14:paraId="5156594A" w14:textId="77777777" w:rsidTr="00E96A10">
        <w:trPr>
          <w:jc w:val="center"/>
        </w:trPr>
        <w:tc>
          <w:tcPr>
            <w:tcW w:w="704" w:type="dxa"/>
            <w:vAlign w:val="center"/>
          </w:tcPr>
          <w:p w14:paraId="51565946" w14:textId="77777777" w:rsidR="00BA136B" w:rsidRPr="00BA136B" w:rsidRDefault="00BA136B" w:rsidP="00BA136B">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47" w14:textId="77777777" w:rsidR="00BA136B" w:rsidRPr="00BA136B" w:rsidRDefault="00BA136B" w:rsidP="00BA136B">
            <w:pPr>
              <w:jc w:val="both"/>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Apsaugos klasė: ne blogiau nei IP50.</w:t>
            </w:r>
          </w:p>
        </w:tc>
        <w:tc>
          <w:tcPr>
            <w:tcW w:w="2520" w:type="dxa"/>
            <w:vAlign w:val="center"/>
          </w:tcPr>
          <w:p w14:paraId="51565948" w14:textId="6D5AB04A" w:rsidR="00BA136B" w:rsidRPr="00F23DD2" w:rsidRDefault="003A53EB" w:rsidP="00BA136B">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Apsaugos klasė: IP</w:t>
            </w:r>
            <w:r w:rsidRPr="00F23DD2">
              <w:rPr>
                <w:rFonts w:ascii="Times New Roman" w:hAnsi="Times New Roman" w:cs="Times New Roman"/>
                <w:bCs/>
                <w:iCs/>
                <w:sz w:val="24"/>
                <w:szCs w:val="24"/>
                <w:lang w:val="en-US"/>
              </w:rPr>
              <w:t>6</w:t>
            </w:r>
            <w:r w:rsidRPr="00F23DD2">
              <w:rPr>
                <w:rFonts w:ascii="Times New Roman" w:hAnsi="Times New Roman" w:cs="Times New Roman"/>
                <w:bCs/>
                <w:iCs/>
                <w:sz w:val="24"/>
                <w:szCs w:val="24"/>
              </w:rPr>
              <w:t>0.</w:t>
            </w:r>
          </w:p>
        </w:tc>
        <w:tc>
          <w:tcPr>
            <w:tcW w:w="4588" w:type="dxa"/>
            <w:tcBorders>
              <w:bottom w:val="single" w:sz="4" w:space="0" w:color="auto"/>
            </w:tcBorders>
            <w:vAlign w:val="center"/>
          </w:tcPr>
          <w:p w14:paraId="51565949" w14:textId="2471FECD" w:rsidR="00BA136B" w:rsidRPr="00BA136B" w:rsidRDefault="00D82420" w:rsidP="00BA136B">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D85050" w:rsidRPr="00BA136B" w14:paraId="4BD92180" w14:textId="77777777" w:rsidTr="00E96A10">
        <w:trPr>
          <w:jc w:val="center"/>
        </w:trPr>
        <w:tc>
          <w:tcPr>
            <w:tcW w:w="704" w:type="dxa"/>
            <w:vAlign w:val="center"/>
          </w:tcPr>
          <w:p w14:paraId="4F6716A5" w14:textId="77777777" w:rsidR="00D85050" w:rsidRPr="00BA136B" w:rsidRDefault="00D85050" w:rsidP="00D85050">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40DC9C7F" w14:textId="2E352011" w:rsidR="00D85050" w:rsidRPr="00BA136B" w:rsidRDefault="00D85050" w:rsidP="00D85050">
            <w:pPr>
              <w:rPr>
                <w:rFonts w:ascii="Times New Roman" w:eastAsia="Calibri" w:hAnsi="Times New Roman" w:cs="Times New Roman"/>
                <w:color w:val="000000"/>
                <w:sz w:val="24"/>
                <w:szCs w:val="24"/>
                <w:lang w:eastAsia="en-GB"/>
              </w:rPr>
            </w:pPr>
            <w:r w:rsidRPr="00D85050">
              <w:rPr>
                <w:rFonts w:ascii="Times New Roman" w:eastAsia="Calibri" w:hAnsi="Times New Roman" w:cs="Times New Roman"/>
                <w:color w:val="000000"/>
                <w:sz w:val="24"/>
                <w:szCs w:val="24"/>
                <w:lang w:eastAsia="en-GB"/>
              </w:rPr>
              <w:t>Ekrano konstrukcija turi nesukelti interferencijų vaizde</w:t>
            </w:r>
            <w:r>
              <w:rPr>
                <w:rFonts w:ascii="Times New Roman" w:eastAsia="Calibri" w:hAnsi="Times New Roman" w:cs="Times New Roman"/>
                <w:color w:val="000000"/>
                <w:sz w:val="24"/>
                <w:szCs w:val="24"/>
                <w:lang w:eastAsia="en-GB"/>
              </w:rPr>
              <w:t xml:space="preserve"> (</w:t>
            </w:r>
            <w:r w:rsidRPr="00D85050">
              <w:rPr>
                <w:rFonts w:ascii="Times New Roman" w:eastAsia="Calibri" w:hAnsi="Times New Roman" w:cs="Times New Roman"/>
                <w:i/>
                <w:iCs/>
                <w:color w:val="000000"/>
                <w:sz w:val="24"/>
                <w:szCs w:val="24"/>
                <w:lang w:eastAsia="en-GB"/>
              </w:rPr>
              <w:t>moire</w:t>
            </w:r>
            <w:r>
              <w:rPr>
                <w:rFonts w:ascii="Times New Roman" w:eastAsia="Calibri" w:hAnsi="Times New Roman" w:cs="Times New Roman"/>
                <w:color w:val="000000"/>
                <w:sz w:val="24"/>
                <w:szCs w:val="24"/>
                <w:lang w:eastAsia="en-GB"/>
              </w:rPr>
              <w:t>), t.y.</w:t>
            </w:r>
            <w:r w:rsidRPr="00D85050">
              <w:rPr>
                <w:rFonts w:ascii="Times New Roman" w:eastAsia="Calibri" w:hAnsi="Times New Roman" w:cs="Times New Roman"/>
                <w:color w:val="000000"/>
                <w:sz w:val="24"/>
                <w:szCs w:val="24"/>
                <w:lang w:eastAsia="en-GB"/>
              </w:rPr>
              <w:t xml:space="preserve"> ekran</w:t>
            </w:r>
            <w:r>
              <w:rPr>
                <w:rFonts w:ascii="Times New Roman" w:eastAsia="Calibri" w:hAnsi="Times New Roman" w:cs="Times New Roman"/>
                <w:color w:val="000000"/>
                <w:sz w:val="24"/>
                <w:szCs w:val="24"/>
                <w:lang w:eastAsia="en-GB"/>
              </w:rPr>
              <w:t>as</w:t>
            </w:r>
            <w:r w:rsidRPr="00D85050">
              <w:rPr>
                <w:rFonts w:ascii="Times New Roman" w:eastAsia="Calibri" w:hAnsi="Times New Roman" w:cs="Times New Roman"/>
                <w:color w:val="000000"/>
                <w:sz w:val="24"/>
                <w:szCs w:val="24"/>
                <w:lang w:eastAsia="en-GB"/>
              </w:rPr>
              <w:t xml:space="preserve"> </w:t>
            </w:r>
            <w:r>
              <w:rPr>
                <w:rFonts w:ascii="Times New Roman" w:eastAsia="Calibri" w:hAnsi="Times New Roman" w:cs="Times New Roman"/>
                <w:color w:val="000000"/>
                <w:sz w:val="24"/>
                <w:szCs w:val="24"/>
                <w:lang w:eastAsia="en-GB"/>
              </w:rPr>
              <w:t xml:space="preserve">gali </w:t>
            </w:r>
            <w:r w:rsidRPr="00D85050">
              <w:rPr>
                <w:rFonts w:ascii="Times New Roman" w:eastAsia="Calibri" w:hAnsi="Times New Roman" w:cs="Times New Roman"/>
                <w:color w:val="000000"/>
                <w:sz w:val="24"/>
                <w:szCs w:val="24"/>
                <w:lang w:eastAsia="en-GB"/>
              </w:rPr>
              <w:t>būt</w:t>
            </w:r>
            <w:r>
              <w:rPr>
                <w:rFonts w:ascii="Times New Roman" w:eastAsia="Calibri" w:hAnsi="Times New Roman" w:cs="Times New Roman"/>
                <w:color w:val="000000"/>
                <w:sz w:val="24"/>
                <w:szCs w:val="24"/>
                <w:lang w:eastAsia="en-GB"/>
              </w:rPr>
              <w:t>i</w:t>
            </w:r>
            <w:r w:rsidRPr="00D85050">
              <w:rPr>
                <w:rFonts w:ascii="Times New Roman" w:eastAsia="Calibri" w:hAnsi="Times New Roman" w:cs="Times New Roman"/>
                <w:color w:val="000000"/>
                <w:sz w:val="24"/>
                <w:szCs w:val="24"/>
                <w:lang w:eastAsia="en-GB"/>
              </w:rPr>
              <w:t xml:space="preserve"> eksploatuo</w:t>
            </w:r>
            <w:r>
              <w:rPr>
                <w:rFonts w:ascii="Times New Roman" w:eastAsia="Calibri" w:hAnsi="Times New Roman" w:cs="Times New Roman"/>
                <w:color w:val="000000"/>
                <w:sz w:val="24"/>
                <w:szCs w:val="24"/>
                <w:lang w:eastAsia="en-GB"/>
              </w:rPr>
              <w:t>jamas</w:t>
            </w:r>
            <w:r w:rsidRPr="00D85050">
              <w:rPr>
                <w:rFonts w:ascii="Times New Roman" w:eastAsia="Calibri" w:hAnsi="Times New Roman" w:cs="Times New Roman"/>
                <w:color w:val="000000"/>
                <w:sz w:val="24"/>
                <w:szCs w:val="24"/>
                <w:lang w:eastAsia="en-GB"/>
              </w:rPr>
              <w:t xml:space="preserve"> be specialaus filtro (ang. “Anti-Moire”)</w:t>
            </w:r>
            <w:r>
              <w:rPr>
                <w:rFonts w:ascii="Times New Roman" w:eastAsia="Calibri" w:hAnsi="Times New Roman" w:cs="Times New Roman"/>
                <w:color w:val="000000"/>
                <w:sz w:val="24"/>
                <w:szCs w:val="24"/>
                <w:lang w:eastAsia="en-GB"/>
              </w:rPr>
              <w:t xml:space="preserve"> arba su filtru, jeigu pats ekranas tokios technologijos nepalaiko.</w:t>
            </w:r>
          </w:p>
        </w:tc>
        <w:tc>
          <w:tcPr>
            <w:tcW w:w="2520" w:type="dxa"/>
            <w:vAlign w:val="center"/>
          </w:tcPr>
          <w:p w14:paraId="0A9BD343" w14:textId="77777777" w:rsidR="00540A21" w:rsidRPr="00F23DD2" w:rsidRDefault="00540A21" w:rsidP="00540A21">
            <w:pPr>
              <w:jc w:val="center"/>
              <w:rPr>
                <w:rFonts w:ascii="Times New Roman" w:hAnsi="Times New Roman" w:cs="Times New Roman"/>
                <w:bCs/>
                <w:iCs/>
                <w:sz w:val="24"/>
                <w:szCs w:val="24"/>
              </w:rPr>
            </w:pPr>
            <w:r w:rsidRPr="00F23DD2">
              <w:rPr>
                <w:rFonts w:ascii="Times New Roman" w:hAnsi="Times New Roman" w:cs="Times New Roman"/>
                <w:bCs/>
                <w:iCs/>
                <w:sz w:val="24"/>
                <w:szCs w:val="24"/>
              </w:rPr>
              <w:t>Ekranas turi interferencinį (ang. “Anti-Moire”) filtrą, kuris panaikina muaro efektą, atspindžius nuo studijos apšvietimo lempų, neblogina matymo kampo, pagerina kontrastą (</w:t>
            </w:r>
            <w:r w:rsidRPr="00F23DD2">
              <w:rPr>
                <w:rFonts w:ascii="Times New Roman" w:hAnsi="Times New Roman" w:cs="Times New Roman"/>
                <w:iCs/>
              </w:rPr>
              <w:t xml:space="preserve"> </w:t>
            </w:r>
            <w:r w:rsidRPr="00F23DD2">
              <w:rPr>
                <w:rFonts w:ascii="Times New Roman" w:hAnsi="Times New Roman" w:cs="Times New Roman"/>
                <w:bCs/>
                <w:iCs/>
                <w:sz w:val="24"/>
                <w:szCs w:val="24"/>
              </w:rPr>
              <w:t>GOB</w:t>
            </w:r>
          </w:p>
          <w:p w14:paraId="170474C7" w14:textId="4DEDE5EC" w:rsidR="00540A21" w:rsidRPr="00F23DD2" w:rsidRDefault="00540A21" w:rsidP="00540A21">
            <w:pPr>
              <w:jc w:val="center"/>
              <w:rPr>
                <w:rFonts w:ascii="Times New Roman" w:hAnsi="Times New Roman" w:cs="Times New Roman"/>
                <w:bCs/>
                <w:iCs/>
                <w:sz w:val="24"/>
                <w:szCs w:val="24"/>
              </w:rPr>
            </w:pPr>
            <w:r w:rsidRPr="00F23DD2">
              <w:rPr>
                <w:rFonts w:ascii="Times New Roman" w:hAnsi="Times New Roman" w:cs="Times New Roman"/>
                <w:bCs/>
                <w:iCs/>
                <w:sz w:val="24"/>
                <w:szCs w:val="24"/>
              </w:rPr>
              <w:t>Technology (lower moire</w:t>
            </w:r>
          </w:p>
          <w:p w14:paraId="6A6C84D5" w14:textId="2100BC0E" w:rsidR="00D85050" w:rsidRPr="00F23DD2" w:rsidRDefault="00540A21" w:rsidP="00540A21">
            <w:pPr>
              <w:jc w:val="center"/>
              <w:rPr>
                <w:rFonts w:ascii="Times New Roman" w:eastAsia="Calibri" w:hAnsi="Times New Roman" w:cs="Times New Roman"/>
                <w:bCs/>
                <w:iCs/>
                <w:sz w:val="24"/>
                <w:szCs w:val="24"/>
                <w:lang w:eastAsia="en-GB"/>
              </w:rPr>
            </w:pPr>
            <w:r w:rsidRPr="00F23DD2">
              <w:rPr>
                <w:rFonts w:ascii="Times New Roman" w:hAnsi="Times New Roman" w:cs="Times New Roman"/>
                <w:bCs/>
                <w:iCs/>
                <w:sz w:val="24"/>
                <w:szCs w:val="24"/>
              </w:rPr>
              <w:t>phenomenon))</w:t>
            </w:r>
          </w:p>
        </w:tc>
        <w:tc>
          <w:tcPr>
            <w:tcW w:w="4588" w:type="dxa"/>
            <w:tcBorders>
              <w:tl2br w:val="single" w:sz="4" w:space="0" w:color="auto"/>
              <w:tr2bl w:val="single" w:sz="4" w:space="0" w:color="auto"/>
            </w:tcBorders>
            <w:vAlign w:val="center"/>
          </w:tcPr>
          <w:p w14:paraId="6030D145" w14:textId="383943D7" w:rsidR="00D85050" w:rsidRPr="00BA136B" w:rsidRDefault="00D85050" w:rsidP="00D85050">
            <w:pPr>
              <w:jc w:val="center"/>
              <w:rPr>
                <w:rFonts w:ascii="Times New Roman" w:eastAsia="Calibri" w:hAnsi="Times New Roman" w:cs="Times New Roman"/>
                <w:bCs/>
                <w:i/>
                <w:sz w:val="24"/>
                <w:szCs w:val="24"/>
                <w:lang w:eastAsia="en-GB"/>
              </w:rPr>
            </w:pPr>
          </w:p>
        </w:tc>
      </w:tr>
      <w:tr w:rsidR="00D85050" w:rsidRPr="00BA136B" w14:paraId="5156594D" w14:textId="77777777" w:rsidTr="00E96A10">
        <w:trPr>
          <w:jc w:val="center"/>
        </w:trPr>
        <w:tc>
          <w:tcPr>
            <w:tcW w:w="704" w:type="dxa"/>
            <w:vAlign w:val="center"/>
          </w:tcPr>
          <w:p w14:paraId="5156594B" w14:textId="77777777" w:rsidR="00D85050" w:rsidRPr="00BA136B" w:rsidRDefault="00D85050" w:rsidP="00D85050">
            <w:pPr>
              <w:numPr>
                <w:ilvl w:val="0"/>
                <w:numId w:val="3"/>
              </w:numPr>
              <w:contextualSpacing/>
              <w:jc w:val="center"/>
              <w:rPr>
                <w:rFonts w:ascii="Times New Roman" w:eastAsia="Times New Roman" w:hAnsi="Times New Roman" w:cs="Times New Roman"/>
                <w:b/>
                <w:bCs/>
                <w:color w:val="000000"/>
                <w:sz w:val="24"/>
                <w:szCs w:val="24"/>
              </w:rPr>
            </w:pPr>
          </w:p>
        </w:tc>
        <w:tc>
          <w:tcPr>
            <w:tcW w:w="9639" w:type="dxa"/>
            <w:gridSpan w:val="5"/>
          </w:tcPr>
          <w:p w14:paraId="5156594C" w14:textId="77777777" w:rsidR="00D85050" w:rsidRPr="00F23DD2" w:rsidRDefault="00D85050" w:rsidP="00D85050">
            <w:pPr>
              <w:rPr>
                <w:rFonts w:ascii="Times New Roman" w:eastAsia="Calibri" w:hAnsi="Times New Roman" w:cs="Times New Roman"/>
                <w:iCs/>
                <w:color w:val="000000"/>
                <w:sz w:val="24"/>
                <w:szCs w:val="24"/>
                <w:lang w:eastAsia="en-GB"/>
              </w:rPr>
            </w:pPr>
            <w:r w:rsidRPr="00F23DD2">
              <w:rPr>
                <w:rFonts w:ascii="Times New Roman" w:eastAsia="Calibri" w:hAnsi="Times New Roman" w:cs="Times New Roman"/>
                <w:b/>
                <w:bCs/>
                <w:iCs/>
                <w:color w:val="000000"/>
                <w:sz w:val="24"/>
                <w:szCs w:val="24"/>
                <w:lang w:eastAsia="en-GB"/>
              </w:rPr>
              <w:t>Bendri reikalavimai:</w:t>
            </w:r>
          </w:p>
        </w:tc>
      </w:tr>
      <w:tr w:rsidR="00D85050" w:rsidRPr="00BA136B" w14:paraId="51565952" w14:textId="77777777" w:rsidTr="00E96A10">
        <w:trPr>
          <w:jc w:val="center"/>
        </w:trPr>
        <w:tc>
          <w:tcPr>
            <w:tcW w:w="704" w:type="dxa"/>
            <w:vAlign w:val="center"/>
          </w:tcPr>
          <w:p w14:paraId="5156594E" w14:textId="77777777" w:rsidR="00D85050" w:rsidRPr="00BA136B" w:rsidRDefault="00D85050" w:rsidP="00D85050">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4F" w14:textId="77777777" w:rsidR="00D85050" w:rsidRPr="00BA136B" w:rsidRDefault="00D85050" w:rsidP="00D85050">
            <w:pPr>
              <w:jc w:val="both"/>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Turi atitikti CE standartus.</w:t>
            </w:r>
          </w:p>
        </w:tc>
        <w:tc>
          <w:tcPr>
            <w:tcW w:w="2520" w:type="dxa"/>
            <w:vAlign w:val="center"/>
          </w:tcPr>
          <w:p w14:paraId="51565950" w14:textId="4B09EA17" w:rsidR="00D85050" w:rsidRPr="00F23DD2" w:rsidRDefault="00A75391" w:rsidP="00D85050">
            <w:pPr>
              <w:jc w:val="center"/>
              <w:rPr>
                <w:rFonts w:ascii="Times New Roman" w:eastAsia="Calibri" w:hAnsi="Times New Roman" w:cs="Times New Roman"/>
                <w:iCs/>
                <w:color w:val="000000"/>
                <w:sz w:val="24"/>
                <w:szCs w:val="24"/>
                <w:lang w:eastAsia="en-GB"/>
              </w:rPr>
            </w:pPr>
            <w:r w:rsidRPr="00F23DD2">
              <w:rPr>
                <w:rFonts w:ascii="Times New Roman" w:hAnsi="Times New Roman" w:cs="Times New Roman"/>
                <w:bCs/>
                <w:iCs/>
                <w:sz w:val="24"/>
                <w:szCs w:val="24"/>
              </w:rPr>
              <w:t>Atitinka CE/EMC standartus.</w:t>
            </w:r>
          </w:p>
        </w:tc>
        <w:tc>
          <w:tcPr>
            <w:tcW w:w="4588" w:type="dxa"/>
            <w:tcBorders>
              <w:tl2br w:val="single" w:sz="4" w:space="0" w:color="auto"/>
              <w:tr2bl w:val="single" w:sz="4" w:space="0" w:color="auto"/>
            </w:tcBorders>
            <w:vAlign w:val="center"/>
          </w:tcPr>
          <w:p w14:paraId="51565951" w14:textId="77777777" w:rsidR="00D85050" w:rsidRPr="00BA136B" w:rsidRDefault="00D85050" w:rsidP="00D85050">
            <w:pPr>
              <w:jc w:val="center"/>
              <w:rPr>
                <w:rFonts w:ascii="Times New Roman" w:eastAsia="Calibri" w:hAnsi="Times New Roman" w:cs="Times New Roman"/>
                <w:i/>
                <w:iCs/>
                <w:color w:val="000000"/>
                <w:sz w:val="24"/>
                <w:szCs w:val="24"/>
                <w:lang w:eastAsia="en-GB"/>
              </w:rPr>
            </w:pPr>
          </w:p>
        </w:tc>
      </w:tr>
      <w:tr w:rsidR="00D85050" w:rsidRPr="00BA136B" w14:paraId="51565957" w14:textId="77777777" w:rsidTr="00E96A10">
        <w:trPr>
          <w:jc w:val="center"/>
        </w:trPr>
        <w:tc>
          <w:tcPr>
            <w:tcW w:w="704" w:type="dxa"/>
            <w:vAlign w:val="center"/>
          </w:tcPr>
          <w:p w14:paraId="51565953" w14:textId="77777777" w:rsidR="00D85050" w:rsidRPr="00BA136B" w:rsidRDefault="00D85050" w:rsidP="00D85050">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54" w14:textId="77777777" w:rsidR="00D85050" w:rsidRPr="00BA136B" w:rsidRDefault="00D85050" w:rsidP="00D85050">
            <w:pPr>
              <w:jc w:val="both"/>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Ne mažesnė kaip 5 metų garantija.</w:t>
            </w:r>
          </w:p>
        </w:tc>
        <w:tc>
          <w:tcPr>
            <w:tcW w:w="2520" w:type="dxa"/>
            <w:tcBorders>
              <w:bottom w:val="single" w:sz="4" w:space="0" w:color="auto"/>
            </w:tcBorders>
            <w:vAlign w:val="center"/>
          </w:tcPr>
          <w:p w14:paraId="51565955" w14:textId="57D4780C" w:rsidR="00D85050" w:rsidRPr="00F23DD2" w:rsidRDefault="0079742A" w:rsidP="0011791F">
            <w:pPr>
              <w:jc w:val="center"/>
              <w:rPr>
                <w:rFonts w:ascii="Times New Roman" w:eastAsia="Calibri" w:hAnsi="Times New Roman" w:cs="Times New Roman"/>
                <w:iCs/>
                <w:sz w:val="24"/>
                <w:szCs w:val="24"/>
              </w:rPr>
            </w:pPr>
            <w:r w:rsidRPr="00F23DD2">
              <w:rPr>
                <w:rFonts w:ascii="Times New Roman" w:hAnsi="Times New Roman" w:cs="Times New Roman"/>
                <w:bCs/>
                <w:iCs/>
                <w:sz w:val="24"/>
                <w:szCs w:val="24"/>
              </w:rPr>
              <w:t>5 metų garantija.</w:t>
            </w:r>
          </w:p>
        </w:tc>
        <w:tc>
          <w:tcPr>
            <w:tcW w:w="4588" w:type="dxa"/>
            <w:tcBorders>
              <w:tl2br w:val="single" w:sz="4" w:space="0" w:color="auto"/>
              <w:tr2bl w:val="single" w:sz="4" w:space="0" w:color="auto"/>
            </w:tcBorders>
            <w:vAlign w:val="center"/>
          </w:tcPr>
          <w:p w14:paraId="51565956" w14:textId="77777777" w:rsidR="00D85050" w:rsidRPr="00BA136B" w:rsidRDefault="00D85050" w:rsidP="00D85050">
            <w:pPr>
              <w:jc w:val="center"/>
              <w:rPr>
                <w:rFonts w:ascii="Times New Roman" w:eastAsia="Calibri" w:hAnsi="Times New Roman" w:cs="Times New Roman"/>
                <w:sz w:val="24"/>
                <w:szCs w:val="24"/>
              </w:rPr>
            </w:pPr>
          </w:p>
        </w:tc>
      </w:tr>
      <w:tr w:rsidR="00D85050" w:rsidRPr="00BA136B" w14:paraId="5156595C" w14:textId="77777777" w:rsidTr="00E96A10">
        <w:trPr>
          <w:jc w:val="center"/>
        </w:trPr>
        <w:tc>
          <w:tcPr>
            <w:tcW w:w="704" w:type="dxa"/>
            <w:vAlign w:val="center"/>
          </w:tcPr>
          <w:p w14:paraId="51565958" w14:textId="77777777" w:rsidR="00D85050" w:rsidRPr="00BA136B" w:rsidRDefault="00D85050" w:rsidP="00D85050">
            <w:pPr>
              <w:numPr>
                <w:ilvl w:val="1"/>
                <w:numId w:val="3"/>
              </w:numPr>
              <w:contextualSpacing/>
              <w:jc w:val="center"/>
              <w:rPr>
                <w:rFonts w:ascii="Times New Roman" w:eastAsia="Times New Roman" w:hAnsi="Times New Roman" w:cs="Times New Roman"/>
                <w:color w:val="000000"/>
                <w:sz w:val="24"/>
                <w:szCs w:val="24"/>
              </w:rPr>
            </w:pPr>
          </w:p>
        </w:tc>
        <w:tc>
          <w:tcPr>
            <w:tcW w:w="2531" w:type="dxa"/>
            <w:gridSpan w:val="3"/>
          </w:tcPr>
          <w:p w14:paraId="51565959" w14:textId="4BAE4891" w:rsidR="00D85050" w:rsidRPr="00BA136B" w:rsidRDefault="00D85050" w:rsidP="00D85050">
            <w:pPr>
              <w:rPr>
                <w:rFonts w:ascii="Times New Roman" w:eastAsia="Calibri" w:hAnsi="Times New Roman" w:cs="Times New Roman"/>
                <w:color w:val="000000"/>
                <w:sz w:val="24"/>
                <w:szCs w:val="24"/>
                <w:lang w:eastAsia="en-GB"/>
              </w:rPr>
            </w:pPr>
            <w:r w:rsidRPr="00BA136B">
              <w:rPr>
                <w:rFonts w:ascii="Times New Roman" w:eastAsia="Calibri" w:hAnsi="Times New Roman" w:cs="Times New Roman"/>
                <w:color w:val="000000"/>
                <w:sz w:val="24"/>
                <w:szCs w:val="24"/>
                <w:lang w:eastAsia="en-GB"/>
              </w:rPr>
              <w:t xml:space="preserve">Į </w:t>
            </w:r>
            <w:r w:rsidR="00A37548">
              <w:rPr>
                <w:rFonts w:ascii="Times New Roman" w:eastAsia="Calibri" w:hAnsi="Times New Roman" w:cs="Times New Roman"/>
                <w:color w:val="000000"/>
                <w:sz w:val="24"/>
                <w:szCs w:val="24"/>
                <w:lang w:eastAsia="en-GB"/>
              </w:rPr>
              <w:t xml:space="preserve">bendrą </w:t>
            </w:r>
            <w:r w:rsidRPr="00BA136B">
              <w:rPr>
                <w:rFonts w:ascii="Times New Roman" w:eastAsia="Calibri" w:hAnsi="Times New Roman" w:cs="Times New Roman"/>
                <w:color w:val="000000"/>
                <w:sz w:val="24"/>
                <w:szCs w:val="24"/>
                <w:lang w:eastAsia="en-GB"/>
              </w:rPr>
              <w:t xml:space="preserve">pasiūlymo kainą turi būti įskaičiuoti ekrano montavimo, paleidimo ir konfigūravimo darbai. </w:t>
            </w:r>
          </w:p>
        </w:tc>
        <w:tc>
          <w:tcPr>
            <w:tcW w:w="2520" w:type="dxa"/>
            <w:tcBorders>
              <w:tl2br w:val="single" w:sz="4" w:space="0" w:color="auto"/>
              <w:tr2bl w:val="single" w:sz="4" w:space="0" w:color="auto"/>
            </w:tcBorders>
            <w:vAlign w:val="center"/>
          </w:tcPr>
          <w:p w14:paraId="5156595A" w14:textId="1141B1BC" w:rsidR="00D85050" w:rsidRPr="00BA136B" w:rsidRDefault="00D85050" w:rsidP="00D85050">
            <w:pPr>
              <w:jc w:val="center"/>
              <w:rPr>
                <w:rFonts w:ascii="Times New Roman" w:eastAsia="Calibri" w:hAnsi="Times New Roman" w:cs="Times New Roman"/>
                <w:sz w:val="24"/>
                <w:szCs w:val="24"/>
              </w:rPr>
            </w:pPr>
          </w:p>
        </w:tc>
        <w:tc>
          <w:tcPr>
            <w:tcW w:w="4588" w:type="dxa"/>
            <w:tcBorders>
              <w:tl2br w:val="single" w:sz="4" w:space="0" w:color="auto"/>
              <w:tr2bl w:val="single" w:sz="4" w:space="0" w:color="auto"/>
            </w:tcBorders>
            <w:vAlign w:val="center"/>
          </w:tcPr>
          <w:p w14:paraId="5156595B" w14:textId="77777777" w:rsidR="00D85050" w:rsidRPr="00BA136B" w:rsidRDefault="00D85050" w:rsidP="00D85050">
            <w:pPr>
              <w:jc w:val="center"/>
              <w:rPr>
                <w:rFonts w:ascii="Times New Roman" w:eastAsia="Calibri" w:hAnsi="Times New Roman" w:cs="Times New Roman"/>
                <w:sz w:val="24"/>
                <w:szCs w:val="24"/>
              </w:rPr>
            </w:pPr>
          </w:p>
        </w:tc>
      </w:tr>
    </w:tbl>
    <w:p w14:paraId="5156595D" w14:textId="77777777" w:rsidR="00BA136B" w:rsidRDefault="00BA136B"/>
    <w:sectPr w:rsidR="00BA136B" w:rsidSect="001D47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59E32E32"/>
    <w:multiLevelType w:val="multilevel"/>
    <w:tmpl w:val="28EA0F6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FF0373E"/>
    <w:multiLevelType w:val="multilevel"/>
    <w:tmpl w:val="30AA7882"/>
    <w:lvl w:ilvl="0">
      <w:start w:val="1"/>
      <w:numFmt w:val="upperRoman"/>
      <w:suff w:val="space"/>
      <w:lvlText w:val="%1."/>
      <w:lvlJc w:val="left"/>
      <w:pPr>
        <w:ind w:left="0" w:firstLine="720"/>
      </w:pPr>
      <w:rPr>
        <w:rFonts w:hint="default"/>
      </w:rPr>
    </w:lvl>
    <w:lvl w:ilvl="1">
      <w:start w:val="1"/>
      <w:numFmt w:val="decimal"/>
      <w:suff w:val="space"/>
      <w:lvlText w:val="%2."/>
      <w:lvlJc w:val="left"/>
      <w:pPr>
        <w:ind w:left="0" w:firstLine="720"/>
      </w:pPr>
      <w:rPr>
        <w:rFonts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6B"/>
    <w:rsid w:val="00012283"/>
    <w:rsid w:val="00090218"/>
    <w:rsid w:val="000A10C7"/>
    <w:rsid w:val="000D3DA5"/>
    <w:rsid w:val="0011791F"/>
    <w:rsid w:val="0018031E"/>
    <w:rsid w:val="001D47D4"/>
    <w:rsid w:val="00222E82"/>
    <w:rsid w:val="00246DD6"/>
    <w:rsid w:val="00320395"/>
    <w:rsid w:val="00354594"/>
    <w:rsid w:val="00376BCE"/>
    <w:rsid w:val="003A53EB"/>
    <w:rsid w:val="003D4D75"/>
    <w:rsid w:val="003D7B45"/>
    <w:rsid w:val="003E7CA3"/>
    <w:rsid w:val="004023D9"/>
    <w:rsid w:val="00424422"/>
    <w:rsid w:val="00430C27"/>
    <w:rsid w:val="004E6A08"/>
    <w:rsid w:val="00537500"/>
    <w:rsid w:val="00540A21"/>
    <w:rsid w:val="00552A81"/>
    <w:rsid w:val="00596918"/>
    <w:rsid w:val="00685539"/>
    <w:rsid w:val="00754E68"/>
    <w:rsid w:val="00763C76"/>
    <w:rsid w:val="0079742A"/>
    <w:rsid w:val="00797C1A"/>
    <w:rsid w:val="007A6050"/>
    <w:rsid w:val="007B30BD"/>
    <w:rsid w:val="007C447D"/>
    <w:rsid w:val="008145AD"/>
    <w:rsid w:val="00873E2B"/>
    <w:rsid w:val="00881D6D"/>
    <w:rsid w:val="008825EE"/>
    <w:rsid w:val="008A03D0"/>
    <w:rsid w:val="008D3FBE"/>
    <w:rsid w:val="00921468"/>
    <w:rsid w:val="00957FC3"/>
    <w:rsid w:val="00973C39"/>
    <w:rsid w:val="00996585"/>
    <w:rsid w:val="009B374D"/>
    <w:rsid w:val="00A235B0"/>
    <w:rsid w:val="00A37548"/>
    <w:rsid w:val="00A75391"/>
    <w:rsid w:val="00A9038D"/>
    <w:rsid w:val="00AB31AC"/>
    <w:rsid w:val="00B069E6"/>
    <w:rsid w:val="00B31AF0"/>
    <w:rsid w:val="00B442A6"/>
    <w:rsid w:val="00B8332D"/>
    <w:rsid w:val="00BA136B"/>
    <w:rsid w:val="00BC5BB9"/>
    <w:rsid w:val="00BE0988"/>
    <w:rsid w:val="00C107B8"/>
    <w:rsid w:val="00C27399"/>
    <w:rsid w:val="00C37FD8"/>
    <w:rsid w:val="00C5734F"/>
    <w:rsid w:val="00C83A1B"/>
    <w:rsid w:val="00D14B97"/>
    <w:rsid w:val="00D82420"/>
    <w:rsid w:val="00D85050"/>
    <w:rsid w:val="00D906BE"/>
    <w:rsid w:val="00DD1A39"/>
    <w:rsid w:val="00DE089D"/>
    <w:rsid w:val="00E22188"/>
    <w:rsid w:val="00E81438"/>
    <w:rsid w:val="00E96A10"/>
    <w:rsid w:val="00EC2423"/>
    <w:rsid w:val="00F23DD2"/>
    <w:rsid w:val="00F72B0F"/>
    <w:rsid w:val="00F752B8"/>
    <w:rsid w:val="00F90A2B"/>
    <w:rsid w:val="00FD5462"/>
    <w:rsid w:val="00FE0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58D4"/>
  <w15:chartTrackingRefBased/>
  <w15:docId w15:val="{83965306-6AE2-4126-9948-10BE8CE1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39"/>
    <w:rsid w:val="00BA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34F"/>
    <w:rPr>
      <w:sz w:val="16"/>
      <w:szCs w:val="16"/>
    </w:rPr>
  </w:style>
  <w:style w:type="paragraph" w:styleId="CommentText">
    <w:name w:val="annotation text"/>
    <w:basedOn w:val="Normal"/>
    <w:link w:val="CommentTextChar"/>
    <w:uiPriority w:val="99"/>
    <w:semiHidden/>
    <w:unhideWhenUsed/>
    <w:rsid w:val="00C5734F"/>
    <w:pPr>
      <w:spacing w:line="240" w:lineRule="auto"/>
    </w:pPr>
    <w:rPr>
      <w:sz w:val="20"/>
      <w:szCs w:val="20"/>
    </w:rPr>
  </w:style>
  <w:style w:type="character" w:customStyle="1" w:styleId="CommentTextChar">
    <w:name w:val="Comment Text Char"/>
    <w:basedOn w:val="DefaultParagraphFont"/>
    <w:link w:val="CommentText"/>
    <w:uiPriority w:val="99"/>
    <w:semiHidden/>
    <w:rsid w:val="00C5734F"/>
    <w:rPr>
      <w:sz w:val="20"/>
      <w:szCs w:val="20"/>
    </w:rPr>
  </w:style>
  <w:style w:type="paragraph" w:styleId="CommentSubject">
    <w:name w:val="annotation subject"/>
    <w:basedOn w:val="CommentText"/>
    <w:next w:val="CommentText"/>
    <w:link w:val="CommentSubjectChar"/>
    <w:uiPriority w:val="99"/>
    <w:semiHidden/>
    <w:unhideWhenUsed/>
    <w:rsid w:val="00C5734F"/>
    <w:rPr>
      <w:b/>
      <w:bCs/>
    </w:rPr>
  </w:style>
  <w:style w:type="character" w:customStyle="1" w:styleId="CommentSubjectChar">
    <w:name w:val="Comment Subject Char"/>
    <w:basedOn w:val="CommentTextChar"/>
    <w:link w:val="CommentSubject"/>
    <w:uiPriority w:val="99"/>
    <w:semiHidden/>
    <w:rsid w:val="00C5734F"/>
    <w:rPr>
      <w:b/>
      <w:bCs/>
      <w:sz w:val="20"/>
      <w:szCs w:val="20"/>
    </w:rPr>
  </w:style>
  <w:style w:type="paragraph" w:styleId="BalloonText">
    <w:name w:val="Balloon Text"/>
    <w:basedOn w:val="Normal"/>
    <w:link w:val="BalloonTextChar"/>
    <w:uiPriority w:val="99"/>
    <w:semiHidden/>
    <w:unhideWhenUsed/>
    <w:rsid w:val="009B3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74D"/>
    <w:rPr>
      <w:rFonts w:ascii="Segoe UI" w:hAnsi="Segoe UI" w:cs="Segoe UI"/>
      <w:sz w:val="18"/>
      <w:szCs w:val="18"/>
    </w:rPr>
  </w:style>
  <w:style w:type="paragraph" w:styleId="ListParagraph">
    <w:name w:val="List Paragraph"/>
    <w:basedOn w:val="Normal"/>
    <w:uiPriority w:val="34"/>
    <w:qFormat/>
    <w:rsid w:val="008145AD"/>
    <w:pPr>
      <w:ind w:left="720"/>
      <w:contextualSpacing/>
    </w:pPr>
  </w:style>
  <w:style w:type="character" w:styleId="Hyperlink">
    <w:name w:val="Hyperlink"/>
    <w:basedOn w:val="DefaultParagraphFont"/>
    <w:uiPriority w:val="99"/>
    <w:unhideWhenUsed/>
    <w:rsid w:val="00FD5462"/>
    <w:rPr>
      <w:color w:val="0563C1" w:themeColor="hyperlink"/>
      <w:u w:val="single"/>
    </w:rPr>
  </w:style>
  <w:style w:type="character" w:styleId="UnresolvedMention">
    <w:name w:val="Unresolved Mention"/>
    <w:basedOn w:val="DefaultParagraphFont"/>
    <w:uiPriority w:val="99"/>
    <w:semiHidden/>
    <w:unhideWhenUsed/>
    <w:rsid w:val="00FD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79525">
      <w:bodyDiv w:val="1"/>
      <w:marLeft w:val="0"/>
      <w:marRight w:val="0"/>
      <w:marTop w:val="0"/>
      <w:marBottom w:val="0"/>
      <w:divBdr>
        <w:top w:val="none" w:sz="0" w:space="0" w:color="auto"/>
        <w:left w:val="none" w:sz="0" w:space="0" w:color="auto"/>
        <w:bottom w:val="none" w:sz="0" w:space="0" w:color="auto"/>
        <w:right w:val="none" w:sz="0" w:space="0" w:color="auto"/>
      </w:divBdr>
      <w:divsChild>
        <w:div w:id="1445886399">
          <w:marLeft w:val="0"/>
          <w:marRight w:val="0"/>
          <w:marTop w:val="0"/>
          <w:marBottom w:val="0"/>
          <w:divBdr>
            <w:top w:val="none" w:sz="0" w:space="0" w:color="auto"/>
            <w:left w:val="none" w:sz="0" w:space="0" w:color="auto"/>
            <w:bottom w:val="none" w:sz="0" w:space="0" w:color="auto"/>
            <w:right w:val="none" w:sz="0" w:space="0" w:color="auto"/>
          </w:divBdr>
        </w:div>
      </w:divsChild>
    </w:div>
    <w:div w:id="1312560947">
      <w:bodyDiv w:val="1"/>
      <w:marLeft w:val="0"/>
      <w:marRight w:val="0"/>
      <w:marTop w:val="0"/>
      <w:marBottom w:val="0"/>
      <w:divBdr>
        <w:top w:val="none" w:sz="0" w:space="0" w:color="auto"/>
        <w:left w:val="none" w:sz="0" w:space="0" w:color="auto"/>
        <w:bottom w:val="none" w:sz="0" w:space="0" w:color="auto"/>
        <w:right w:val="none" w:sz="0" w:space="0" w:color="auto"/>
      </w:divBdr>
    </w:div>
    <w:div w:id="13817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AA630-4650-49F7-86A0-55FDD2E22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49235-6F0B-449D-83F8-374FA5984C49}">
  <ds:schemaRefs>
    <ds:schemaRef ds:uri="http://schemas.microsoft.com/sharepoint/v3/contenttype/forms"/>
  </ds:schemaRefs>
</ds:datastoreItem>
</file>

<file path=customXml/itemProps3.xml><?xml version="1.0" encoding="utf-8"?>
<ds:datastoreItem xmlns:ds="http://schemas.openxmlformats.org/officeDocument/2006/customXml" ds:itemID="{559C2354-FC9C-4A50-B53E-CBD81361B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1703</Words>
  <Characters>9708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dc:creator>
  <cp:keywords/>
  <dc:description/>
  <cp:lastModifiedBy>Paulius Augys</cp:lastModifiedBy>
  <cp:revision>73</cp:revision>
  <dcterms:created xsi:type="dcterms:W3CDTF">2021-07-22T20:32:00Z</dcterms:created>
  <dcterms:modified xsi:type="dcterms:W3CDTF">2021-08-31T21:00:00Z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