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BF6D4D5"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48C18333"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3E140593"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 xml:space="preserve">Paslaugų teikėjo teikiant Paslaugas patirtos neišvengiamos išlaidos (tokios, kaip notarų, antstolių, viešojo administravimo subjektų ar valstybės mokesčiai, rinkliavos, atlygiai, valstybės registrų ir kitokių duomenų bazių naudojimo mokesčiai, rinkliavos, </w:t>
      </w:r>
      <w:r w:rsidR="009B298F">
        <w:rPr>
          <w:rFonts w:ascii="Arial" w:hAnsi="Arial" w:cs="Arial"/>
          <w:color w:val="000000"/>
        </w:rPr>
        <w:lastRenderedPageBreak/>
        <w:t>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paslaugų suteikimas turi būti iš anksto suderintas su </w:t>
      </w:r>
      <w:r>
        <w:rPr>
          <w:rFonts w:ascii="Arial" w:hAnsi="Arial" w:cs="Arial"/>
        </w:rPr>
        <w:t>Užsakovu</w:t>
      </w:r>
      <w:r w:rsidR="00F676B7" w:rsidRPr="001815C5">
        <w:rPr>
          <w:rFonts w:ascii="Arial" w:hAnsi="Arial" w:cs="Arial"/>
        </w:rPr>
        <w:t>, o taip pat po tokių paslaugų suteikimo,</w:t>
      </w:r>
      <w:r w:rsidR="00BE34DD">
        <w:rPr>
          <w:rFonts w:ascii="Arial" w:hAnsi="Arial" w:cs="Arial"/>
        </w:rPr>
        <w:t xml:space="preserve"> Užsakovui pareikalavus,</w:t>
      </w:r>
      <w:r w:rsidR="00F676B7" w:rsidRPr="001815C5">
        <w:rPr>
          <w:rFonts w:ascii="Arial" w:hAnsi="Arial" w:cs="Arial"/>
        </w:rPr>
        <w:t xml:space="preserve"> Paslaugų teikėjas, pateik</w:t>
      </w:r>
      <w:r w:rsidR="00126B76">
        <w:rPr>
          <w:rFonts w:ascii="Arial" w:hAnsi="Arial" w:cs="Arial"/>
        </w:rPr>
        <w:t>s</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1C19435A"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w:t>
      </w:r>
      <w:r w:rsidR="000D761C">
        <w:rPr>
          <w:rFonts w:ascii="Arial" w:hAnsi="Arial" w:cs="Arial"/>
        </w:rPr>
        <w:t>T</w:t>
      </w:r>
      <w:r w:rsidRPr="00E34141">
        <w:rPr>
          <w:rFonts w:ascii="Arial" w:hAnsi="Arial" w:cs="Arial"/>
        </w:rPr>
        <w:t xml:space="preserve">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w:t>
      </w:r>
      <w:r w:rsidR="000D761C">
        <w:rPr>
          <w:rFonts w:ascii="Arial" w:hAnsi="Arial" w:cs="Arial"/>
        </w:rPr>
        <w:t>T</w:t>
      </w:r>
      <w:r w:rsidRPr="00E34141">
        <w:rPr>
          <w:rFonts w:ascii="Arial" w:hAnsi="Arial" w:cs="Arial"/>
        </w:rPr>
        <w:t xml:space="preserve">rečiosios šalies teikiamų paslaugų </w:t>
      </w:r>
      <w:r w:rsidR="008D133F">
        <w:rPr>
          <w:rFonts w:ascii="Arial" w:hAnsi="Arial" w:cs="Arial"/>
        </w:rPr>
        <w:t>apimtį</w:t>
      </w:r>
      <w:r w:rsidRPr="00E34141">
        <w:rPr>
          <w:rFonts w:ascii="Arial" w:hAnsi="Arial" w:cs="Arial"/>
        </w:rPr>
        <w:t xml:space="preserve">.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rečiosios šalies tinkamą atitinkamos paslaugos įvykdymą, paslaugos kokybę ir jos atlikimą laiku;</w:t>
      </w:r>
    </w:p>
    <w:p w14:paraId="732A806C" w14:textId="3DE1E212" w:rsidR="002F1DBD" w:rsidRDefault="00F676B7" w:rsidP="000E74F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w:t>
      </w:r>
    </w:p>
    <w:p w14:paraId="7368A5D4" w14:textId="1DAAB404"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3E8832BC"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p>
    <w:p w14:paraId="232660AC" w14:textId="77777777" w:rsidR="00B2689E"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77777777" w:rsidR="00B2689E" w:rsidRDefault="00B2689E" w:rsidP="00461F58">
      <w:pPr>
        <w:pStyle w:val="ListParagraph"/>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01F7621" w14:textId="77777777" w:rsidR="00B2689E" w:rsidRPr="005F3836" w:rsidRDefault="00B2689E" w:rsidP="00461F58">
      <w:pPr>
        <w:pStyle w:val="ListParagraph"/>
        <w:numPr>
          <w:ilvl w:val="1"/>
          <w:numId w:val="1"/>
        </w:numPr>
        <w:ind w:left="0" w:firstLine="0"/>
        <w:jc w:val="both"/>
        <w:rPr>
          <w:rFonts w:ascii="Arial" w:hAnsi="Arial" w:cs="Arial"/>
        </w:rPr>
      </w:pPr>
      <w:r>
        <w:rPr>
          <w:rFonts w:ascii="Arial" w:hAnsi="Arial" w:cs="Arial"/>
        </w:rPr>
        <w:t>Užsakovui nepatvirtinus Akto ir (arba) nenustačius trūkumų Sutartyje nustatyta tvarka ir (arba) terminais, l</w:t>
      </w:r>
      <w:r w:rsidRPr="009E373D">
        <w:rPr>
          <w:rFonts w:ascii="Arial" w:hAnsi="Arial" w:cs="Arial"/>
        </w:rPr>
        <w:t>aikoma</w:t>
      </w:r>
      <w:r>
        <w:rPr>
          <w:rFonts w:ascii="Arial" w:hAnsi="Arial" w:cs="Arial"/>
        </w:rPr>
        <w:t>, kad Aktas iš Užsakovo pusės yra patvirtintas</w:t>
      </w:r>
      <w:r w:rsidRPr="009E373D">
        <w:rPr>
          <w:rFonts w:ascii="Arial" w:hAnsi="Arial" w:cs="Arial"/>
        </w:rPr>
        <w:t xml:space="preserve"> </w:t>
      </w:r>
      <w:r>
        <w:rPr>
          <w:rFonts w:ascii="Arial" w:hAnsi="Arial" w:cs="Arial"/>
        </w:rPr>
        <w:t>(</w:t>
      </w:r>
      <w:r w:rsidRPr="009E373D">
        <w:rPr>
          <w:rFonts w:ascii="Arial" w:hAnsi="Arial" w:cs="Arial"/>
        </w:rPr>
        <w:t>pasirašytas</w:t>
      </w:r>
      <w:r>
        <w:rPr>
          <w:rFonts w:ascii="Arial" w:hAnsi="Arial" w:cs="Arial"/>
        </w:rPr>
        <w:t>)</w:t>
      </w:r>
      <w:r w:rsidRPr="009E373D">
        <w:rPr>
          <w:rFonts w:ascii="Arial" w:hAnsi="Arial" w:cs="Arial"/>
        </w:rPr>
        <w:t xml:space="preserve">, o </w:t>
      </w:r>
      <w:r>
        <w:rPr>
          <w:rFonts w:ascii="Arial" w:hAnsi="Arial" w:cs="Arial"/>
        </w:rPr>
        <w:t xml:space="preserve">jo pagrindu Paslaugų teikėjo išrašyta PVM </w:t>
      </w:r>
      <w:r w:rsidRPr="009E373D">
        <w:rPr>
          <w:rFonts w:ascii="Arial" w:hAnsi="Arial" w:cs="Arial"/>
        </w:rPr>
        <w:t>sąskaita</w:t>
      </w:r>
      <w:r>
        <w:rPr>
          <w:rFonts w:ascii="Arial" w:hAnsi="Arial" w:cs="Arial"/>
        </w:rPr>
        <w:t xml:space="preserve">-faktūra yra </w:t>
      </w:r>
      <w:r w:rsidRPr="009E373D">
        <w:rPr>
          <w:rFonts w:ascii="Arial" w:hAnsi="Arial" w:cs="Arial"/>
        </w:rPr>
        <w:t>priimta</w:t>
      </w:r>
      <w:r>
        <w:rPr>
          <w:rFonts w:ascii="Arial" w:hAnsi="Arial" w:cs="Arial"/>
        </w:rPr>
        <w:t>.</w:t>
      </w:r>
    </w:p>
    <w:p w14:paraId="058FA045" w14:textId="77777777" w:rsidR="00081D19" w:rsidRPr="00E34141" w:rsidRDefault="00081D19" w:rsidP="00461F58">
      <w:pPr>
        <w:tabs>
          <w:tab w:val="left" w:pos="709"/>
        </w:tabs>
        <w:jc w:val="both"/>
        <w:rPr>
          <w:rFonts w:ascii="Arial" w:hAnsi="Arial" w:cs="Arial"/>
        </w:rPr>
      </w:pP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6AAD10C8"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Užsakovui Sutarties nustatyta tvarka ir būdu patvirtinus Aktą, Paslaugų teikėjas per 2 (dvi) darbo dienas išrašo PVM sąskaitą-faktūrą už per praėjusį ataskaitinį laikotarpį Užsakovui suteiktas Paslaugas, bet ne vėliau kaip iki 10 (dešimtos) kalendorinės einamojo mėnesio dienos.</w:t>
      </w:r>
    </w:p>
    <w:p w14:paraId="141FF1F3" w14:textId="77777777"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Paslaugų teikėjas PVM sąskaitą-faktūrą pateikia naudodamasis elektronine paslauga „E. sąskaita“ (elektroninės paslaugos „E. sąskaita“ svetainė pasiekiama adresu www.esaskaita.eu)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 xml:space="preserve">Tuo atveju, jei Užsakovas vėluoja visa apimtimi ar iš dalies apmokėti Paslaugų teikėjo pateiktą PVM sąskaitą-faktūrą (įskaitant atvejus, kai paaiškėja, kad Užsakovas buvo nepagrįstai sustabdęs apmokėjimą), </w:t>
      </w:r>
      <w:r w:rsidRPr="003258A5">
        <w:rPr>
          <w:rFonts w:ascii="Arial" w:hAnsi="Arial" w:cs="Arial"/>
        </w:rPr>
        <w:lastRenderedPageBreak/>
        <w:t>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BodyText"/>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0B17BBD5"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79E970A7"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w:t>
      </w:r>
      <w:r w:rsidR="002A2E2D">
        <w:rPr>
          <w:rFonts w:ascii="Arial" w:hAnsi="Arial" w:cs="Arial"/>
          <w:sz w:val="20"/>
        </w:rPr>
        <w:t>T</w:t>
      </w:r>
      <w:r w:rsidRPr="0033768C">
        <w:rPr>
          <w:rFonts w:ascii="Arial" w:hAnsi="Arial" w:cs="Arial"/>
          <w:sz w:val="20"/>
        </w:rPr>
        <w:t>rečiosiomis šalimis laikytis AB „</w:t>
      </w:r>
      <w:proofErr w:type="spellStart"/>
      <w:r w:rsidRPr="0033768C">
        <w:rPr>
          <w:rFonts w:ascii="Arial" w:hAnsi="Arial" w:cs="Arial"/>
          <w:sz w:val="20"/>
        </w:rPr>
        <w:t>Ignitis</w:t>
      </w:r>
      <w:proofErr w:type="spellEnd"/>
      <w:r w:rsidRPr="0033768C">
        <w:rPr>
          <w:rFonts w:ascii="Arial" w:hAnsi="Arial" w:cs="Arial"/>
          <w:sz w:val="20"/>
        </w:rPr>
        <w:t xml:space="preserve"> grupė“ valdybos sprendimais patvirtintų Antikorupcinės politikos (toliau Sutartyje – </w:t>
      </w:r>
      <w:r w:rsidR="00E26E30">
        <w:rPr>
          <w:rFonts w:ascii="Arial" w:hAnsi="Arial" w:cs="Arial"/>
          <w:sz w:val="20"/>
        </w:rPr>
        <w:t>P</w:t>
      </w:r>
      <w:r w:rsidRPr="0033768C">
        <w:rPr>
          <w:rFonts w:ascii="Arial" w:hAnsi="Arial" w:cs="Arial"/>
          <w:sz w:val="20"/>
        </w:rPr>
        <w:t>olitika)</w:t>
      </w:r>
      <w:r w:rsidR="00687CC6">
        <w:rPr>
          <w:rFonts w:ascii="Arial" w:hAnsi="Arial" w:cs="Arial"/>
          <w:sz w:val="20"/>
        </w:rPr>
        <w:t>,</w:t>
      </w:r>
      <w:r w:rsidRPr="0033768C">
        <w:rPr>
          <w:rFonts w:ascii="Arial" w:hAnsi="Arial" w:cs="Arial"/>
          <w:sz w:val="20"/>
        </w:rPr>
        <w:t xml:space="preserve"> Etikos </w:t>
      </w:r>
      <w:r w:rsidRPr="0033768C">
        <w:rPr>
          <w:rFonts w:ascii="Arial" w:hAnsi="Arial" w:cs="Arial"/>
          <w:sz w:val="20"/>
        </w:rPr>
        <w:lastRenderedPageBreak/>
        <w:t xml:space="preserve">kodekso </w:t>
      </w:r>
      <w:r w:rsidR="00687CC6">
        <w:rPr>
          <w:rFonts w:ascii="Arial" w:hAnsi="Arial" w:cs="Arial"/>
          <w:sz w:val="20"/>
        </w:rPr>
        <w:t xml:space="preserve">ir Tiekėjų etikos kodekso </w:t>
      </w:r>
      <w:r w:rsidRPr="0033768C">
        <w:rPr>
          <w:rFonts w:ascii="Arial" w:hAnsi="Arial" w:cs="Arial"/>
          <w:sz w:val="20"/>
        </w:rPr>
        <w:t xml:space="preserve">(toliau </w:t>
      </w:r>
      <w:r w:rsidR="00687CC6">
        <w:rPr>
          <w:rFonts w:ascii="Arial" w:hAnsi="Arial" w:cs="Arial"/>
          <w:sz w:val="20"/>
        </w:rPr>
        <w:t xml:space="preserve">abu kartu </w:t>
      </w:r>
      <w:r w:rsidRPr="0033768C">
        <w:rPr>
          <w:rFonts w:ascii="Arial" w:hAnsi="Arial" w:cs="Arial"/>
          <w:sz w:val="20"/>
        </w:rPr>
        <w:t xml:space="preserve">Sutartyje – </w:t>
      </w:r>
      <w:r w:rsidR="00E26E30">
        <w:rPr>
          <w:rFonts w:ascii="Arial" w:hAnsi="Arial" w:cs="Arial"/>
          <w:sz w:val="20"/>
        </w:rPr>
        <w:t>K</w:t>
      </w:r>
      <w:r w:rsidRPr="0033768C">
        <w:rPr>
          <w:rFonts w:ascii="Arial" w:hAnsi="Arial" w:cs="Arial"/>
          <w:sz w:val="20"/>
        </w:rPr>
        <w:t>odeksa</w:t>
      </w:r>
      <w:r w:rsidR="00687CC6">
        <w:rPr>
          <w:rFonts w:ascii="Arial" w:hAnsi="Arial" w:cs="Arial"/>
          <w:sz w:val="20"/>
        </w:rPr>
        <w:t>i</w:t>
      </w:r>
      <w:r w:rsidRPr="0033768C">
        <w:rPr>
          <w:rFonts w:ascii="Arial" w:hAnsi="Arial" w:cs="Arial"/>
          <w:sz w:val="20"/>
        </w:rPr>
        <w:t xml:space="preserve">) nuostatų, įtvirtinančių gerosios verslo praktikos, etikos ir elgesio normas. Paslaugų teikėjas privalo užtikrinti, kad šio punkto reikalavimų laikytųsi </w:t>
      </w:r>
      <w:r w:rsidR="00FB1759">
        <w:rPr>
          <w:rFonts w:ascii="Arial" w:hAnsi="Arial" w:cs="Arial"/>
          <w:sz w:val="20"/>
        </w:rPr>
        <w:t xml:space="preserve">tiek </w:t>
      </w:r>
      <w:r w:rsidRPr="0033768C">
        <w:rPr>
          <w:rFonts w:ascii="Arial" w:hAnsi="Arial" w:cs="Arial"/>
          <w:sz w:val="20"/>
        </w:rPr>
        <w:t>Paslaugų teikėj</w:t>
      </w:r>
      <w:r w:rsidR="00FB1759">
        <w:rPr>
          <w:rFonts w:ascii="Arial" w:hAnsi="Arial" w:cs="Arial"/>
          <w:sz w:val="20"/>
        </w:rPr>
        <w:t>o, tiek</w:t>
      </w:r>
      <w:r w:rsidRPr="0033768C">
        <w:rPr>
          <w:rFonts w:ascii="Arial" w:hAnsi="Arial" w:cs="Arial"/>
          <w:sz w:val="20"/>
        </w:rPr>
        <w:t xml:space="preserve"> ir</w:t>
      </w:r>
      <w:r w:rsidR="00FB1759">
        <w:rPr>
          <w:rFonts w:ascii="Arial" w:hAnsi="Arial" w:cs="Arial"/>
          <w:sz w:val="20"/>
        </w:rPr>
        <w:t xml:space="preserve"> jo</w:t>
      </w:r>
      <w:r w:rsidRPr="0033768C">
        <w:rPr>
          <w:rFonts w:ascii="Arial" w:hAnsi="Arial" w:cs="Arial"/>
          <w:sz w:val="20"/>
        </w:rPr>
        <w:t xml:space="preserve"> Sutarties vykdymui pasitelkiamų </w:t>
      </w:r>
      <w:r w:rsidR="00687CC6">
        <w:rPr>
          <w:rFonts w:ascii="Arial" w:hAnsi="Arial" w:cs="Arial"/>
          <w:sz w:val="20"/>
        </w:rPr>
        <w:t>T</w:t>
      </w:r>
      <w:r w:rsidRPr="0033768C">
        <w:rPr>
          <w:rFonts w:ascii="Arial" w:hAnsi="Arial" w:cs="Arial"/>
          <w:sz w:val="20"/>
        </w:rPr>
        <w:t>rečiųjų šalių darbuotojai</w:t>
      </w:r>
      <w:r w:rsidR="00FB1759">
        <w:rPr>
          <w:rFonts w:ascii="Arial" w:hAnsi="Arial" w:cs="Arial"/>
          <w:sz w:val="20"/>
        </w:rPr>
        <w:t>, valdymo</w:t>
      </w:r>
      <w:r w:rsidRPr="0033768C">
        <w:rPr>
          <w:rFonts w:ascii="Arial" w:hAnsi="Arial" w:cs="Arial"/>
          <w:sz w:val="20"/>
        </w:rPr>
        <w:t xml:space="preserve"> ir </w:t>
      </w:r>
      <w:r w:rsidR="004F5C67">
        <w:rPr>
          <w:rFonts w:ascii="Arial" w:hAnsi="Arial" w:cs="Arial"/>
          <w:sz w:val="20"/>
        </w:rPr>
        <w:t>priežiūros organų nariai</w:t>
      </w:r>
      <w:r w:rsidRPr="0033768C">
        <w:rPr>
          <w:rFonts w:ascii="Arial" w:hAnsi="Arial" w:cs="Arial"/>
          <w:sz w:val="20"/>
        </w:rPr>
        <w:t xml:space="preserve"> </w:t>
      </w:r>
      <w:r w:rsidR="004F5C67">
        <w:rPr>
          <w:rFonts w:ascii="Arial" w:hAnsi="Arial" w:cs="Arial"/>
          <w:sz w:val="20"/>
        </w:rPr>
        <w:t>bei</w:t>
      </w:r>
      <w:r w:rsidRPr="0033768C">
        <w:rPr>
          <w:rFonts w:ascii="Arial" w:hAnsi="Arial" w:cs="Arial"/>
          <w:sz w:val="20"/>
        </w:rPr>
        <w:t xml:space="preserve"> kiti atstovai;</w:t>
      </w:r>
    </w:p>
    <w:p w14:paraId="51EFD2F0" w14:textId="4741B96B" w:rsidR="004F5C67" w:rsidRDefault="00ED6E10" w:rsidP="00CB3502">
      <w:pPr>
        <w:pStyle w:val="BodyText"/>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14A97281" w14:textId="5AA39DF6"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5D97848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lastRenderedPageBreak/>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w:t>
      </w:r>
      <w:proofErr w:type="spellStart"/>
      <w:r w:rsidR="000F28E2" w:rsidRPr="000F28E2">
        <w:rPr>
          <w:rFonts w:ascii="Arial" w:hAnsi="Arial" w:cs="Arial"/>
        </w:rPr>
        <w:t>Ignitis</w:t>
      </w:r>
      <w:proofErr w:type="spellEnd"/>
      <w:r w:rsidR="000F28E2" w:rsidRPr="000F28E2">
        <w:rPr>
          <w:rFonts w:ascii="Arial" w:hAnsi="Arial" w:cs="Arial"/>
        </w:rPr>
        <w:t xml:space="preserve">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AB „</w:t>
      </w:r>
      <w:proofErr w:type="spellStart"/>
      <w:r w:rsidR="002D79D5" w:rsidRPr="002D79D5">
        <w:rPr>
          <w:rFonts w:ascii="Arial" w:hAnsi="Arial" w:cs="Arial"/>
        </w:rPr>
        <w:t>Ignitis</w:t>
      </w:r>
      <w:proofErr w:type="spellEnd"/>
      <w:r w:rsidR="002D79D5" w:rsidRPr="002D79D5">
        <w:rPr>
          <w:rFonts w:ascii="Arial" w:hAnsi="Arial" w:cs="Arial"/>
        </w:rPr>
        <w:t xml:space="preserve">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2C5EA2C3"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lastRenderedPageBreak/>
        <w:t>Šalių atsakomybė yra ribota ir neviršys</w:t>
      </w:r>
      <w:r w:rsidR="00592B0F">
        <w:rPr>
          <w:rFonts w:ascii="Arial" w:hAnsi="Arial" w:cs="Arial"/>
        </w:rPr>
        <w:t xml:space="preserve"> metinės sutarties vertės</w:t>
      </w:r>
      <w:r w:rsidR="007F2AE3">
        <w:rPr>
          <w:rFonts w:ascii="Arial" w:hAnsi="Arial" w:cs="Arial"/>
        </w:rPr>
        <w:t>, bet kuriuo atveju ne daugiau negu</w:t>
      </w:r>
      <w:r w:rsidRPr="002273CA">
        <w:rPr>
          <w:rFonts w:ascii="Arial" w:hAnsi="Arial" w:cs="Arial"/>
        </w:rPr>
        <w:t xml:space="preserve"> </w:t>
      </w:r>
      <w:r w:rsidR="00BE58A4">
        <w:rPr>
          <w:rFonts w:ascii="Arial" w:hAnsi="Arial" w:cs="Arial"/>
        </w:rPr>
        <w:t>3</w:t>
      </w:r>
      <w:r w:rsidRPr="002273CA">
        <w:rPr>
          <w:rFonts w:ascii="Arial" w:hAnsi="Arial" w:cs="Arial"/>
        </w:rPr>
        <w:t>00 000 EUR (</w:t>
      </w:r>
      <w:r w:rsidR="00BE58A4">
        <w:rPr>
          <w:rFonts w:ascii="Arial" w:hAnsi="Arial" w:cs="Arial"/>
        </w:rPr>
        <w:t>trys</w:t>
      </w:r>
      <w:r w:rsidR="002273CA" w:rsidRPr="002273CA">
        <w:rPr>
          <w:rFonts w:ascii="Arial" w:hAnsi="Arial" w:cs="Arial"/>
        </w:rPr>
        <w:t xml:space="preserve"> šimt</w:t>
      </w:r>
      <w:r w:rsidR="003E43D1">
        <w:rPr>
          <w:rFonts w:ascii="Arial" w:hAnsi="Arial" w:cs="Arial"/>
        </w:rPr>
        <w:t>ai</w:t>
      </w:r>
      <w:r w:rsidR="002273CA" w:rsidRPr="002273CA">
        <w:rPr>
          <w:rFonts w:ascii="Arial" w:hAnsi="Arial" w:cs="Arial"/>
        </w:rPr>
        <w:t xml:space="preserve"> tūkstančių</w:t>
      </w:r>
      <w:r w:rsidRPr="002273CA">
        <w:rPr>
          <w:rFonts w:ascii="Arial" w:hAnsi="Arial" w:cs="Arial"/>
        </w:rPr>
        <w:t xml:space="preserve"> eurų), išskyrus kai žala ar nuostoliai atsirado dėl Šalies tyčios ar didelio neatsargumo</w:t>
      </w:r>
      <w:r w:rsidR="005D35E6">
        <w:rPr>
          <w:rFonts w:ascii="Arial" w:hAnsi="Arial" w:cs="Arial"/>
        </w:rPr>
        <w:t xml:space="preserve"> ar </w:t>
      </w:r>
      <w:r w:rsidR="005E270D">
        <w:rPr>
          <w:rFonts w:ascii="Arial" w:hAnsi="Arial" w:cs="Arial"/>
        </w:rPr>
        <w:t>atlyginami Paslaugų teikėjo tiesioginiai nuostoliai, susiję su ilgalaik</w:t>
      </w:r>
      <w:r w:rsidR="003B0118">
        <w:rPr>
          <w:rFonts w:ascii="Arial" w:hAnsi="Arial" w:cs="Arial"/>
        </w:rPr>
        <w:t xml:space="preserve">ių </w:t>
      </w:r>
      <w:r w:rsidR="005E270D">
        <w:rPr>
          <w:rFonts w:ascii="Arial" w:hAnsi="Arial" w:cs="Arial"/>
        </w:rPr>
        <w:t>Paslaug</w:t>
      </w:r>
      <w:r w:rsidR="003B0118">
        <w:rPr>
          <w:rFonts w:ascii="Arial" w:hAnsi="Arial" w:cs="Arial"/>
        </w:rPr>
        <w:t>ų teikimu</w:t>
      </w:r>
      <w:r w:rsidR="005E270D">
        <w:rPr>
          <w:rFonts w:ascii="Arial" w:hAnsi="Arial" w:cs="Arial"/>
        </w:rPr>
        <w:t xml:space="preserve"> (taip, kaip jos apibrėžtos </w:t>
      </w:r>
      <w:r w:rsidR="004F08DF">
        <w:rPr>
          <w:rFonts w:ascii="Arial" w:hAnsi="Arial" w:cs="Arial"/>
        </w:rPr>
        <w:t xml:space="preserve">Sutarties BD </w:t>
      </w:r>
      <w:r w:rsidR="005E270D">
        <w:rPr>
          <w:rFonts w:ascii="Arial" w:hAnsi="Arial" w:cs="Arial"/>
        </w:rPr>
        <w:t>10.4 punkte)</w:t>
      </w:r>
      <w:r w:rsidRPr="002273CA">
        <w:rPr>
          <w:rFonts w:ascii="Arial" w:hAnsi="Arial" w:cs="Arial"/>
        </w:rPr>
        <w:t xml:space="preserv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w:t>
      </w:r>
      <w:r w:rsidRPr="00BF06A5">
        <w:rPr>
          <w:rFonts w:ascii="Arial" w:hAnsi="Arial" w:cs="Arial"/>
        </w:rPr>
        <w:lastRenderedPageBreak/>
        <w:t>(force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 xml:space="preserve">tokias paslaugas arba jų alternatyvas per kuo trumpesnį terminą, vadovaudamasis ir nepažeisdamas galiojančio bei </w:t>
      </w:r>
      <w:r w:rsidRPr="00BF06A5">
        <w:rPr>
          <w:rFonts w:ascii="Arial" w:hAnsi="Arial" w:cs="Arial"/>
        </w:rPr>
        <w:lastRenderedPageBreak/>
        <w:t>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ListParagraph"/>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BodyTextIndent"/>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BodyTextIndent"/>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BodyTextIndent"/>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ListParagraph"/>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ListParagraph"/>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ListParagraph"/>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ListParagraph"/>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proofErr w:type="spellStart"/>
      <w:r w:rsidRPr="008721FE">
        <w:rPr>
          <w:rFonts w:ascii="Arial" w:hAnsi="Arial" w:cs="Arial"/>
        </w:rPr>
        <w:t>mutatis</w:t>
      </w:r>
      <w:proofErr w:type="spellEnd"/>
      <w:r w:rsidRPr="008721FE">
        <w:rPr>
          <w:rFonts w:ascii="Arial" w:hAnsi="Arial" w:cs="Arial"/>
        </w:rPr>
        <w:t xml:space="preserve"> </w:t>
      </w:r>
      <w:proofErr w:type="spellStart"/>
      <w:r w:rsidRPr="008721FE">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6A308759" w:rsidR="005E6521" w:rsidRPr="008721FE" w:rsidRDefault="005E6521" w:rsidP="008721FE">
      <w:pPr>
        <w:pStyle w:val="ListParagraph"/>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57679EF2" w14:textId="79B4778D" w:rsidR="00F0141B" w:rsidRDefault="00336644"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55797480" w:rsidR="00FB06AF" w:rsidRPr="001B2B30" w:rsidRDefault="001B2B30" w:rsidP="001B2B30">
      <w:pPr>
        <w:spacing w:after="60"/>
        <w:jc w:val="center"/>
        <w:rPr>
          <w:rFonts w:ascii="Arial" w:hAnsi="Arial" w:cs="Arial"/>
          <w:b/>
        </w:rPr>
      </w:pPr>
      <w:r>
        <w:rPr>
          <w:rFonts w:ascii="Arial" w:hAnsi="Arial" w:cs="Arial"/>
          <w:b/>
        </w:rPr>
        <w:lastRenderedPageBreak/>
        <w:t xml:space="preserve">13. </w:t>
      </w:r>
      <w:r w:rsidR="00FB06AF" w:rsidRPr="001B2B30">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F4478" w14:textId="77777777" w:rsidR="009C13DB" w:rsidRDefault="009C13DB">
      <w:r>
        <w:separator/>
      </w:r>
    </w:p>
  </w:endnote>
  <w:endnote w:type="continuationSeparator" w:id="0">
    <w:p w14:paraId="3284DFFB" w14:textId="77777777" w:rsidR="009C13DB" w:rsidRDefault="009C13DB">
      <w:r>
        <w:continuationSeparator/>
      </w:r>
    </w:p>
  </w:endnote>
  <w:endnote w:type="continuationNotice" w:id="1">
    <w:p w14:paraId="1BBE63FA" w14:textId="77777777" w:rsidR="009C13DB" w:rsidRDefault="009C1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9F611" w14:textId="77777777" w:rsidR="009C13DB" w:rsidRDefault="009C13DB">
      <w:r>
        <w:separator/>
      </w:r>
    </w:p>
  </w:footnote>
  <w:footnote w:type="continuationSeparator" w:id="0">
    <w:p w14:paraId="428D2B36" w14:textId="77777777" w:rsidR="009C13DB" w:rsidRDefault="009C13DB">
      <w:r>
        <w:continuationSeparator/>
      </w:r>
    </w:p>
  </w:footnote>
  <w:footnote w:type="continuationNotice" w:id="1">
    <w:p w14:paraId="1C018B15" w14:textId="77777777" w:rsidR="009C13DB" w:rsidRDefault="009C13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96E95" w14:textId="130AF24D" w:rsidR="00667C5D" w:rsidRDefault="00667C5D">
    <w:pPr>
      <w:pStyle w:val="Header"/>
    </w:pPr>
    <w:r>
      <w:rPr>
        <w:noProof/>
        <w:lang w:eastAsia="lt-LT"/>
      </w:rPr>
      <mc:AlternateContent>
        <mc:Choice Requires="wps">
          <w:drawing>
            <wp:anchor distT="0" distB="0" distL="114300" distR="114300" simplePos="0" relativeHeight="251658240"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6"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A4CAE" w14:textId="625FDF6B" w:rsidR="00667C5D" w:rsidRDefault="00667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8"/>
  </w:num>
  <w:num w:numId="38">
    <w:abstractNumId w:val="27"/>
  </w:num>
  <w:num w:numId="39">
    <w:abstractNumId w:val="17"/>
  </w:num>
  <w:num w:numId="40">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B30"/>
    <w:rsid w:val="001B2D6D"/>
    <w:rsid w:val="001B3581"/>
    <w:rsid w:val="001B36EE"/>
    <w:rsid w:val="001B4DC1"/>
    <w:rsid w:val="001B667C"/>
    <w:rsid w:val="001B67EC"/>
    <w:rsid w:val="001B698A"/>
    <w:rsid w:val="001C0493"/>
    <w:rsid w:val="001C0534"/>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A10D3"/>
    <w:rsid w:val="005A1678"/>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6FB"/>
    <w:rsid w:val="00BD5546"/>
    <w:rsid w:val="00BD5DBC"/>
    <w:rsid w:val="00BD7B4A"/>
    <w:rsid w:val="00BD7B6F"/>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9FF"/>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D23"/>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5478C6"/>
  <w15:docId w15:val="{F5BD71AC-51DD-4815-8836-3C1C14B2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897EEC89-06D3-49B8-939E-F339DE4E5C16}">
  <ds:schemaRefs>
    <ds:schemaRef ds:uri="d4f3889e-0af5-4a9b-a141-a8874ad631c2"/>
    <ds:schemaRef ds:uri="e1e39af4-2bed-4a6a-b87a-349b7f47b89d"/>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A3F39CDB-34C5-4D4C-97AA-87A6437AA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customXml/itemProps5.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11</Pages>
  <Words>6604</Words>
  <Characters>45790</Characters>
  <Application>Microsoft Office Word</Application>
  <DocSecurity>0</DocSecurity>
  <Lines>381</Lines>
  <Paragraphs>104</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52290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Jūratė Dromantaitė</dc:creator>
  <cp:keywords/>
  <cp:lastModifiedBy>Jūratė Dromantaitė</cp:lastModifiedBy>
  <cp:revision>50</cp:revision>
  <cp:lastPrinted>2017-07-12T08:54:00Z</cp:lastPrinted>
  <dcterms:created xsi:type="dcterms:W3CDTF">2021-09-22T20:38:00Z</dcterms:created>
  <dcterms:modified xsi:type="dcterms:W3CDTF">2021-11-18T12:51:00Z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2021-01-25T13:21:26.3278231Z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7b3678e4-65b9-4c87-998c-af225d7efbea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2021-09-23T06:37:50Z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7b3678e4-65b9-4c87-998c-af225d7efbea</vt:lpwstr>
  </property>
  <property fmtid="{D5CDD505-2E9C-101B-9397-08002B2CF9AE}" pid="239" name="MSIP_Label_190751af-2442-49a7-b7b9-9f0bcce858c9_ContentBits">
    <vt:lpwstr>0</vt:lpwstr>
  </property>
</Properties>
</file>