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B431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Nr. </w:t>
      </w:r>
    </w:p>
    <w:p w14:paraId="0AEBE2D6" w14:textId="77777777" w:rsidR="00AB6F05" w:rsidRPr="004D23AC" w:rsidRDefault="00AB6F05" w:rsidP="00AB6F05">
      <w:pPr>
        <w:jc w:val="right"/>
        <w:rPr>
          <w:rFonts w:ascii="Segoe UI" w:hAnsi="Segoe UI" w:cs="Segoe UI"/>
        </w:rPr>
      </w:pPr>
    </w:p>
    <w:p w14:paraId="1669EFDB" w14:textId="00C456E7" w:rsidR="00AB6F05" w:rsidRPr="003E290E" w:rsidRDefault="00AB6F05" w:rsidP="00AB6F05">
      <w:pPr>
        <w:jc w:val="center"/>
        <w:rPr>
          <w:rFonts w:ascii="Segoe UI" w:eastAsia="Segoe UI" w:hAnsi="Segoe UI" w:cs="Segoe UI"/>
        </w:rPr>
      </w:pPr>
      <w:r w:rsidRPr="00EE6D03">
        <w:rPr>
          <w:rFonts w:ascii="Segoe UI" w:eastAsia="Segoe UI" w:hAnsi="Segoe UI" w:cs="Segoe UI"/>
        </w:rPr>
        <w:t>201</w:t>
      </w:r>
      <w:r w:rsidR="00852E57" w:rsidRPr="00EE6D03">
        <w:rPr>
          <w:rFonts w:ascii="Segoe UI" w:eastAsia="Segoe UI" w:hAnsi="Segoe UI" w:cs="Segoe UI"/>
        </w:rPr>
        <w:t>9</w:t>
      </w:r>
      <w:r w:rsidRPr="00EE6D03">
        <w:rPr>
          <w:rFonts w:ascii="Segoe UI" w:eastAsia="Segoe UI" w:hAnsi="Segoe UI" w:cs="Segoe UI"/>
        </w:rPr>
        <w:t xml:space="preserve"> m. </w:t>
      </w:r>
      <w:r w:rsidR="008F1FB7">
        <w:rPr>
          <w:rFonts w:ascii="Segoe UI" w:eastAsia="Segoe UI" w:hAnsi="Segoe UI" w:cs="Segoe UI"/>
        </w:rPr>
        <w:t>___________________</w:t>
      </w:r>
      <w:r w:rsidRPr="00EE6D03">
        <w:rPr>
          <w:rFonts w:ascii="Segoe UI" w:eastAsia="Segoe UI" w:hAnsi="Segoe UI" w:cs="Segoe UI"/>
        </w:rPr>
        <w:t xml:space="preserve"> </w:t>
      </w:r>
      <w:r w:rsidRPr="00EE6D03">
        <w:rPr>
          <w:rFonts w:ascii="Segoe UI" w:hAnsi="Segoe UI" w:cs="Segoe UI"/>
        </w:rPr>
        <w:softHyphen/>
      </w:r>
      <w:r w:rsidRPr="00EE6D03">
        <w:rPr>
          <w:rFonts w:ascii="Segoe UI" w:hAnsi="Segoe UI" w:cs="Segoe UI"/>
        </w:rPr>
        <w:softHyphen/>
      </w:r>
      <w:r w:rsidRPr="00EE6D03">
        <w:rPr>
          <w:rFonts w:ascii="Segoe UI" w:eastAsia="Segoe UI" w:hAnsi="Segoe UI" w:cs="Segoe UI"/>
        </w:rPr>
        <w:t>d., Vilnius</w:t>
      </w:r>
    </w:p>
    <w:p w14:paraId="79235C4D" w14:textId="77777777" w:rsidR="00AB6F05" w:rsidRPr="004D23AC" w:rsidRDefault="00AB6F05" w:rsidP="00AB6F05">
      <w:pPr>
        <w:rPr>
          <w:rFonts w:ascii="Segoe UI" w:hAnsi="Segoe UI" w:cs="Segoe UI"/>
        </w:rPr>
      </w:pPr>
    </w:p>
    <w:p w14:paraId="5C98FB92" w14:textId="55FD375B" w:rsidR="00AB6F05" w:rsidRPr="001B4317" w:rsidRDefault="00676F2A" w:rsidP="00AB6F05">
      <w:pPr>
        <w:jc w:val="both"/>
        <w:rPr>
          <w:rFonts w:ascii="Segoe UI" w:eastAsia="Segoe UI" w:hAnsi="Segoe UI" w:cs="Segoe UI"/>
          <w:b/>
          <w:bCs/>
        </w:rPr>
      </w:pPr>
      <w:r w:rsidRPr="00676F2A">
        <w:rPr>
          <w:rFonts w:ascii="Segoe UI" w:eastAsia="Segoe UI" w:hAnsi="Segoe UI" w:cs="Segoe UI"/>
          <w:b/>
          <w:bCs/>
        </w:rPr>
        <w:t>UAB „</w:t>
      </w:r>
      <w:proofErr w:type="spellStart"/>
      <w:r w:rsidRPr="00676F2A">
        <w:rPr>
          <w:rFonts w:ascii="Segoe UI" w:eastAsia="Segoe UI" w:hAnsi="Segoe UI" w:cs="Segoe UI"/>
          <w:b/>
          <w:bCs/>
        </w:rPr>
        <w:t>Ignitis</w:t>
      </w:r>
      <w:proofErr w:type="spellEnd"/>
      <w:r w:rsidRPr="00676F2A">
        <w:rPr>
          <w:rFonts w:ascii="Segoe UI" w:eastAsia="Segoe UI" w:hAnsi="Segoe UI" w:cs="Segoe UI"/>
          <w:b/>
          <w:bCs/>
        </w:rPr>
        <w:t xml:space="preserve"> </w:t>
      </w:r>
      <w:proofErr w:type="spellStart"/>
      <w:r w:rsidRPr="00676F2A">
        <w:rPr>
          <w:rFonts w:ascii="Segoe UI" w:eastAsia="Segoe UI" w:hAnsi="Segoe UI" w:cs="Segoe UI"/>
          <w:b/>
          <w:bCs/>
        </w:rPr>
        <w:t>grupės</w:t>
      </w:r>
      <w:proofErr w:type="spellEnd"/>
      <w:r w:rsidRPr="00676F2A">
        <w:rPr>
          <w:rFonts w:ascii="Segoe UI" w:eastAsia="Segoe UI" w:hAnsi="Segoe UI" w:cs="Segoe UI"/>
          <w:b/>
          <w:bCs/>
        </w:rPr>
        <w:t xml:space="preserve"> </w:t>
      </w:r>
      <w:proofErr w:type="spellStart"/>
      <w:r w:rsidRPr="00676F2A">
        <w:rPr>
          <w:rFonts w:ascii="Segoe UI" w:eastAsia="Segoe UI" w:hAnsi="Segoe UI" w:cs="Segoe UI"/>
          <w:b/>
          <w:bCs/>
        </w:rPr>
        <w:t>paslaugų</w:t>
      </w:r>
      <w:proofErr w:type="spellEnd"/>
      <w:r w:rsidRPr="00676F2A">
        <w:rPr>
          <w:rFonts w:ascii="Segoe UI" w:eastAsia="Segoe UI" w:hAnsi="Segoe UI" w:cs="Segoe UI"/>
          <w:b/>
          <w:bCs/>
        </w:rPr>
        <w:t xml:space="preserve"> </w:t>
      </w:r>
      <w:proofErr w:type="spellStart"/>
      <w:proofErr w:type="gramStart"/>
      <w:r w:rsidRPr="00676F2A">
        <w:rPr>
          <w:rFonts w:ascii="Segoe UI" w:eastAsia="Segoe UI" w:hAnsi="Segoe UI" w:cs="Segoe UI"/>
          <w:b/>
          <w:bCs/>
        </w:rPr>
        <w:t>centras</w:t>
      </w:r>
      <w:proofErr w:type="spellEnd"/>
      <w:r w:rsidRPr="00676F2A">
        <w:rPr>
          <w:rFonts w:ascii="Segoe UI" w:eastAsia="Segoe UI" w:hAnsi="Segoe UI" w:cs="Segoe UI"/>
          <w:b/>
          <w:bCs/>
        </w:rPr>
        <w:t>“</w:t>
      </w:r>
      <w:proofErr w:type="gram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pagal</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Respublikos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įstatymus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įsteigta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uždaroji</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akcinė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bendrovė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juridinio</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asmens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kodas</w:t>
      </w:r>
      <w:proofErr w:type="spellEnd"/>
      <w:r w:rsidR="00AB6F05" w:rsidRPr="003E290E">
        <w:rPr>
          <w:rFonts w:ascii="Segoe UI" w:eastAsia="Segoe UI" w:hAnsi="Segoe UI" w:cs="Segoe UI"/>
        </w:rPr>
        <w:t xml:space="preserve"> 303200016, PVM </w:t>
      </w:r>
      <w:proofErr w:type="spellStart"/>
      <w:r w:rsidR="00AB6F05" w:rsidRPr="003E290E">
        <w:rPr>
          <w:rFonts w:ascii="Segoe UI" w:eastAsia="Segoe UI" w:hAnsi="Segoe UI" w:cs="Segoe UI"/>
        </w:rPr>
        <w:t>mokėtojo</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kodas</w:t>
      </w:r>
      <w:proofErr w:type="spellEnd"/>
      <w:r w:rsidR="00AB6F05" w:rsidRPr="003E290E">
        <w:rPr>
          <w:rFonts w:ascii="Segoe UI" w:eastAsia="Segoe UI" w:hAnsi="Segoe UI" w:cs="Segoe UI"/>
        </w:rPr>
        <w:t xml:space="preserve"> LT100008194913, </w:t>
      </w:r>
      <w:proofErr w:type="spellStart"/>
      <w:r w:rsidR="00AB6F05" w:rsidRPr="003E290E">
        <w:rPr>
          <w:rFonts w:ascii="Segoe UI" w:eastAsia="Segoe UI" w:hAnsi="Segoe UI" w:cs="Segoe UI"/>
        </w:rPr>
        <w:t>buveinė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adresu</w:t>
      </w:r>
      <w:proofErr w:type="spellEnd"/>
      <w:r w:rsidR="00AB6F05" w:rsidRPr="003E290E">
        <w:rPr>
          <w:rFonts w:ascii="Segoe UI" w:eastAsia="Segoe UI" w:hAnsi="Segoe UI" w:cs="Segoe UI"/>
        </w:rPr>
        <w:t xml:space="preserve"> A. </w:t>
      </w:r>
      <w:proofErr w:type="spellStart"/>
      <w:r w:rsidR="00AB6F05" w:rsidRPr="003E290E">
        <w:rPr>
          <w:rFonts w:ascii="Segoe UI" w:eastAsia="Segoe UI" w:hAnsi="Segoe UI" w:cs="Segoe UI"/>
        </w:rPr>
        <w:t>Juozapavičiaus</w:t>
      </w:r>
      <w:proofErr w:type="spellEnd"/>
      <w:r w:rsidR="00AB6F05" w:rsidRPr="003E290E">
        <w:rPr>
          <w:rFonts w:ascii="Segoe UI" w:eastAsia="Segoe UI" w:hAnsi="Segoe UI" w:cs="Segoe UI"/>
        </w:rPr>
        <w:t xml:space="preserve"> g. 13, Vilnius,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Respublika, </w:t>
      </w:r>
      <w:proofErr w:type="spellStart"/>
      <w:r w:rsidR="00AB6F05" w:rsidRPr="003E290E">
        <w:rPr>
          <w:rFonts w:ascii="Segoe UI" w:eastAsia="Segoe UI" w:hAnsi="Segoe UI" w:cs="Segoe UI"/>
        </w:rPr>
        <w:t>įregistruota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Respublikos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Juridinių</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asmenų</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registre</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toliau</w:t>
      </w:r>
      <w:proofErr w:type="spellEnd"/>
      <w:r w:rsidR="00AB6F05" w:rsidRPr="003E290E">
        <w:rPr>
          <w:rFonts w:ascii="Segoe UI" w:eastAsia="Segoe UI" w:hAnsi="Segoe UI" w:cs="Segoe UI"/>
        </w:rPr>
        <w:t xml:space="preserve"> – „</w:t>
      </w:r>
      <w:proofErr w:type="spellStart"/>
      <w:r w:rsidR="00AB6F05" w:rsidRPr="003E290E">
        <w:rPr>
          <w:rFonts w:ascii="Segoe UI" w:eastAsia="Segoe UI" w:hAnsi="Segoe UI" w:cs="Segoe UI"/>
          <w:b/>
          <w:bCs/>
        </w:rPr>
        <w:t>Paslaugų</w:t>
      </w:r>
      <w:proofErr w:type="spellEnd"/>
      <w:r w:rsidR="00AB6F05" w:rsidRPr="003E290E">
        <w:rPr>
          <w:rFonts w:ascii="Segoe UI" w:eastAsia="Segoe UI" w:hAnsi="Segoe UI" w:cs="Segoe UI"/>
          <w:b/>
          <w:bCs/>
        </w:rPr>
        <w:t xml:space="preserve"> </w:t>
      </w:r>
      <w:proofErr w:type="spellStart"/>
      <w:r w:rsidR="00AB6F05" w:rsidRPr="003E290E">
        <w:rPr>
          <w:rFonts w:ascii="Segoe UI" w:eastAsia="Segoe UI" w:hAnsi="Segoe UI" w:cs="Segoe UI"/>
          <w:b/>
          <w:bCs/>
        </w:rPr>
        <w:t>teikėjas</w:t>
      </w:r>
      <w:proofErr w:type="spellEnd"/>
      <w:r w:rsidR="00AB6F05" w:rsidRPr="003E290E">
        <w:rPr>
          <w:rFonts w:ascii="Segoe UI" w:eastAsia="Segoe UI" w:hAnsi="Segoe UI" w:cs="Segoe UI"/>
        </w:rPr>
        <w:t xml:space="preserve">“), </w:t>
      </w:r>
      <w:proofErr w:type="spellStart"/>
      <w:r w:rsidR="00AB6F05" w:rsidRPr="004138CE">
        <w:rPr>
          <w:rFonts w:ascii="Segoe UI" w:eastAsia="Segoe UI" w:hAnsi="Segoe UI" w:cs="Segoe UI"/>
        </w:rPr>
        <w:t>atstovaujama</w:t>
      </w:r>
      <w:proofErr w:type="spellEnd"/>
      <w:r w:rsidR="00AB6F05" w:rsidRPr="004138CE">
        <w:rPr>
          <w:rFonts w:ascii="Segoe UI" w:eastAsia="Segoe UI" w:hAnsi="Segoe UI" w:cs="Segoe UI"/>
        </w:rPr>
        <w:t xml:space="preserve"> </w:t>
      </w:r>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4D23AC" w:rsidRDefault="00AB6F05" w:rsidP="00AB6F05">
      <w:pPr>
        <w:jc w:val="both"/>
        <w:rPr>
          <w:rFonts w:ascii="Segoe UI" w:hAnsi="Segoe UI" w:cs="Segoe UI"/>
          <w:b/>
        </w:rPr>
      </w:pPr>
    </w:p>
    <w:p w14:paraId="07DE0B26" w14:textId="6E417460" w:rsidR="00676F2A" w:rsidRPr="00EF07BC" w:rsidRDefault="00676F2A" w:rsidP="00676F2A">
      <w:pPr>
        <w:jc w:val="both"/>
        <w:rPr>
          <w:rFonts w:ascii="Segoe UI" w:hAnsi="Segoe UI" w:cs="Segoe UI"/>
          <w:lang w:val="lt-LT"/>
        </w:rPr>
      </w:pPr>
      <w:r w:rsidRPr="0065686B">
        <w:rPr>
          <w:rFonts w:ascii="Segoe UI" w:hAnsi="Segoe UI" w:cs="Segoe UI"/>
          <w:b/>
          <w:lang w:val="lt-LT"/>
        </w:rPr>
        <w:t>UAB Kauno kogeneracinė jėgainė</w:t>
      </w:r>
      <w:r w:rsidRPr="00EF07BC">
        <w:rPr>
          <w:rFonts w:ascii="Segoe UI" w:hAnsi="Segoe UI" w:cs="Segoe UI"/>
          <w:lang w:val="lt-LT"/>
        </w:rPr>
        <w:t xml:space="preserve">, pagal Lietuvos Respublikos įstatymus įsteigta  akcinė bendrovė, juridinio asmens kodas </w:t>
      </w:r>
      <w:r w:rsidRPr="00A369E7">
        <w:rPr>
          <w:rFonts w:ascii="Segoe UI" w:hAnsi="Segoe UI" w:cs="Segoe UI"/>
          <w:lang w:val="lt-LT"/>
        </w:rPr>
        <w:t>303792888</w:t>
      </w:r>
      <w:r w:rsidRPr="00EF07BC">
        <w:rPr>
          <w:rFonts w:ascii="Segoe UI" w:hAnsi="Segoe UI" w:cs="Segoe UI"/>
          <w:lang w:val="lt-LT"/>
        </w:rPr>
        <w:t>, PVM mokėtojo kodas</w:t>
      </w:r>
      <w:r>
        <w:rPr>
          <w:rFonts w:ascii="Segoe UI" w:hAnsi="Segoe UI" w:cs="Segoe UI"/>
          <w:lang w:val="lt-LT"/>
        </w:rPr>
        <w:t xml:space="preserve"> </w:t>
      </w:r>
      <w:r w:rsidRPr="00A369E7">
        <w:rPr>
          <w:rFonts w:ascii="Segoe UI" w:hAnsi="Segoe UI" w:cs="Segoe UI"/>
          <w:lang w:val="lt-LT"/>
        </w:rPr>
        <w:t>LT100009225616</w:t>
      </w:r>
      <w:r w:rsidRPr="00EF07BC">
        <w:rPr>
          <w:rFonts w:ascii="Segoe UI" w:hAnsi="Segoe UI" w:cs="Segoe UI"/>
          <w:lang w:val="lt-LT"/>
        </w:rPr>
        <w:t xml:space="preserve">, buveinė registruota adresu </w:t>
      </w:r>
      <w:r w:rsidRPr="00A369E7">
        <w:rPr>
          <w:rFonts w:ascii="Segoe UI" w:hAnsi="Segoe UI" w:cs="Segoe UI"/>
          <w:lang w:val="lt-LT"/>
        </w:rPr>
        <w:t>Žvejų g. 14</w:t>
      </w:r>
      <w:r w:rsidRPr="00EF07BC">
        <w:rPr>
          <w:rFonts w:ascii="Segoe UI" w:hAnsi="Segoe UI" w:cs="Segoe UI"/>
          <w:lang w:val="lt-LT"/>
        </w:rPr>
        <w:t>, Vilnius, Lietuvos Respublika, įregistruota Lietuvos Respublikos Juridinių asmenų registre (toliau – „</w:t>
      </w:r>
      <w:r w:rsidRPr="00A369E7">
        <w:rPr>
          <w:rFonts w:ascii="Segoe UI" w:hAnsi="Segoe UI" w:cs="Segoe UI"/>
          <w:b/>
          <w:lang w:val="lt-LT"/>
        </w:rPr>
        <w:t>Užsakovas</w:t>
      </w:r>
      <w:r w:rsidRPr="00EF07BC">
        <w:rPr>
          <w:rFonts w:ascii="Segoe UI" w:hAnsi="Segoe UI" w:cs="Segoe UI"/>
          <w:lang w:val="lt-LT"/>
        </w:rPr>
        <w:t>“), atstovaujama</w:t>
      </w:r>
      <w:r w:rsidRPr="00A369E7">
        <w:rPr>
          <w:rFonts w:ascii="Segoe UI" w:hAnsi="Segoe UI" w:cs="Segoe UI"/>
          <w:lang w:val="lt-LT"/>
        </w:rPr>
        <w:t xml:space="preserve"> </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29425006" w:rsidR="00EF07BC" w:rsidRPr="00EF07BC" w:rsidRDefault="00EF07BC" w:rsidP="00E45F7A">
      <w:pPr>
        <w:numPr>
          <w:ilvl w:val="0"/>
          <w:numId w:val="3"/>
        </w:numPr>
        <w:tabs>
          <w:tab w:val="clear" w:pos="750"/>
          <w:tab w:val="num" w:pos="360"/>
        </w:tabs>
        <w:ind w:left="426" w:hanging="426"/>
        <w:jc w:val="both"/>
        <w:rPr>
          <w:rFonts w:ascii="Segoe UI" w:hAnsi="Segoe UI" w:cs="Segoe UI"/>
          <w:lang w:val="lt-LT"/>
        </w:rPr>
      </w:pPr>
      <w:r w:rsidRPr="00EF07BC">
        <w:rPr>
          <w:rFonts w:ascii="Segoe UI" w:hAnsi="Segoe UI" w:cs="Segoe UI"/>
          <w:lang w:val="lt-LT"/>
        </w:rPr>
        <w:t xml:space="preserve">Užsakovas atliko </w:t>
      </w:r>
      <w:r w:rsidR="00E45F7A" w:rsidRPr="00E45F7A">
        <w:rPr>
          <w:rFonts w:ascii="Segoe UI" w:hAnsi="Segoe UI" w:cs="Segoe UI"/>
          <w:lang w:val="lt-LT"/>
        </w:rPr>
        <w:t>Informacinių technologijų ir telekomuni</w:t>
      </w:r>
      <w:r w:rsidR="00E45F7A">
        <w:rPr>
          <w:rFonts w:ascii="Segoe UI" w:hAnsi="Segoe UI" w:cs="Segoe UI"/>
          <w:lang w:val="lt-LT"/>
        </w:rPr>
        <w:t xml:space="preserve">kacijų sistemų vystymo </w:t>
      </w:r>
      <w:r w:rsidR="00E61806">
        <w:rPr>
          <w:rFonts w:ascii="Segoe UI" w:hAnsi="Segoe UI" w:cs="Segoe UI"/>
          <w:lang w:val="lt-LT"/>
        </w:rPr>
        <w:t xml:space="preserve">paslaugų </w:t>
      </w:r>
      <w:r w:rsidRPr="00EF07BC">
        <w:rPr>
          <w:rFonts w:ascii="Segoe UI" w:hAnsi="Segoe UI" w:cs="Segoe UI"/>
          <w:lang w:val="lt-LT"/>
        </w:rPr>
        <w:t xml:space="preserve">viešąjį pirkimą (toliau </w:t>
      </w:r>
      <w:r w:rsidR="00D27AD4" w:rsidRPr="00D27AD4">
        <w:rPr>
          <w:rFonts w:ascii="Segoe UI" w:hAnsi="Segoe UI" w:cs="Segoe UI"/>
          <w:lang w:val="lt-LT"/>
        </w:rPr>
        <w:t>–</w:t>
      </w:r>
      <w:r w:rsidRPr="00EF07BC">
        <w:rPr>
          <w:rFonts w:ascii="Segoe UI" w:hAnsi="Segoe UI" w:cs="Segoe UI"/>
          <w:lang w:val="lt-LT"/>
        </w:rPr>
        <w:t xml:space="preserve"> Pirkimas);</w:t>
      </w:r>
    </w:p>
    <w:p w14:paraId="5D146B02" w14:textId="77777777" w:rsidR="00EF07BC" w:rsidRPr="00EF07BC" w:rsidRDefault="00EF07BC" w:rsidP="00EF07BC">
      <w:pPr>
        <w:ind w:left="360"/>
        <w:jc w:val="both"/>
        <w:rPr>
          <w:rFonts w:ascii="Segoe UI" w:hAnsi="Segoe UI" w:cs="Segoe UI"/>
          <w:lang w:val="lt-LT"/>
        </w:rPr>
      </w:pPr>
    </w:p>
    <w:p w14:paraId="5D146B03" w14:textId="2B47EEED" w:rsidR="00EF07BC" w:rsidRPr="00EF07BC" w:rsidRDefault="00E45F7A" w:rsidP="00EF07BC">
      <w:pPr>
        <w:numPr>
          <w:ilvl w:val="0"/>
          <w:numId w:val="3"/>
        </w:numPr>
        <w:tabs>
          <w:tab w:val="clear" w:pos="750"/>
          <w:tab w:val="num" w:pos="360"/>
        </w:tabs>
        <w:ind w:left="360"/>
        <w:jc w:val="both"/>
        <w:rPr>
          <w:rFonts w:ascii="Segoe UI" w:hAnsi="Segoe UI" w:cs="Segoe UI"/>
          <w:lang w:val="lt-LT"/>
        </w:rPr>
      </w:pPr>
      <w:r w:rsidRPr="00EB370E">
        <w:rPr>
          <w:rFonts w:ascii="Segoe UI" w:hAnsi="Segoe UI" w:cs="Segoe UI"/>
          <w:iCs/>
          <w:lang w:val="lt-LT"/>
        </w:rPr>
        <w:t>201</w:t>
      </w:r>
      <w:r>
        <w:rPr>
          <w:rFonts w:ascii="Segoe UI" w:hAnsi="Segoe UI" w:cs="Segoe UI"/>
          <w:iCs/>
          <w:lang w:val="lt-LT"/>
        </w:rPr>
        <w:t>9</w:t>
      </w:r>
      <w:r w:rsidRPr="00EB370E">
        <w:rPr>
          <w:rFonts w:ascii="Segoe UI" w:hAnsi="Segoe UI" w:cs="Segoe UI"/>
          <w:iCs/>
          <w:lang w:val="lt-LT"/>
        </w:rPr>
        <w:t xml:space="preserve"> m. </w:t>
      </w:r>
      <w:r w:rsidR="00676F2A">
        <w:rPr>
          <w:rFonts w:ascii="Segoe UI" w:hAnsi="Segoe UI" w:cs="Segoe UI"/>
          <w:iCs/>
          <w:lang w:val="lt-LT"/>
        </w:rPr>
        <w:t>rugsėjo</w:t>
      </w:r>
      <w:r w:rsidRPr="00FD570D">
        <w:rPr>
          <w:rFonts w:ascii="Segoe UI" w:hAnsi="Segoe UI" w:cs="Segoe UI"/>
          <w:iCs/>
          <w:lang w:val="lt-LT"/>
        </w:rPr>
        <w:t xml:space="preserve"> </w:t>
      </w:r>
      <w:r w:rsidR="00676F2A">
        <w:rPr>
          <w:rFonts w:ascii="Segoe UI" w:hAnsi="Segoe UI" w:cs="Segoe UI"/>
          <w:iCs/>
          <w:lang w:val="lt-LT"/>
        </w:rPr>
        <w:t xml:space="preserve">  </w:t>
      </w:r>
      <w:r w:rsidR="00617B90">
        <w:rPr>
          <w:rFonts w:ascii="Segoe UI" w:hAnsi="Segoe UI" w:cs="Segoe UI"/>
          <w:iCs/>
          <w:lang w:val="lt-LT"/>
        </w:rPr>
        <w:t>10</w:t>
      </w:r>
      <w:r w:rsidR="00676F2A">
        <w:rPr>
          <w:rFonts w:ascii="Segoe UI" w:hAnsi="Segoe UI" w:cs="Segoe UI"/>
          <w:iCs/>
          <w:lang w:val="lt-LT"/>
        </w:rPr>
        <w:t xml:space="preserve"> </w:t>
      </w:r>
      <w:r w:rsidRPr="00FD570D">
        <w:rPr>
          <w:rFonts w:ascii="Segoe UI" w:hAnsi="Segoe UI" w:cs="Segoe UI"/>
          <w:iCs/>
          <w:lang w:val="lt-LT"/>
        </w:rPr>
        <w:t xml:space="preserve"> d</w:t>
      </w:r>
      <w:r>
        <w:rPr>
          <w:rFonts w:ascii="Segoe UI" w:hAnsi="Segoe UI" w:cs="Segoe UI"/>
          <w:iCs/>
          <w:lang w:val="lt-LT"/>
        </w:rPr>
        <w:t>.</w:t>
      </w:r>
      <w:r w:rsidRPr="00EB370E">
        <w:rPr>
          <w:rFonts w:ascii="Segoe UI" w:hAnsi="Segoe UI" w:cs="Segoe UI"/>
          <w:lang w:val="lt-LT"/>
        </w:rPr>
        <w:t xml:space="preserve"> </w:t>
      </w:r>
      <w:r w:rsidR="00EF07BC" w:rsidRPr="00EB370E">
        <w:rPr>
          <w:rFonts w:ascii="Segoe UI" w:hAnsi="Segoe UI" w:cs="Segoe UI"/>
          <w:lang w:val="lt-LT"/>
        </w:rPr>
        <w:t>Paslaugų teikėjas</w:t>
      </w:r>
      <w:r w:rsidR="00EB370E" w:rsidRPr="00EF07BC">
        <w:rPr>
          <w:rFonts w:ascii="Segoe UI" w:hAnsi="Segoe UI" w:cs="Segoe UI"/>
          <w:iCs/>
          <w:lang w:val="lt-LT"/>
        </w:rPr>
        <w:t xml:space="preserve"> </w:t>
      </w:r>
      <w:r w:rsidR="00EF07BC" w:rsidRPr="00EF07BC">
        <w:rPr>
          <w:rFonts w:ascii="Segoe UI" w:hAnsi="Segoe UI" w:cs="Segoe UI"/>
          <w:iCs/>
          <w:lang w:val="lt-LT"/>
        </w:rPr>
        <w:t xml:space="preserve">pateikė </w:t>
      </w:r>
      <w:r w:rsidR="00EE20EE">
        <w:rPr>
          <w:rFonts w:ascii="Segoe UI" w:hAnsi="Segoe UI" w:cs="Segoe UI"/>
          <w:lang w:val="lt-LT"/>
        </w:rPr>
        <w:t>pasiūlymą</w:t>
      </w:r>
      <w:r w:rsidR="00EF07BC" w:rsidRPr="00EF07BC">
        <w:rPr>
          <w:rFonts w:ascii="Segoe UI" w:hAnsi="Segoe UI" w:cs="Segoe UI"/>
          <w:iCs/>
          <w:lang w:val="lt-LT"/>
        </w:rPr>
        <w:t xml:space="preserve"> </w:t>
      </w:r>
      <w:r w:rsidR="00EF07BC" w:rsidRPr="00EF07BC">
        <w:rPr>
          <w:rFonts w:ascii="Segoe UI" w:hAnsi="Segoe UI" w:cs="Segoe UI"/>
          <w:lang w:val="lt-LT"/>
        </w:rPr>
        <w:t xml:space="preserve">(toliau – </w:t>
      </w:r>
      <w:r w:rsidR="00B66E0F">
        <w:rPr>
          <w:rFonts w:ascii="Segoe UI" w:hAnsi="Segoe UI" w:cs="Segoe UI"/>
          <w:lang w:val="lt-LT"/>
        </w:rPr>
        <w:t>„</w:t>
      </w:r>
      <w:r w:rsidR="00EF07BC" w:rsidRPr="008B639A">
        <w:rPr>
          <w:rFonts w:ascii="Segoe UI" w:hAnsi="Segoe UI" w:cs="Segoe UI"/>
          <w:b/>
          <w:lang w:val="lt-LT"/>
        </w:rPr>
        <w:t>Pasiūlymai</w:t>
      </w:r>
      <w:r w:rsidR="00B66E0F">
        <w:rPr>
          <w:rFonts w:ascii="Segoe UI" w:hAnsi="Segoe UI" w:cs="Segoe UI"/>
          <w:lang w:val="lt-LT"/>
        </w:rPr>
        <w:t>“</w:t>
      </w:r>
      <w:r w:rsidR="00EF07BC" w:rsidRPr="00EF07BC">
        <w:rPr>
          <w:rFonts w:ascii="Segoe UI" w:hAnsi="Segoe UI" w:cs="Segoe UI"/>
          <w:lang w:val="lt-LT"/>
        </w:rPr>
        <w:t>);</w:t>
      </w:r>
    </w:p>
    <w:p w14:paraId="5D146B04" w14:textId="77777777" w:rsidR="00EF07BC" w:rsidRPr="00EF07BC" w:rsidRDefault="00EF07BC" w:rsidP="00EF07BC">
      <w:pPr>
        <w:pStyle w:val="ListParagraph"/>
        <w:rPr>
          <w:rFonts w:ascii="Segoe UI" w:hAnsi="Segoe UI" w:cs="Segoe UI"/>
          <w:lang w:val="lt-LT"/>
        </w:rPr>
      </w:pPr>
    </w:p>
    <w:p w14:paraId="43FE41E2" w14:textId="67B564FB" w:rsidR="0098575F" w:rsidRDefault="009C6052" w:rsidP="0098575F">
      <w:pPr>
        <w:numPr>
          <w:ilvl w:val="0"/>
          <w:numId w:val="3"/>
        </w:numPr>
        <w:tabs>
          <w:tab w:val="clear" w:pos="750"/>
          <w:tab w:val="num" w:pos="360"/>
        </w:tabs>
        <w:ind w:left="360"/>
        <w:jc w:val="both"/>
        <w:rPr>
          <w:rFonts w:ascii="Segoe UI" w:hAnsi="Segoe UI" w:cs="Segoe UI"/>
          <w:lang w:val="lt-LT"/>
        </w:rPr>
      </w:pPr>
      <w:r w:rsidRPr="009C6052">
        <w:rPr>
          <w:rFonts w:ascii="Segoe UI" w:hAnsi="Segoe UI" w:cs="Segoe UI"/>
          <w:lang w:val="lt-LT"/>
        </w:rPr>
        <w:t>201</w:t>
      </w:r>
      <w:r w:rsidR="00BA5D21">
        <w:rPr>
          <w:rFonts w:ascii="Segoe UI" w:hAnsi="Segoe UI" w:cs="Segoe UI"/>
          <w:lang w:val="lt-LT"/>
        </w:rPr>
        <w:t>9</w:t>
      </w:r>
      <w:r w:rsidRPr="009C6052">
        <w:rPr>
          <w:rFonts w:ascii="Segoe UI" w:hAnsi="Segoe UI" w:cs="Segoe UI"/>
          <w:lang w:val="lt-LT"/>
        </w:rPr>
        <w:t xml:space="preserve"> m. </w:t>
      </w:r>
      <w:r w:rsidR="00676F2A">
        <w:rPr>
          <w:rFonts w:ascii="Segoe UI" w:hAnsi="Segoe UI" w:cs="Segoe UI"/>
          <w:lang w:val="lt-LT"/>
        </w:rPr>
        <w:t>rugsėjo</w:t>
      </w:r>
      <w:r w:rsidRPr="007E1067">
        <w:rPr>
          <w:rFonts w:ascii="Segoe UI" w:hAnsi="Segoe UI" w:cs="Segoe UI"/>
          <w:lang w:val="lt-LT"/>
        </w:rPr>
        <w:t xml:space="preserve"> </w:t>
      </w:r>
      <w:r w:rsidR="00676F2A">
        <w:rPr>
          <w:rFonts w:ascii="Segoe UI" w:hAnsi="Segoe UI" w:cs="Segoe UI"/>
          <w:lang w:val="lt-LT"/>
        </w:rPr>
        <w:t xml:space="preserve">  </w:t>
      </w:r>
      <w:r w:rsidR="00617B90">
        <w:rPr>
          <w:rFonts w:ascii="Segoe UI" w:hAnsi="Segoe UI" w:cs="Segoe UI"/>
          <w:lang w:val="lt-LT"/>
        </w:rPr>
        <w:t>30</w:t>
      </w:r>
      <w:r w:rsidRPr="002A2177">
        <w:rPr>
          <w:rFonts w:ascii="Segoe UI" w:hAnsi="Segoe UI" w:cs="Segoe UI"/>
          <w:lang w:val="lt-LT"/>
        </w:rPr>
        <w:t xml:space="preserve"> d. </w:t>
      </w:r>
      <w:r w:rsidR="00EF07BC" w:rsidRPr="002A2177">
        <w:rPr>
          <w:rFonts w:ascii="Segoe UI" w:hAnsi="Segoe UI" w:cs="Segoe UI"/>
          <w:lang w:val="lt-LT"/>
        </w:rPr>
        <w:t>Užsakov</w:t>
      </w:r>
      <w:r w:rsidR="0098575F">
        <w:rPr>
          <w:rFonts w:ascii="Segoe UI" w:hAnsi="Segoe UI" w:cs="Segoe UI"/>
          <w:lang w:val="lt-LT"/>
        </w:rPr>
        <w:t xml:space="preserve">as </w:t>
      </w:r>
      <w:r w:rsidR="00EF07BC" w:rsidRPr="00EF07BC">
        <w:rPr>
          <w:rFonts w:ascii="Segoe UI" w:hAnsi="Segoe UI" w:cs="Segoe UI"/>
          <w:lang w:val="lt-LT"/>
        </w:rPr>
        <w:t>Paslaugų teikėją pripažino laimėjusiu Pirkimą;</w:t>
      </w:r>
    </w:p>
    <w:p w14:paraId="021111CE" w14:textId="77777777" w:rsidR="0098575F" w:rsidRDefault="0098575F" w:rsidP="0098575F">
      <w:pPr>
        <w:pStyle w:val="ListParagraph"/>
        <w:rPr>
          <w:rFonts w:ascii="Segoe UI" w:hAnsi="Segoe UI" w:cs="Segoe UI"/>
          <w:lang w:val="lt-LT"/>
        </w:rPr>
      </w:pPr>
    </w:p>
    <w:p w14:paraId="33D8DA84" w14:textId="218E7632" w:rsidR="0098575F" w:rsidRDefault="00EF07BC" w:rsidP="00E45F7A">
      <w:pPr>
        <w:numPr>
          <w:ilvl w:val="0"/>
          <w:numId w:val="3"/>
        </w:numPr>
        <w:tabs>
          <w:tab w:val="clear" w:pos="750"/>
          <w:tab w:val="num" w:pos="426"/>
        </w:tabs>
        <w:ind w:left="426" w:hanging="426"/>
        <w:jc w:val="both"/>
        <w:rPr>
          <w:rFonts w:ascii="Segoe UI" w:hAnsi="Segoe UI" w:cs="Segoe UI"/>
          <w:lang w:val="lt-LT"/>
        </w:rPr>
      </w:pPr>
      <w:r w:rsidRPr="0098575F">
        <w:rPr>
          <w:rFonts w:ascii="Segoe UI" w:hAnsi="Segoe UI" w:cs="Segoe UI"/>
          <w:lang w:val="lt-LT"/>
        </w:rPr>
        <w:t xml:space="preserve">Paslaugų teikėjas turi </w:t>
      </w:r>
      <w:r w:rsidR="00E45F7A" w:rsidRPr="00E45F7A">
        <w:rPr>
          <w:rFonts w:ascii="Segoe UI" w:hAnsi="Segoe UI" w:cs="Segoe UI"/>
          <w:lang w:val="lt-LT"/>
        </w:rPr>
        <w:t xml:space="preserve">Informacinių technologijų ir telekomunikacijų sistemų vystymo </w:t>
      </w:r>
      <w:r w:rsidRPr="0098575F">
        <w:rPr>
          <w:rFonts w:ascii="Segoe UI" w:hAnsi="Segoe UI" w:cs="Segoe UI"/>
          <w:lang w:val="lt-LT"/>
        </w:rPr>
        <w:t>paslaugų teikimui būtiną įrangą, darbuotojus, žinias, bei yra pasirengęs teikti minėtas paslaugas, o Užsakovas pageidauja šias paslaugas įsigyti;</w:t>
      </w:r>
    </w:p>
    <w:p w14:paraId="40213B70" w14:textId="77777777" w:rsidR="0098575F" w:rsidRDefault="0098575F" w:rsidP="0098575F">
      <w:pPr>
        <w:pStyle w:val="ListParagraph"/>
        <w:rPr>
          <w:rFonts w:ascii="Segoe UI" w:hAnsi="Segoe UI" w:cs="Segoe UI"/>
          <w:lang w:val="lt-LT"/>
        </w:rPr>
      </w:pPr>
    </w:p>
    <w:p w14:paraId="5D146B09" w14:textId="2C510154" w:rsidR="00EF07BC" w:rsidRPr="0098575F" w:rsidRDefault="00EF07BC" w:rsidP="00E45F7A">
      <w:pPr>
        <w:numPr>
          <w:ilvl w:val="0"/>
          <w:numId w:val="3"/>
        </w:numPr>
        <w:tabs>
          <w:tab w:val="clear" w:pos="750"/>
          <w:tab w:val="num" w:pos="426"/>
        </w:tabs>
        <w:ind w:left="426" w:hanging="426"/>
        <w:jc w:val="both"/>
        <w:rPr>
          <w:rFonts w:ascii="Segoe UI" w:hAnsi="Segoe UI" w:cs="Segoe UI"/>
          <w:lang w:val="lt-LT"/>
        </w:rPr>
      </w:pPr>
      <w:r w:rsidRPr="0098575F">
        <w:rPr>
          <w:rFonts w:ascii="Segoe UI" w:hAnsi="Segoe UI" w:cs="Segoe UI"/>
          <w:lang w:val="lt-LT"/>
        </w:rPr>
        <w:t xml:space="preserve">Užsakovas pageidauja gauti kokybišką ir į informacinę saugą orientuotą </w:t>
      </w:r>
      <w:r w:rsidR="00E45F7A" w:rsidRPr="00E45F7A">
        <w:rPr>
          <w:rFonts w:ascii="Segoe UI" w:hAnsi="Segoe UI" w:cs="Segoe UI"/>
          <w:lang w:val="lt-LT"/>
        </w:rPr>
        <w:t>Informacinių technologijų ir telekomunikacijų sistemų vystymo paslaugos</w:t>
      </w:r>
      <w:r w:rsidRPr="0098575F">
        <w:rPr>
          <w:rFonts w:ascii="Segoe UI" w:hAnsi="Segoe UI" w:cs="Segoe UI"/>
          <w:lang w:val="lt-LT"/>
        </w:rPr>
        <w:t xml:space="preserve">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C" w14:textId="77777777" w:rsidR="007B39E8" w:rsidRPr="00EF07BC" w:rsidRDefault="007B39E8" w:rsidP="00C90AA3">
      <w:pPr>
        <w:jc w:val="both"/>
        <w:rPr>
          <w:rFonts w:ascii="Segoe UI" w:hAnsi="Segoe UI" w:cs="Segoe UI"/>
          <w:lang w:val="lt-LT"/>
        </w:rPr>
      </w:pP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6B07A24D" w:rsidR="00033C30" w:rsidRPr="00EF07BC" w:rsidRDefault="00ED6DC9" w:rsidP="00E45F7A">
      <w:pPr>
        <w:numPr>
          <w:ilvl w:val="1"/>
          <w:numId w:val="5"/>
        </w:numPr>
        <w:tabs>
          <w:tab w:val="clear" w:pos="1080"/>
        </w:tabs>
        <w:ind w:left="567" w:hanging="425"/>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E45F7A" w:rsidRPr="00E45F7A">
        <w:rPr>
          <w:rFonts w:ascii="Segoe UI" w:hAnsi="Segoe UI" w:cs="Segoe UI"/>
          <w:lang w:val="lt-LT"/>
        </w:rPr>
        <w:t xml:space="preserve">Informacinių technologijų ir telekomunikacijų sistemų vystymo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lastRenderedPageBreak/>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77777777"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011B760B" w14:textId="294F3BC5" w:rsidR="002163E1" w:rsidRPr="002163E1" w:rsidRDefault="006F3289" w:rsidP="00C61F4A">
      <w:pPr>
        <w:numPr>
          <w:ilvl w:val="2"/>
          <w:numId w:val="5"/>
        </w:numPr>
        <w:ind w:left="709" w:hanging="709"/>
        <w:jc w:val="both"/>
        <w:rPr>
          <w:rFonts w:ascii="Segoe UI" w:hAnsi="Segoe UI" w:cs="Segoe UI"/>
          <w:lang w:val="lt-LT"/>
        </w:rPr>
      </w:pPr>
      <w:r w:rsidRPr="002163E1">
        <w:rPr>
          <w:rFonts w:ascii="Segoe UI" w:hAnsi="Segoe UI" w:cs="Segoe UI"/>
          <w:lang w:val="lt-LT"/>
        </w:rPr>
        <w:t xml:space="preserve">Apie pastebėtas </w:t>
      </w:r>
      <w:r w:rsidR="0014650E" w:rsidRPr="002163E1">
        <w:rPr>
          <w:rFonts w:ascii="Segoe UI" w:hAnsi="Segoe UI" w:cs="Segoe UI"/>
          <w:lang w:val="lt-LT"/>
        </w:rPr>
        <w:t xml:space="preserve">rizikas, incidentus, </w:t>
      </w:r>
      <w:r w:rsidRPr="002163E1">
        <w:rPr>
          <w:rFonts w:ascii="Segoe UI" w:hAnsi="Segoe UI" w:cs="Segoe UI"/>
          <w:lang w:val="lt-LT"/>
        </w:rPr>
        <w:t>klaidas, gedimus, kokybinius pokyčius arba nesklandumus teikiant Paslaugas</w:t>
      </w:r>
      <w:r w:rsidR="005272BA" w:rsidRPr="002163E1">
        <w:rPr>
          <w:rFonts w:ascii="Segoe UI" w:hAnsi="Segoe UI" w:cs="Segoe UI"/>
          <w:lang w:val="lt-LT"/>
        </w:rPr>
        <w:t>,</w:t>
      </w:r>
      <w:r w:rsidRPr="002163E1">
        <w:rPr>
          <w:rFonts w:ascii="Segoe UI" w:hAnsi="Segoe UI" w:cs="Segoe UI"/>
          <w:lang w:val="lt-LT"/>
        </w:rPr>
        <w:t xml:space="preserve"> Užsakovas įsipareigoja informuoti Paslaugų teikėjo</w:t>
      </w:r>
      <w:r w:rsidR="002163E1" w:rsidRPr="002163E1">
        <w:rPr>
          <w:rFonts w:ascii="Segoe UI" w:hAnsi="Segoe UI" w:cs="Segoe UI"/>
          <w:lang w:val="lt-LT"/>
        </w:rPr>
        <w:t xml:space="preserve"> Pagalbos tarnybą </w:t>
      </w:r>
      <w:proofErr w:type="spellStart"/>
      <w:r w:rsidR="002163E1" w:rsidRPr="002163E1">
        <w:rPr>
          <w:rFonts w:ascii="Segoe UI" w:eastAsia="Segoe UI" w:hAnsi="Segoe UI" w:cs="Segoe UI"/>
        </w:rPr>
        <w:t>Sutarties</w:t>
      </w:r>
      <w:proofErr w:type="spellEnd"/>
      <w:r w:rsidR="002163E1" w:rsidRPr="002163E1">
        <w:rPr>
          <w:rFonts w:ascii="Segoe UI" w:eastAsia="Segoe UI" w:hAnsi="Segoe UI" w:cs="Segoe UI"/>
        </w:rPr>
        <w:t xml:space="preserve"> 1 </w:t>
      </w:r>
      <w:proofErr w:type="spellStart"/>
      <w:r w:rsidR="002163E1" w:rsidRPr="002163E1">
        <w:rPr>
          <w:rFonts w:ascii="Segoe UI" w:eastAsia="Segoe UI" w:hAnsi="Segoe UI" w:cs="Segoe UI"/>
        </w:rPr>
        <w:t>priede</w:t>
      </w:r>
      <w:proofErr w:type="spellEnd"/>
      <w:r w:rsidR="002163E1" w:rsidRPr="002163E1">
        <w:rPr>
          <w:rFonts w:ascii="Segoe UI" w:eastAsia="Segoe UI" w:hAnsi="Segoe UI" w:cs="Segoe UI"/>
        </w:rPr>
        <w:t xml:space="preserve"> </w:t>
      </w:r>
      <w:proofErr w:type="spellStart"/>
      <w:r w:rsidR="002163E1" w:rsidRPr="002163E1">
        <w:rPr>
          <w:rFonts w:ascii="Segoe UI" w:eastAsia="Segoe UI" w:hAnsi="Segoe UI" w:cs="Segoe UI"/>
        </w:rPr>
        <w:t>nurodytais</w:t>
      </w:r>
      <w:proofErr w:type="spellEnd"/>
      <w:r w:rsidR="002163E1" w:rsidRPr="002163E1">
        <w:rPr>
          <w:rFonts w:ascii="Segoe UI" w:eastAsia="Segoe UI" w:hAnsi="Segoe UI" w:cs="Segoe UI"/>
        </w:rPr>
        <w:t xml:space="preserve"> </w:t>
      </w:r>
      <w:proofErr w:type="spellStart"/>
      <w:r w:rsidR="002163E1" w:rsidRPr="002163E1">
        <w:rPr>
          <w:rFonts w:ascii="Segoe UI" w:eastAsia="Segoe UI" w:hAnsi="Segoe UI" w:cs="Segoe UI"/>
        </w:rPr>
        <w:t>kontaktais</w:t>
      </w:r>
      <w:proofErr w:type="spellEnd"/>
      <w:r w:rsidR="002163E1">
        <w:rPr>
          <w:rFonts w:ascii="Segoe UI" w:hAnsi="Segoe UI" w:cs="Segoe UI"/>
          <w:lang w:val="lt-LT"/>
        </w:rPr>
        <w:t>.</w:t>
      </w:r>
    </w:p>
    <w:p w14:paraId="6522BF8D" w14:textId="77777777" w:rsidR="002163E1" w:rsidRPr="002163E1" w:rsidRDefault="002163E1" w:rsidP="002163E1">
      <w:pPr>
        <w:ind w:left="709"/>
        <w:jc w:val="both"/>
        <w:rPr>
          <w:rFonts w:ascii="Segoe UI" w:hAnsi="Segoe UI" w:cs="Segoe UI"/>
          <w:lang w:val="lt-LT"/>
        </w:rPr>
      </w:pPr>
    </w:p>
    <w:p w14:paraId="5D146B54" w14:textId="77777777" w:rsidR="0092779A" w:rsidRPr="00EF07BC" w:rsidRDefault="006448AB" w:rsidP="00C90AA3">
      <w:pPr>
        <w:numPr>
          <w:ilvl w:val="2"/>
          <w:numId w:val="5"/>
        </w:numPr>
        <w:jc w:val="both"/>
        <w:rPr>
          <w:rFonts w:ascii="Segoe UI" w:hAnsi="Segoe UI" w:cs="Segoe UI"/>
          <w:lang w:val="lt-LT"/>
        </w:rPr>
      </w:pPr>
      <w:r w:rsidRPr="00EF07BC">
        <w:rPr>
          <w:rFonts w:ascii="Segoe UI" w:hAnsi="Segoe UI" w:cs="Segoe UI"/>
          <w:lang w:val="lt-LT"/>
        </w:rPr>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w:t>
      </w:r>
      <w:r w:rsidR="00DD1000" w:rsidRPr="00EF07BC">
        <w:rPr>
          <w:rFonts w:ascii="Segoe UI" w:hAnsi="Segoe UI" w:cs="Segoe UI"/>
          <w:lang w:val="lt-LT"/>
        </w:rPr>
        <w:lastRenderedPageBreak/>
        <w:t xml:space="preserve">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Pasikeitus Šalies 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630B6551"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5D146B7F" w14:textId="77777777" w:rsidR="00011E39" w:rsidRDefault="00011E39" w:rsidP="00011E39">
      <w:pPr>
        <w:pStyle w:val="ListParagraph"/>
        <w:rPr>
          <w:rFonts w:ascii="Segoe UI" w:hAnsi="Segoe UI" w:cs="Segoe UI"/>
          <w:lang w:val="lt-LT"/>
        </w:rPr>
      </w:pPr>
    </w:p>
    <w:p w14:paraId="5D146B81" w14:textId="6192E61D" w:rsidR="00011E39" w:rsidRPr="00F457DD" w:rsidRDefault="00D27AD4" w:rsidP="00E16BD2">
      <w:pPr>
        <w:numPr>
          <w:ilvl w:val="1"/>
          <w:numId w:val="5"/>
        </w:numPr>
        <w:tabs>
          <w:tab w:val="clear" w:pos="1080"/>
          <w:tab w:val="num" w:pos="567"/>
        </w:tabs>
        <w:ind w:left="567" w:hanging="567"/>
        <w:jc w:val="both"/>
        <w:rPr>
          <w:rFonts w:ascii="Segoe UI" w:hAnsi="Segoe UI" w:cs="Segoe UI"/>
          <w:lang w:val="lt-LT"/>
        </w:rPr>
      </w:pPr>
      <w:r w:rsidRPr="009A52CA">
        <w:rPr>
          <w:rFonts w:ascii="Segoe UI" w:hAnsi="Segoe UI" w:cs="Segoe UI"/>
          <w:lang w:val="lt-LT"/>
        </w:rPr>
        <w:t>Bendr</w:t>
      </w:r>
      <w:r w:rsidR="00312E85">
        <w:rPr>
          <w:rFonts w:ascii="Segoe UI" w:hAnsi="Segoe UI" w:cs="Segoe UI"/>
          <w:lang w:val="lt-LT"/>
        </w:rPr>
        <w:t>a</w:t>
      </w:r>
      <w:r w:rsidRPr="009A52CA">
        <w:rPr>
          <w:rFonts w:ascii="Segoe UI" w:hAnsi="Segoe UI" w:cs="Segoe UI"/>
          <w:lang w:val="lt-LT"/>
        </w:rPr>
        <w:t xml:space="preserve"> </w:t>
      </w:r>
      <w:r w:rsidR="005B6C9D" w:rsidRPr="009A52CA">
        <w:rPr>
          <w:rFonts w:ascii="Segoe UI" w:hAnsi="Segoe UI" w:cs="Segoe UI"/>
          <w:lang w:val="lt-LT"/>
        </w:rPr>
        <w:t xml:space="preserve">Paslaugų </w:t>
      </w:r>
      <w:r w:rsidRPr="009A52CA">
        <w:rPr>
          <w:rFonts w:ascii="Segoe UI" w:hAnsi="Segoe UI" w:cs="Segoe UI"/>
          <w:lang w:val="lt-LT"/>
        </w:rPr>
        <w:t>kain</w:t>
      </w:r>
      <w:r w:rsidR="00312E85">
        <w:rPr>
          <w:rFonts w:ascii="Segoe UI" w:hAnsi="Segoe UI" w:cs="Segoe UI"/>
          <w:lang w:val="lt-LT"/>
        </w:rPr>
        <w:t xml:space="preserve">a </w:t>
      </w:r>
      <w:r w:rsidR="00312E85" w:rsidRPr="00806B4F">
        <w:rPr>
          <w:rFonts w:ascii="Segoe UI" w:hAnsi="Segoe UI" w:cs="Segoe UI"/>
          <w:lang w:val="lt-LT"/>
        </w:rPr>
        <w:t>yra</w:t>
      </w:r>
      <w:r w:rsidR="005B6C9D" w:rsidRPr="00806B4F">
        <w:rPr>
          <w:rFonts w:ascii="Segoe UI" w:hAnsi="Segoe UI" w:cs="Segoe UI"/>
          <w:lang w:val="lt-LT"/>
        </w:rPr>
        <w:t xml:space="preserve"> </w:t>
      </w:r>
      <w:r w:rsidR="00676F2A">
        <w:rPr>
          <w:rFonts w:ascii="Segoe UI" w:hAnsi="Segoe UI" w:cs="Segoe UI"/>
          <w:lang w:val="lt-LT"/>
        </w:rPr>
        <w:t>3</w:t>
      </w:r>
      <w:r w:rsidR="00D44E60">
        <w:rPr>
          <w:rFonts w:ascii="Segoe UI" w:hAnsi="Segoe UI" w:cs="Segoe UI"/>
          <w:lang w:val="lt-LT"/>
        </w:rPr>
        <w:t>99</w:t>
      </w:r>
      <w:r w:rsidR="00676F2A">
        <w:rPr>
          <w:rFonts w:ascii="Segoe UI" w:hAnsi="Segoe UI" w:cs="Segoe UI"/>
          <w:lang w:val="lt-LT"/>
        </w:rPr>
        <w:t xml:space="preserve"> </w:t>
      </w:r>
      <w:r w:rsidR="00D44E60">
        <w:rPr>
          <w:rFonts w:ascii="Segoe UI" w:hAnsi="Segoe UI" w:cs="Segoe UI"/>
          <w:lang w:val="lt-LT"/>
        </w:rPr>
        <w:t>542</w:t>
      </w:r>
      <w:r w:rsidR="0098323A" w:rsidRPr="00806B4F">
        <w:rPr>
          <w:rFonts w:ascii="Segoe UI" w:hAnsi="Segoe UI" w:cs="Segoe UI"/>
        </w:rPr>
        <w:t>,00</w:t>
      </w:r>
      <w:r w:rsidR="0098323A">
        <w:rPr>
          <w:rFonts w:ascii="Arial" w:hAnsi="Arial" w:cs="Arial"/>
        </w:rPr>
        <w:t xml:space="preserve"> </w:t>
      </w:r>
      <w:r w:rsidR="005B6C9D" w:rsidRPr="00F457DD">
        <w:rPr>
          <w:rFonts w:ascii="Segoe UI" w:hAnsi="Segoe UI" w:cs="Segoe UI"/>
          <w:lang w:val="lt-LT"/>
        </w:rPr>
        <w:t>EUR (</w:t>
      </w:r>
      <w:r w:rsidR="00676F2A">
        <w:rPr>
          <w:rFonts w:ascii="Segoe UI" w:hAnsi="Segoe UI" w:cs="Segoe UI"/>
          <w:lang w:val="lt-LT"/>
        </w:rPr>
        <w:t xml:space="preserve">trys šimtai </w:t>
      </w:r>
      <w:proofErr w:type="spellStart"/>
      <w:r w:rsidR="00D44E60">
        <w:rPr>
          <w:rFonts w:ascii="Segoe UI" w:hAnsi="Segoe UI" w:cs="Segoe UI"/>
          <w:lang w:val="lt-LT"/>
        </w:rPr>
        <w:t>devyniasdežimt</w:t>
      </w:r>
      <w:proofErr w:type="spellEnd"/>
      <w:r w:rsidR="00D44E60">
        <w:rPr>
          <w:rFonts w:ascii="Segoe UI" w:hAnsi="Segoe UI" w:cs="Segoe UI"/>
          <w:lang w:val="lt-LT"/>
        </w:rPr>
        <w:t xml:space="preserve"> devyni </w:t>
      </w:r>
      <w:r w:rsidR="00676F2A">
        <w:rPr>
          <w:rFonts w:ascii="Segoe UI" w:hAnsi="Segoe UI" w:cs="Segoe UI"/>
          <w:lang w:val="lt-LT"/>
        </w:rPr>
        <w:t>tūkstanči</w:t>
      </w:r>
      <w:r w:rsidR="00D44E60">
        <w:rPr>
          <w:rFonts w:ascii="Segoe UI" w:hAnsi="Segoe UI" w:cs="Segoe UI"/>
          <w:lang w:val="lt-LT"/>
        </w:rPr>
        <w:t>ai penki šimtai keturiasdešimt du</w:t>
      </w:r>
      <w:r w:rsidR="00E45F7A">
        <w:rPr>
          <w:rFonts w:ascii="Segoe UI" w:hAnsi="Segoe UI" w:cs="Segoe UI"/>
          <w:lang w:val="lt-LT"/>
        </w:rPr>
        <w:t xml:space="preserve"> eur</w:t>
      </w:r>
      <w:r w:rsidR="00D44E60">
        <w:rPr>
          <w:rFonts w:ascii="Segoe UI" w:hAnsi="Segoe UI" w:cs="Segoe UI"/>
          <w:lang w:val="lt-LT"/>
        </w:rPr>
        <w:t>ai</w:t>
      </w:r>
      <w:r w:rsidR="00F457DD" w:rsidRPr="00F457DD">
        <w:rPr>
          <w:rFonts w:ascii="Segoe UI" w:hAnsi="Segoe UI" w:cs="Segoe UI"/>
          <w:lang w:val="lt-LT"/>
        </w:rPr>
        <w:t xml:space="preserve"> 00 ct</w:t>
      </w:r>
      <w:r w:rsidR="005B6C9D" w:rsidRPr="00F457DD">
        <w:rPr>
          <w:rFonts w:ascii="Segoe UI" w:hAnsi="Segoe UI" w:cs="Segoe UI"/>
          <w:lang w:val="lt-LT"/>
        </w:rPr>
        <w:t>), įskaitant PVM. Bendrą Paslaugų kainą sudaro</w:t>
      </w:r>
      <w:r w:rsidR="00011E39" w:rsidRPr="00F457DD">
        <w:rPr>
          <w:rFonts w:ascii="Segoe UI" w:hAnsi="Segoe UI" w:cs="Segoe UI"/>
          <w:lang w:val="lt-LT"/>
        </w:rPr>
        <w:t xml:space="preserve">:  </w:t>
      </w:r>
    </w:p>
    <w:p w14:paraId="5D146B82" w14:textId="766FD32F" w:rsidR="00011E39"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F457DD">
        <w:rPr>
          <w:rFonts w:ascii="Segoe UI" w:hAnsi="Segoe UI" w:cs="Segoe UI"/>
        </w:rPr>
        <w:t>Paslaugų</w:t>
      </w:r>
      <w:proofErr w:type="spellEnd"/>
      <w:r w:rsidRPr="00F457DD">
        <w:rPr>
          <w:rFonts w:ascii="Segoe UI" w:hAnsi="Segoe UI" w:cs="Segoe UI"/>
        </w:rPr>
        <w:t xml:space="preserve"> </w:t>
      </w:r>
      <w:proofErr w:type="spellStart"/>
      <w:r w:rsidRPr="00F457DD">
        <w:rPr>
          <w:rFonts w:ascii="Segoe UI" w:hAnsi="Segoe UI" w:cs="Segoe UI"/>
        </w:rPr>
        <w:t>kaina</w:t>
      </w:r>
      <w:proofErr w:type="spellEnd"/>
      <w:r w:rsidR="001531AB" w:rsidRPr="00F457DD">
        <w:rPr>
          <w:rFonts w:ascii="Segoe UI" w:hAnsi="Segoe UI" w:cs="Segoe UI"/>
        </w:rPr>
        <w:t xml:space="preserve"> </w:t>
      </w:r>
      <w:r w:rsidR="00852E57">
        <w:rPr>
          <w:rFonts w:ascii="Segoe UI" w:hAnsi="Segoe UI" w:cs="Segoe UI"/>
        </w:rPr>
        <w:t>–</w:t>
      </w:r>
      <w:r w:rsidRPr="00F457DD">
        <w:rPr>
          <w:rFonts w:ascii="Segoe UI" w:hAnsi="Segoe UI" w:cs="Segoe UI"/>
        </w:rPr>
        <w:t xml:space="preserve"> </w:t>
      </w:r>
      <w:r w:rsidR="00D44E60" w:rsidRPr="00D44E60">
        <w:rPr>
          <w:rFonts w:ascii="Segoe UI" w:hAnsi="Segoe UI" w:cs="Segoe UI"/>
        </w:rPr>
        <w:t>330 200,00 EUR (</w:t>
      </w:r>
      <w:proofErr w:type="spellStart"/>
      <w:r w:rsidR="00D44E60" w:rsidRPr="00D44E60">
        <w:rPr>
          <w:rFonts w:ascii="Segoe UI" w:hAnsi="Segoe UI" w:cs="Segoe UI"/>
        </w:rPr>
        <w:t>trys</w:t>
      </w:r>
      <w:proofErr w:type="spellEnd"/>
      <w:r w:rsidR="00D44E60" w:rsidRPr="00D44E60">
        <w:rPr>
          <w:rFonts w:ascii="Segoe UI" w:hAnsi="Segoe UI" w:cs="Segoe UI"/>
        </w:rPr>
        <w:t xml:space="preserve"> </w:t>
      </w:r>
      <w:proofErr w:type="spellStart"/>
      <w:r w:rsidR="00D44E60" w:rsidRPr="00D44E60">
        <w:rPr>
          <w:rFonts w:ascii="Segoe UI" w:hAnsi="Segoe UI" w:cs="Segoe UI"/>
        </w:rPr>
        <w:t>šimtai</w:t>
      </w:r>
      <w:proofErr w:type="spellEnd"/>
      <w:r w:rsidR="00D44E60" w:rsidRPr="00D44E60">
        <w:rPr>
          <w:rFonts w:ascii="Segoe UI" w:hAnsi="Segoe UI" w:cs="Segoe UI"/>
        </w:rPr>
        <w:t xml:space="preserve"> </w:t>
      </w:r>
      <w:proofErr w:type="spellStart"/>
      <w:r w:rsidR="00D44E60" w:rsidRPr="00D44E60">
        <w:rPr>
          <w:rFonts w:ascii="Segoe UI" w:hAnsi="Segoe UI" w:cs="Segoe UI"/>
        </w:rPr>
        <w:t>trisdešimt</w:t>
      </w:r>
      <w:proofErr w:type="spellEnd"/>
      <w:r w:rsidR="00D44E60" w:rsidRPr="00D44E60">
        <w:rPr>
          <w:rFonts w:ascii="Segoe UI" w:hAnsi="Segoe UI" w:cs="Segoe UI"/>
        </w:rPr>
        <w:t xml:space="preserve"> </w:t>
      </w:r>
      <w:proofErr w:type="spellStart"/>
      <w:r w:rsidR="00D44E60" w:rsidRPr="00D44E60">
        <w:rPr>
          <w:rFonts w:ascii="Segoe UI" w:hAnsi="Segoe UI" w:cs="Segoe UI"/>
        </w:rPr>
        <w:t>tūkstančių</w:t>
      </w:r>
      <w:proofErr w:type="spellEnd"/>
      <w:r w:rsidR="00D44E60" w:rsidRPr="00D44E60">
        <w:rPr>
          <w:rFonts w:ascii="Segoe UI" w:hAnsi="Segoe UI" w:cs="Segoe UI"/>
        </w:rPr>
        <w:t xml:space="preserve"> du </w:t>
      </w:r>
      <w:proofErr w:type="spellStart"/>
      <w:r w:rsidR="00D44E60" w:rsidRPr="00D44E60">
        <w:rPr>
          <w:rFonts w:ascii="Segoe UI" w:hAnsi="Segoe UI" w:cs="Segoe UI"/>
        </w:rPr>
        <w:t>šimtai</w:t>
      </w:r>
      <w:proofErr w:type="spellEnd"/>
      <w:r w:rsidR="00D44E60" w:rsidRPr="00D44E60">
        <w:rPr>
          <w:rFonts w:ascii="Segoe UI" w:hAnsi="Segoe UI" w:cs="Segoe UI"/>
        </w:rPr>
        <w:t xml:space="preserve"> </w:t>
      </w:r>
      <w:proofErr w:type="spellStart"/>
      <w:r w:rsidR="00D44E60" w:rsidRPr="00D44E60">
        <w:rPr>
          <w:rFonts w:ascii="Segoe UI" w:hAnsi="Segoe UI" w:cs="Segoe UI"/>
        </w:rPr>
        <w:t>eurų</w:t>
      </w:r>
      <w:proofErr w:type="spellEnd"/>
      <w:r w:rsidR="00D44E60" w:rsidRPr="00D44E60">
        <w:rPr>
          <w:rFonts w:ascii="Segoe UI" w:hAnsi="Segoe UI" w:cs="Segoe UI"/>
        </w:rPr>
        <w:t xml:space="preserve"> 00 </w:t>
      </w:r>
      <w:proofErr w:type="spellStart"/>
      <w:r w:rsidR="00D44E60" w:rsidRPr="00D44E60">
        <w:rPr>
          <w:rFonts w:ascii="Segoe UI" w:hAnsi="Segoe UI" w:cs="Segoe UI"/>
        </w:rPr>
        <w:t>ct</w:t>
      </w:r>
      <w:proofErr w:type="spellEnd"/>
      <w:r w:rsidR="00D44E60" w:rsidRPr="00D44E60">
        <w:rPr>
          <w:rFonts w:ascii="Segoe UI" w:hAnsi="Segoe UI" w:cs="Segoe UI"/>
        </w:rPr>
        <w:t xml:space="preserve">), </w:t>
      </w:r>
      <w:proofErr w:type="spellStart"/>
      <w:r w:rsidRPr="00761459">
        <w:rPr>
          <w:rFonts w:ascii="Segoe UI" w:hAnsi="Segoe UI" w:cs="Segoe UI"/>
        </w:rPr>
        <w:t>neįskaitant</w:t>
      </w:r>
      <w:proofErr w:type="spellEnd"/>
      <w:r w:rsidR="00761459">
        <w:rPr>
          <w:rFonts w:ascii="Segoe UI" w:hAnsi="Segoe UI" w:cs="Segoe UI"/>
        </w:rPr>
        <w:t xml:space="preserve"> </w:t>
      </w:r>
      <w:r w:rsidRPr="00312E85">
        <w:rPr>
          <w:rFonts w:ascii="Segoe UI" w:hAnsi="Segoe UI" w:cs="Segoe UI"/>
        </w:rPr>
        <w:t>PVM</w:t>
      </w:r>
      <w:r w:rsidR="00011E39" w:rsidRPr="00312E85">
        <w:rPr>
          <w:rFonts w:ascii="Segoe UI" w:hAnsi="Segoe UI" w:cs="Segoe UI"/>
        </w:rPr>
        <w:t>;</w:t>
      </w:r>
    </w:p>
    <w:p w14:paraId="5D146B83" w14:textId="46BA67B3" w:rsidR="00011E39" w:rsidRPr="00E22244"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E22244">
        <w:rPr>
          <w:rFonts w:ascii="Segoe UI" w:hAnsi="Segoe UI" w:cs="Segoe UI"/>
        </w:rPr>
        <w:t>Pridėtinės</w:t>
      </w:r>
      <w:proofErr w:type="spellEnd"/>
      <w:r w:rsidRPr="00E22244">
        <w:rPr>
          <w:rFonts w:ascii="Segoe UI" w:hAnsi="Segoe UI" w:cs="Segoe UI"/>
        </w:rPr>
        <w:t xml:space="preserve"> </w:t>
      </w:r>
      <w:proofErr w:type="spellStart"/>
      <w:r w:rsidRPr="00E22244">
        <w:rPr>
          <w:rFonts w:ascii="Segoe UI" w:hAnsi="Segoe UI" w:cs="Segoe UI"/>
        </w:rPr>
        <w:t>vertės</w:t>
      </w:r>
      <w:proofErr w:type="spellEnd"/>
      <w:r w:rsidRPr="00E22244">
        <w:rPr>
          <w:rFonts w:ascii="Segoe UI" w:hAnsi="Segoe UI" w:cs="Segoe UI"/>
        </w:rPr>
        <w:t xml:space="preserve"> </w:t>
      </w:r>
      <w:proofErr w:type="spellStart"/>
      <w:r w:rsidRPr="00E22244">
        <w:rPr>
          <w:rFonts w:ascii="Segoe UI" w:hAnsi="Segoe UI" w:cs="Segoe UI"/>
        </w:rPr>
        <w:t>mokestis</w:t>
      </w:r>
      <w:proofErr w:type="spellEnd"/>
      <w:r w:rsidRPr="00E22244">
        <w:rPr>
          <w:rFonts w:ascii="Segoe UI" w:hAnsi="Segoe UI" w:cs="Segoe UI"/>
        </w:rPr>
        <w:t xml:space="preserve"> (PVM) 21 % -</w:t>
      </w:r>
      <w:r w:rsidR="0098323A">
        <w:rPr>
          <w:rFonts w:ascii="Segoe UI" w:hAnsi="Segoe UI" w:cs="Segoe UI"/>
        </w:rPr>
        <w:t xml:space="preserve"> </w:t>
      </w:r>
      <w:r w:rsidR="00D44E60">
        <w:rPr>
          <w:rFonts w:ascii="Segoe UI" w:hAnsi="Segoe UI" w:cs="Segoe UI"/>
        </w:rPr>
        <w:t>69342</w:t>
      </w:r>
      <w:r w:rsidR="0098323A">
        <w:rPr>
          <w:rFonts w:ascii="Segoe UI" w:hAnsi="Segoe UI" w:cs="Segoe UI"/>
          <w:lang w:val="en-US"/>
        </w:rPr>
        <w:t>,00</w:t>
      </w:r>
      <w:r w:rsidR="00063086">
        <w:rPr>
          <w:rFonts w:ascii="Segoe UI" w:hAnsi="Segoe UI" w:cs="Segoe UI"/>
        </w:rPr>
        <w:t xml:space="preserve"> </w:t>
      </w:r>
      <w:r w:rsidRPr="00E22244">
        <w:rPr>
          <w:rFonts w:ascii="Segoe UI" w:hAnsi="Segoe UI" w:cs="Segoe UI"/>
        </w:rPr>
        <w:t>EUR (</w:t>
      </w:r>
      <w:proofErr w:type="spellStart"/>
      <w:r w:rsidR="00D44E60">
        <w:rPr>
          <w:rFonts w:ascii="Segoe UI" w:hAnsi="Segoe UI" w:cs="Segoe UI"/>
        </w:rPr>
        <w:t>šešiasdešimt</w:t>
      </w:r>
      <w:proofErr w:type="spellEnd"/>
      <w:r w:rsidR="00D44E60">
        <w:rPr>
          <w:rFonts w:ascii="Segoe UI" w:hAnsi="Segoe UI" w:cs="Segoe UI"/>
        </w:rPr>
        <w:t xml:space="preserve"> </w:t>
      </w:r>
      <w:proofErr w:type="spellStart"/>
      <w:r w:rsidR="00D44E60">
        <w:rPr>
          <w:rFonts w:ascii="Segoe UI" w:hAnsi="Segoe UI" w:cs="Segoe UI"/>
        </w:rPr>
        <w:t>devyni</w:t>
      </w:r>
      <w:proofErr w:type="spellEnd"/>
      <w:r w:rsidR="00D44E60">
        <w:rPr>
          <w:rFonts w:ascii="Segoe UI" w:hAnsi="Segoe UI" w:cs="Segoe UI"/>
        </w:rPr>
        <w:t xml:space="preserve"> </w:t>
      </w:r>
      <w:proofErr w:type="spellStart"/>
      <w:r w:rsidR="00D44E60">
        <w:rPr>
          <w:rFonts w:ascii="Segoe UI" w:hAnsi="Segoe UI" w:cs="Segoe UI"/>
        </w:rPr>
        <w:t>tūkstančiai</w:t>
      </w:r>
      <w:proofErr w:type="spellEnd"/>
      <w:r w:rsidR="00D44E60">
        <w:rPr>
          <w:rFonts w:ascii="Segoe UI" w:hAnsi="Segoe UI" w:cs="Segoe UI"/>
        </w:rPr>
        <w:t xml:space="preserve"> </w:t>
      </w:r>
      <w:proofErr w:type="spellStart"/>
      <w:r w:rsidR="00D44E60">
        <w:rPr>
          <w:rFonts w:ascii="Segoe UI" w:hAnsi="Segoe UI" w:cs="Segoe UI"/>
        </w:rPr>
        <w:t>trys</w:t>
      </w:r>
      <w:proofErr w:type="spellEnd"/>
      <w:r w:rsidR="00D44E60">
        <w:rPr>
          <w:rFonts w:ascii="Segoe UI" w:hAnsi="Segoe UI" w:cs="Segoe UI"/>
        </w:rPr>
        <w:t xml:space="preserve"> </w:t>
      </w:r>
      <w:proofErr w:type="spellStart"/>
      <w:r w:rsidR="00D44E60">
        <w:rPr>
          <w:rFonts w:ascii="Segoe UI" w:hAnsi="Segoe UI" w:cs="Segoe UI"/>
        </w:rPr>
        <w:t>šimtai</w:t>
      </w:r>
      <w:proofErr w:type="spellEnd"/>
      <w:r w:rsidR="00D44E60">
        <w:rPr>
          <w:rFonts w:ascii="Segoe UI" w:hAnsi="Segoe UI" w:cs="Segoe UI"/>
        </w:rPr>
        <w:t xml:space="preserve"> </w:t>
      </w:r>
      <w:proofErr w:type="spellStart"/>
      <w:r w:rsidR="00D44E60">
        <w:rPr>
          <w:rFonts w:ascii="Segoe UI" w:hAnsi="Segoe UI" w:cs="Segoe UI"/>
        </w:rPr>
        <w:t>keturiasdešimt</w:t>
      </w:r>
      <w:proofErr w:type="spellEnd"/>
      <w:r w:rsidR="00D44E60">
        <w:rPr>
          <w:rFonts w:ascii="Segoe UI" w:hAnsi="Segoe UI" w:cs="Segoe UI"/>
        </w:rPr>
        <w:t xml:space="preserve"> du</w:t>
      </w:r>
      <w:r w:rsidR="00E45F7A">
        <w:rPr>
          <w:rFonts w:ascii="Segoe UI" w:hAnsi="Segoe UI" w:cs="Segoe UI"/>
          <w:lang w:val="lt-LT"/>
        </w:rPr>
        <w:t xml:space="preserve"> eur</w:t>
      </w:r>
      <w:r w:rsidR="00D44E60">
        <w:rPr>
          <w:rFonts w:ascii="Segoe UI" w:hAnsi="Segoe UI" w:cs="Segoe UI"/>
          <w:lang w:val="lt-LT"/>
        </w:rPr>
        <w:t>ai</w:t>
      </w:r>
      <w:r w:rsidR="00E45F7A">
        <w:rPr>
          <w:rFonts w:ascii="Segoe UI" w:hAnsi="Segoe UI" w:cs="Segoe UI"/>
          <w:lang w:val="lt-LT"/>
        </w:rPr>
        <w:t xml:space="preserve"> </w:t>
      </w:r>
      <w:r w:rsidR="00E22244">
        <w:rPr>
          <w:rFonts w:ascii="Segoe UI" w:hAnsi="Segoe UI" w:cs="Segoe UI"/>
        </w:rPr>
        <w:t xml:space="preserve">00 </w:t>
      </w:r>
      <w:proofErr w:type="spellStart"/>
      <w:r w:rsidR="00E22244">
        <w:rPr>
          <w:rFonts w:ascii="Segoe UI" w:hAnsi="Segoe UI" w:cs="Segoe UI"/>
        </w:rPr>
        <w:t>ct</w:t>
      </w:r>
      <w:proofErr w:type="spellEnd"/>
      <w:r w:rsidRPr="00E22244">
        <w:rPr>
          <w:rFonts w:ascii="Segoe UI" w:hAnsi="Segoe UI" w:cs="Segoe UI"/>
        </w:rPr>
        <w:t>)</w:t>
      </w:r>
      <w:r w:rsidR="00011E39" w:rsidRPr="00E22244">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w:t>
      </w:r>
      <w:r w:rsidRPr="00EF07BC">
        <w:rPr>
          <w:rFonts w:ascii="Segoe UI" w:hAnsi="Segoe UI" w:cs="Segoe UI"/>
          <w:lang w:val="lt-LT"/>
        </w:rPr>
        <w:lastRenderedPageBreak/>
        <w:t xml:space="preserve">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0CD2DF51" w:rsidR="00173681" w:rsidRPr="001757CB" w:rsidRDefault="00173681" w:rsidP="00C90AA3">
      <w:pPr>
        <w:pStyle w:val="ListParagraph"/>
        <w:numPr>
          <w:ilvl w:val="1"/>
          <w:numId w:val="5"/>
        </w:numPr>
        <w:ind w:left="567" w:hanging="567"/>
        <w:jc w:val="both"/>
        <w:rPr>
          <w:rFonts w:ascii="Segoe UI" w:hAnsi="Segoe UI" w:cs="Segoe UI"/>
          <w:lang w:val="lt-LT"/>
        </w:rPr>
      </w:pPr>
      <w:r w:rsidRPr="001757CB">
        <w:rPr>
          <w:rFonts w:ascii="Segoe UI" w:hAnsi="Segoe UI" w:cs="Segoe UI"/>
          <w:lang w:val="lt-LT"/>
        </w:rPr>
        <w:t xml:space="preserve">Šiai Sutarčiai taikomos Susitarimo dėl konfidencialios informacijos, prie kurio Paslaugų teikėjas yra prisijungęs </w:t>
      </w:r>
      <w:r w:rsidR="008D0C22" w:rsidRPr="001757CB">
        <w:rPr>
          <w:rFonts w:ascii="Segoe UI" w:hAnsi="Segoe UI" w:cs="Segoe UI"/>
          <w:lang w:val="lt-LT"/>
        </w:rPr>
        <w:t xml:space="preserve">pasirašydamas </w:t>
      </w:r>
      <w:r w:rsidRPr="001757CB">
        <w:rPr>
          <w:rFonts w:ascii="Segoe UI" w:hAnsi="Segoe UI" w:cs="Segoe UI"/>
          <w:lang w:val="lt-LT"/>
        </w:rPr>
        <w:t>2014 m.</w:t>
      </w:r>
      <w:r w:rsidR="00B7706E" w:rsidRPr="001757CB">
        <w:rPr>
          <w:rFonts w:ascii="Segoe UI" w:hAnsi="Segoe UI" w:cs="Segoe UI"/>
          <w:lang w:val="lt-LT"/>
        </w:rPr>
        <w:t xml:space="preserve"> sausio</w:t>
      </w:r>
      <w:r w:rsidR="00876F08" w:rsidRPr="001757CB">
        <w:rPr>
          <w:rFonts w:ascii="Segoe UI" w:hAnsi="Segoe UI" w:cs="Segoe UI"/>
          <w:lang w:val="lt-LT"/>
        </w:rPr>
        <w:t xml:space="preserve"> </w:t>
      </w:r>
      <w:r w:rsidR="00B7706E" w:rsidRPr="001757CB">
        <w:rPr>
          <w:rFonts w:ascii="Segoe UI" w:hAnsi="Segoe UI" w:cs="Segoe UI"/>
          <w:lang w:val="lt-LT"/>
        </w:rPr>
        <w:t xml:space="preserve">31 </w:t>
      </w:r>
      <w:r w:rsidRPr="001757CB">
        <w:rPr>
          <w:rFonts w:ascii="Segoe UI" w:hAnsi="Segoe UI" w:cs="Segoe UI"/>
          <w:lang w:val="lt-LT"/>
        </w:rPr>
        <w:t>d. įsipareigojim</w:t>
      </w:r>
      <w:r w:rsidR="008D0C22" w:rsidRPr="001757CB">
        <w:rPr>
          <w:rFonts w:ascii="Segoe UI" w:hAnsi="Segoe UI" w:cs="Segoe UI"/>
          <w:lang w:val="lt-LT"/>
        </w:rPr>
        <w:t>ą</w:t>
      </w:r>
      <w:r w:rsidRPr="001757CB">
        <w:rPr>
          <w:rFonts w:ascii="Segoe UI" w:hAnsi="Segoe UI" w:cs="Segoe UI"/>
          <w:lang w:val="lt-LT"/>
        </w:rPr>
        <w:t xml:space="preserve"> prie Susitarimo dėl konfidencialios informacijos, o Užsakovas –</w:t>
      </w:r>
      <w:r w:rsidR="008D0C22" w:rsidRPr="001757CB">
        <w:rPr>
          <w:rFonts w:ascii="Segoe UI" w:hAnsi="Segoe UI" w:cs="Segoe UI"/>
          <w:lang w:val="lt-LT"/>
        </w:rPr>
        <w:t xml:space="preserve"> </w:t>
      </w:r>
      <w:r w:rsidR="001F43F3" w:rsidRPr="001757CB">
        <w:rPr>
          <w:rFonts w:ascii="Segoe UI" w:hAnsi="Segoe UI" w:cs="Segoe UI"/>
          <w:lang w:val="lt-LT"/>
        </w:rPr>
        <w:t xml:space="preserve">pasirašydamas </w:t>
      </w:r>
      <w:r w:rsidR="001757CB" w:rsidRPr="001757CB">
        <w:rPr>
          <w:rFonts w:ascii="Segoe UI" w:hAnsi="Segoe UI" w:cs="Segoe UI"/>
          <w:lang w:val="lt-LT"/>
        </w:rPr>
        <w:t>201</w:t>
      </w:r>
      <w:r w:rsidR="00676F2A">
        <w:rPr>
          <w:rFonts w:ascii="Segoe UI" w:hAnsi="Segoe UI" w:cs="Segoe UI"/>
          <w:lang w:val="lt-LT"/>
        </w:rPr>
        <w:t>5</w:t>
      </w:r>
      <w:r w:rsidR="001757CB" w:rsidRPr="001757CB">
        <w:rPr>
          <w:rFonts w:ascii="Segoe UI" w:hAnsi="Segoe UI" w:cs="Segoe UI"/>
          <w:lang w:val="lt-LT"/>
        </w:rPr>
        <w:t xml:space="preserve"> m. </w:t>
      </w:r>
      <w:r w:rsidR="00676F2A">
        <w:rPr>
          <w:rFonts w:ascii="Segoe UI" w:hAnsi="Segoe UI" w:cs="Segoe UI"/>
          <w:lang w:val="lt-LT"/>
        </w:rPr>
        <w:t>rugsėjo</w:t>
      </w:r>
      <w:r w:rsidR="001757CB" w:rsidRPr="001757CB">
        <w:rPr>
          <w:rFonts w:ascii="Segoe UI" w:hAnsi="Segoe UI" w:cs="Segoe UI"/>
          <w:lang w:val="lt-LT"/>
        </w:rPr>
        <w:t xml:space="preserve"> </w:t>
      </w:r>
      <w:r w:rsidR="00676F2A">
        <w:rPr>
          <w:rFonts w:ascii="Segoe UI" w:hAnsi="Segoe UI" w:cs="Segoe UI"/>
          <w:lang w:val="lt-LT"/>
        </w:rPr>
        <w:t xml:space="preserve">16 </w:t>
      </w:r>
      <w:r w:rsidR="001F43F3" w:rsidRPr="001757CB">
        <w:rPr>
          <w:rFonts w:ascii="Segoe UI" w:hAnsi="Segoe UI" w:cs="Segoe UI"/>
          <w:lang w:val="lt-LT"/>
        </w:rPr>
        <w:t xml:space="preserve">d. įsipareigojimą </w:t>
      </w:r>
      <w:r w:rsidRPr="001757CB">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lastRenderedPageBreak/>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98B4F6C" w14:textId="24CF3C3F" w:rsidR="00E16BD2" w:rsidRPr="00E16BD2" w:rsidRDefault="00E16BD2" w:rsidP="00E16BD2">
      <w:pPr>
        <w:rPr>
          <w:rFonts w:ascii="Segoe UI" w:hAnsi="Segoe UI" w:cs="Segoe UI"/>
          <w:lang w:val="lt-LT"/>
        </w:rPr>
      </w:pPr>
    </w:p>
    <w:p w14:paraId="5D146BB0" w14:textId="4E148E63" w:rsidR="00EF07BC" w:rsidRPr="00043D3B" w:rsidRDefault="00E16BD2" w:rsidP="00E16BD2">
      <w:pPr>
        <w:numPr>
          <w:ilvl w:val="1"/>
          <w:numId w:val="5"/>
        </w:numPr>
        <w:tabs>
          <w:tab w:val="clear" w:pos="1080"/>
          <w:tab w:val="num" w:pos="567"/>
        </w:tabs>
        <w:ind w:hanging="1080"/>
        <w:jc w:val="both"/>
        <w:rPr>
          <w:rFonts w:ascii="Segoe UI" w:hAnsi="Segoe UI" w:cs="Segoe UI"/>
          <w:lang w:val="lt-LT"/>
        </w:rPr>
      </w:pPr>
      <w:r w:rsidRPr="00E16BD2">
        <w:rPr>
          <w:rFonts w:ascii="Segoe UI" w:hAnsi="Segoe UI" w:cs="Segoe UI"/>
          <w:lang w:val="lt-LT"/>
        </w:rPr>
        <w:t>Sutartis įsigalioja nuo Sutarties pasirašymo ir galioja iki 20</w:t>
      </w:r>
      <w:r w:rsidR="00676F2A">
        <w:rPr>
          <w:rFonts w:ascii="Segoe UI" w:hAnsi="Segoe UI" w:cs="Segoe UI"/>
          <w:lang w:val="lt-LT"/>
        </w:rPr>
        <w:t>20</w:t>
      </w:r>
      <w:r w:rsidRPr="00E16BD2">
        <w:rPr>
          <w:rFonts w:ascii="Segoe UI" w:hAnsi="Segoe UI" w:cs="Segoe UI"/>
          <w:lang w:val="lt-LT"/>
        </w:rPr>
        <w:t xml:space="preserve"> m. </w:t>
      </w:r>
      <w:r w:rsidR="00676F2A">
        <w:rPr>
          <w:rFonts w:ascii="Segoe UI" w:hAnsi="Segoe UI" w:cs="Segoe UI"/>
          <w:lang w:val="lt-LT"/>
        </w:rPr>
        <w:t>sausio</w:t>
      </w:r>
      <w:r w:rsidRPr="00E16BD2">
        <w:rPr>
          <w:rFonts w:ascii="Segoe UI" w:hAnsi="Segoe UI" w:cs="Segoe UI"/>
          <w:lang w:val="lt-LT"/>
        </w:rPr>
        <w:t xml:space="preserve"> 3</w:t>
      </w:r>
      <w:r w:rsidR="00676F2A">
        <w:rPr>
          <w:rFonts w:ascii="Segoe UI" w:hAnsi="Segoe UI" w:cs="Segoe UI"/>
          <w:lang w:val="lt-LT"/>
        </w:rPr>
        <w:t>0</w:t>
      </w:r>
      <w:r w:rsidRPr="00E16BD2">
        <w:rPr>
          <w:rFonts w:ascii="Segoe UI" w:hAnsi="Segoe UI" w:cs="Segoe UI"/>
          <w:lang w:val="lt-LT"/>
        </w:rPr>
        <w:t xml:space="preserve"> d.</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5D146BC8" w14:textId="77777777" w:rsidR="00BB50E7" w:rsidRPr="00EF07BC"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lastRenderedPageBreak/>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r w:rsidR="002620B4"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E2" w14:textId="77777777" w:rsidR="00787D3B" w:rsidRPr="00EF07BC" w:rsidRDefault="00787D3B" w:rsidP="00C90AA3">
      <w:pPr>
        <w:jc w:val="both"/>
        <w:rPr>
          <w:rFonts w:ascii="Segoe UI" w:hAnsi="Segoe UI" w:cs="Segoe UI"/>
          <w:color w:val="000000"/>
          <w:lang w:val="lt-LT"/>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5B5AD861" w:rsidR="00BC33B6" w:rsidRPr="00EF07BC" w:rsidRDefault="005B15B6" w:rsidP="00C90AA3">
      <w:pPr>
        <w:jc w:val="both"/>
        <w:rPr>
          <w:rFonts w:ascii="Segoe UI" w:hAnsi="Segoe UI" w:cs="Segoe UI"/>
          <w:lang w:val="lt-LT"/>
        </w:rPr>
      </w:pPr>
      <w:r>
        <w:rPr>
          <w:rFonts w:ascii="Segoe UI" w:hAnsi="Segoe UI" w:cs="Segoe UI"/>
          <w:lang w:val="lt-LT"/>
        </w:rPr>
        <w:t>Š</w:t>
      </w:r>
      <w:r w:rsidR="00BC33B6" w:rsidRPr="00EF07BC">
        <w:rPr>
          <w:rFonts w:ascii="Segoe UI" w:hAnsi="Segoe UI" w:cs="Segoe UI"/>
          <w:lang w:val="lt-LT"/>
        </w:rPr>
        <w:t xml:space="preserve">ios Sutarties pakeitimai, papildymai ar priedai prie jos </w:t>
      </w:r>
      <w:r>
        <w:rPr>
          <w:rFonts w:ascii="Segoe UI" w:hAnsi="Segoe UI" w:cs="Segoe UI"/>
          <w:lang w:val="lt-LT"/>
        </w:rPr>
        <w:t xml:space="preserve">gali būti atlikti </w:t>
      </w:r>
      <w:r w:rsidR="003067CE">
        <w:rPr>
          <w:rFonts w:ascii="Segoe UI" w:hAnsi="Segoe UI" w:cs="Segoe UI"/>
          <w:lang w:val="lt-LT"/>
        </w:rPr>
        <w:t xml:space="preserve">Sutartyje nustatyta tvarka, </w:t>
      </w:r>
      <w:r>
        <w:rPr>
          <w:rFonts w:ascii="Segoe UI" w:hAnsi="Segoe UI" w:cs="Segoe UI"/>
          <w:lang w:val="lt-LT"/>
        </w:rPr>
        <w:t xml:space="preserve">vadovaujantis </w:t>
      </w:r>
      <w:proofErr w:type="spellStart"/>
      <w:r w:rsidRPr="005B15B6">
        <w:rPr>
          <w:rFonts w:ascii="Segoe UI" w:hAnsi="Segoe UI" w:cs="Segoe UI"/>
        </w:rPr>
        <w:t>galiojančiu</w:t>
      </w:r>
      <w:proofErr w:type="spellEnd"/>
      <w:r w:rsidRPr="005B15B6">
        <w:rPr>
          <w:rFonts w:ascii="Segoe UI" w:hAnsi="Segoe UI" w:cs="Segoe UI"/>
        </w:rPr>
        <w:t xml:space="preserve"> </w:t>
      </w:r>
      <w:proofErr w:type="spellStart"/>
      <w:r w:rsidRPr="005B15B6">
        <w:rPr>
          <w:rFonts w:ascii="Segoe UI" w:hAnsi="Segoe UI" w:cs="Segoe UI"/>
        </w:rPr>
        <w:t>bei</w:t>
      </w:r>
      <w:proofErr w:type="spellEnd"/>
      <w:r w:rsidRPr="005B15B6">
        <w:rPr>
          <w:rFonts w:ascii="Segoe UI" w:hAnsi="Segoe UI" w:cs="Segoe UI"/>
        </w:rPr>
        <w:t xml:space="preserve"> </w:t>
      </w:r>
      <w:proofErr w:type="spellStart"/>
      <w:r w:rsidRPr="005B15B6">
        <w:rPr>
          <w:rFonts w:ascii="Segoe UI" w:hAnsi="Segoe UI" w:cs="Segoe UI"/>
        </w:rPr>
        <w:t>taikomu</w:t>
      </w:r>
      <w:proofErr w:type="spellEnd"/>
      <w:r w:rsidRPr="005B15B6">
        <w:rPr>
          <w:rFonts w:ascii="Segoe UI" w:hAnsi="Segoe UI" w:cs="Segoe UI"/>
        </w:rPr>
        <w:t xml:space="preserve"> </w:t>
      </w:r>
      <w:proofErr w:type="spellStart"/>
      <w:r w:rsidRPr="005B15B6">
        <w:rPr>
          <w:rFonts w:ascii="Segoe UI" w:hAnsi="Segoe UI" w:cs="Segoe UI"/>
        </w:rPr>
        <w:t>viešųjų</w:t>
      </w:r>
      <w:proofErr w:type="spellEnd"/>
      <w:r w:rsidRPr="005B15B6">
        <w:rPr>
          <w:rFonts w:ascii="Segoe UI" w:hAnsi="Segoe UI" w:cs="Segoe UI"/>
        </w:rPr>
        <w:t xml:space="preserve"> </w:t>
      </w:r>
      <w:proofErr w:type="spellStart"/>
      <w:r w:rsidRPr="005B15B6">
        <w:rPr>
          <w:rFonts w:ascii="Segoe UI" w:hAnsi="Segoe UI" w:cs="Segoe UI"/>
        </w:rPr>
        <w:t>pirkimų</w:t>
      </w:r>
      <w:proofErr w:type="spellEnd"/>
      <w:r w:rsidRPr="005B15B6">
        <w:rPr>
          <w:rFonts w:ascii="Segoe UI" w:hAnsi="Segoe UI" w:cs="Segoe UI"/>
        </w:rPr>
        <w:t xml:space="preserve"> </w:t>
      </w:r>
      <w:proofErr w:type="spellStart"/>
      <w:r w:rsidRPr="005B15B6">
        <w:rPr>
          <w:rFonts w:ascii="Segoe UI" w:hAnsi="Segoe UI" w:cs="Segoe UI"/>
        </w:rPr>
        <w:t>teisiniu</w:t>
      </w:r>
      <w:proofErr w:type="spellEnd"/>
      <w:r w:rsidRPr="005B15B6">
        <w:rPr>
          <w:rFonts w:ascii="Segoe UI" w:hAnsi="Segoe UI" w:cs="Segoe UI"/>
        </w:rPr>
        <w:t xml:space="preserve"> </w:t>
      </w:r>
      <w:proofErr w:type="spellStart"/>
      <w:r w:rsidRPr="005B15B6">
        <w:rPr>
          <w:rFonts w:ascii="Segoe UI" w:hAnsi="Segoe UI" w:cs="Segoe UI"/>
        </w:rPr>
        <w:t>reglamentavimu</w:t>
      </w:r>
      <w:proofErr w:type="spellEnd"/>
      <w:r w:rsidRPr="005B15B6">
        <w:rPr>
          <w:rFonts w:ascii="Segoe UI" w:hAnsi="Segoe UI" w:cs="Segoe UI"/>
        </w:rPr>
        <w:t xml:space="preserve"> </w:t>
      </w:r>
      <w:proofErr w:type="spellStart"/>
      <w:r>
        <w:rPr>
          <w:rFonts w:ascii="Segoe UI" w:hAnsi="Segoe UI" w:cs="Segoe UI"/>
        </w:rPr>
        <w:t>ir</w:t>
      </w:r>
      <w:proofErr w:type="spellEnd"/>
      <w:r>
        <w:rPr>
          <w:rFonts w:ascii="Segoe UI" w:hAnsi="Segoe UI" w:cs="Segoe UI"/>
        </w:rPr>
        <w:t xml:space="preserve"> </w:t>
      </w:r>
      <w:r w:rsidR="00BC33B6" w:rsidRPr="00EF07BC">
        <w:rPr>
          <w:rFonts w:ascii="Segoe UI" w:hAnsi="Segoe UI" w:cs="Segoe UI"/>
          <w:lang w:val="lt-LT"/>
        </w:rPr>
        <w:t>galioja tik įforminus juos vienu arba keliais rašytiniais dokumentais, pasirašytais abiejų Šalių.</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5D146BEC" w14:textId="77777777" w:rsidR="00575A3F" w:rsidRPr="00EF07BC" w:rsidRDefault="00BC33B6" w:rsidP="00C90AA3">
      <w:pPr>
        <w:jc w:val="both"/>
        <w:rPr>
          <w:rFonts w:ascii="Segoe UI" w:hAnsi="Segoe UI" w:cs="Segoe UI"/>
          <w:lang w:val="lt-LT"/>
        </w:rPr>
      </w:pPr>
      <w:r w:rsidRPr="00EF07BC">
        <w:rPr>
          <w:rFonts w:ascii="Segoe UI" w:hAnsi="Segoe UI" w:cs="Segoe UI"/>
          <w:lang w:val="lt-LT"/>
        </w:rPr>
        <w:t>Bet kuri Šalis savo teises ir įsipareigojimus pagal šią Sutartį gali perleisti tik gavusi kitos Šalies sutikimą raštu. Bet koks perleidimas pažeidus šio straipsnio nuostatas yra laikomas negaliojančiu</w:t>
      </w:r>
      <w:r w:rsidR="00AD1EB9" w:rsidRPr="00EF07BC">
        <w:rPr>
          <w:rFonts w:ascii="Segoe UI" w:hAnsi="Segoe UI" w:cs="Segoe UI"/>
          <w:color w:val="000000"/>
          <w:lang w:val="lt-LT"/>
        </w:rPr>
        <w:t>.</w:t>
      </w:r>
    </w:p>
    <w:p w14:paraId="5D146BED" w14:textId="77777777" w:rsidR="00BD52BE" w:rsidRPr="00EF07BC" w:rsidRDefault="00BD52BE" w:rsidP="00C90AA3">
      <w:pPr>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0C6BFEE9" w14:textId="77777777" w:rsidR="00C746AE" w:rsidRPr="00EF07BC" w:rsidRDefault="00C746AE" w:rsidP="00C90AA3">
      <w:pPr>
        <w:jc w:val="both"/>
        <w:rPr>
          <w:rFonts w:ascii="Segoe UI" w:hAnsi="Segoe UI" w:cs="Segoe UI"/>
          <w:lang w:val="lt-LT"/>
        </w:rPr>
      </w:pP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5D146BFF" w14:textId="77777777" w:rsidR="00CA7541" w:rsidRPr="00EF07BC" w:rsidRDefault="00CA7541" w:rsidP="00CA7541">
      <w:pPr>
        <w:pStyle w:val="ListParagraph"/>
        <w:ind w:left="709"/>
        <w:jc w:val="both"/>
        <w:rPr>
          <w:rFonts w:ascii="Segoe UI" w:hAnsi="Segoe UI" w:cs="Segoe UI"/>
          <w:lang w:val="lt-LT"/>
        </w:rPr>
      </w:pPr>
    </w:p>
    <w:p w14:paraId="5D146C03" w14:textId="77777777" w:rsidR="00981C4B" w:rsidRPr="00EF07BC" w:rsidRDefault="00981C4B" w:rsidP="00C90AA3">
      <w:pPr>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5" w14:textId="77777777" w:rsidR="005669E0" w:rsidRPr="00EF07BC" w:rsidRDefault="005669E0"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EF07BC" w14:paraId="5D146C1E" w14:textId="77777777" w:rsidTr="0078374A">
        <w:trPr>
          <w:trHeight w:val="3261"/>
        </w:trPr>
        <w:tc>
          <w:tcPr>
            <w:tcW w:w="4502" w:type="dxa"/>
          </w:tcPr>
          <w:p w14:paraId="5D146C08" w14:textId="77777777" w:rsidR="005669E0" w:rsidRPr="00EF07BC" w:rsidRDefault="005669E0" w:rsidP="00F25D81">
            <w:pPr>
              <w:jc w:val="both"/>
              <w:rPr>
                <w:rFonts w:ascii="Segoe UI" w:hAnsi="Segoe UI" w:cs="Segoe UI"/>
                <w:b/>
                <w:bCs/>
                <w:lang w:val="lt-LT"/>
              </w:rPr>
            </w:pPr>
            <w:r w:rsidRPr="00EF07BC">
              <w:rPr>
                <w:rFonts w:ascii="Segoe UI" w:hAnsi="Segoe UI" w:cs="Segoe UI"/>
                <w:b/>
                <w:bCs/>
                <w:lang w:val="lt-LT"/>
              </w:rPr>
              <w:t>Paslaugų teikėjas:</w:t>
            </w:r>
          </w:p>
          <w:p w14:paraId="685CEDC6" w14:textId="77777777" w:rsidR="00682748" w:rsidRDefault="00682748" w:rsidP="00CA7541">
            <w:pPr>
              <w:jc w:val="both"/>
              <w:rPr>
                <w:rFonts w:ascii="Segoe UI" w:hAnsi="Segoe UI" w:cs="Segoe UI"/>
                <w:b/>
                <w:bCs/>
                <w:lang w:val="lt-LT"/>
              </w:rPr>
            </w:pPr>
            <w:r w:rsidRPr="00682748">
              <w:rPr>
                <w:rFonts w:ascii="Segoe UI" w:hAnsi="Segoe UI" w:cs="Segoe UI"/>
                <w:b/>
                <w:bCs/>
                <w:lang w:val="lt-LT"/>
              </w:rPr>
              <w:t>UAB „</w:t>
            </w:r>
            <w:proofErr w:type="spellStart"/>
            <w:r w:rsidRPr="00682748">
              <w:rPr>
                <w:rFonts w:ascii="Segoe UI" w:hAnsi="Segoe UI" w:cs="Segoe UI"/>
                <w:b/>
                <w:bCs/>
                <w:lang w:val="lt-LT"/>
              </w:rPr>
              <w:t>Ignitis</w:t>
            </w:r>
            <w:proofErr w:type="spellEnd"/>
            <w:r w:rsidRPr="00682748">
              <w:rPr>
                <w:rFonts w:ascii="Segoe UI" w:hAnsi="Segoe UI" w:cs="Segoe UI"/>
                <w:b/>
                <w:bCs/>
                <w:lang w:val="lt-LT"/>
              </w:rPr>
              <w:t xml:space="preserve"> grupės paslaugų centras“</w:t>
            </w:r>
          </w:p>
          <w:p w14:paraId="5D146C12" w14:textId="74B51664" w:rsidR="005669E0" w:rsidRPr="00EF07BC" w:rsidRDefault="005669E0" w:rsidP="00AD16F4">
            <w:pPr>
              <w:jc w:val="both"/>
              <w:rPr>
                <w:rFonts w:ascii="Segoe UI" w:hAnsi="Segoe UI" w:cs="Segoe UI"/>
                <w:bCs/>
                <w:i/>
                <w:lang w:val="lt-LT"/>
              </w:rPr>
            </w:pPr>
          </w:p>
        </w:tc>
        <w:tc>
          <w:tcPr>
            <w:tcW w:w="4569" w:type="dxa"/>
          </w:tcPr>
          <w:p w14:paraId="06A7C300" w14:textId="77777777" w:rsidR="00557748" w:rsidRPr="00926548" w:rsidRDefault="00557748" w:rsidP="00557748">
            <w:pPr>
              <w:jc w:val="both"/>
              <w:rPr>
                <w:rFonts w:ascii="Segoe UI" w:eastAsia="Segoe UI" w:hAnsi="Segoe UI" w:cs="Segoe UI"/>
              </w:rPr>
            </w:pPr>
            <w:proofErr w:type="spellStart"/>
            <w:r w:rsidRPr="00557748">
              <w:rPr>
                <w:rFonts w:ascii="Segoe UI" w:eastAsia="Segoe UI" w:hAnsi="Segoe UI" w:cs="Segoe UI"/>
                <w:b/>
              </w:rPr>
              <w:t>Užsakovas</w:t>
            </w:r>
            <w:proofErr w:type="spellEnd"/>
            <w:r w:rsidRPr="00926548">
              <w:rPr>
                <w:rFonts w:ascii="Segoe UI" w:eastAsia="Segoe UI" w:hAnsi="Segoe UI" w:cs="Segoe UI"/>
              </w:rPr>
              <w:t>:</w:t>
            </w:r>
          </w:p>
          <w:p w14:paraId="0787EC88" w14:textId="77777777" w:rsidR="007D05CB" w:rsidRDefault="007D05CB" w:rsidP="00693614">
            <w:pPr>
              <w:rPr>
                <w:rFonts w:ascii="Segoe UI" w:eastAsia="Segoe UI" w:hAnsi="Segoe UI" w:cs="Segoe UI"/>
                <w:b/>
                <w:bCs/>
                <w:lang w:val="lt-LT"/>
              </w:rPr>
            </w:pPr>
            <w:r w:rsidRPr="007D05CB">
              <w:rPr>
                <w:rFonts w:ascii="Segoe UI" w:eastAsia="Segoe UI" w:hAnsi="Segoe UI" w:cs="Segoe UI"/>
                <w:b/>
                <w:bCs/>
                <w:lang w:val="lt-LT"/>
              </w:rPr>
              <w:t>UAB Kauno kogeneracinė jėgainė</w:t>
            </w:r>
          </w:p>
          <w:p w14:paraId="60650B42" w14:textId="77777777" w:rsidR="00AD16F4" w:rsidRPr="005C0D13" w:rsidRDefault="00AD16F4" w:rsidP="00AD16F4">
            <w:pPr>
              <w:jc w:val="both"/>
              <w:rPr>
                <w:rFonts w:ascii="Segoe UI" w:eastAsia="Segoe UI" w:hAnsi="Segoe UI" w:cs="Segoe UI"/>
                <w:lang w:val="lt-LT"/>
              </w:rPr>
            </w:pPr>
            <w:bookmarkStart w:id="16" w:name="_GoBack"/>
            <w:bookmarkEnd w:id="16"/>
          </w:p>
          <w:p w14:paraId="5D146C1D" w14:textId="39A6FC40" w:rsidR="00F25D81" w:rsidRPr="004D2799" w:rsidRDefault="00AD16F4" w:rsidP="00AD16F4">
            <w:pPr>
              <w:jc w:val="both"/>
              <w:rPr>
                <w:rFonts w:ascii="Segoe UI" w:hAnsi="Segoe UI" w:cs="Segoe UI"/>
                <w:bCs/>
                <w:lang w:val="lt-LT"/>
              </w:rPr>
            </w:pPr>
            <w:r w:rsidRPr="004D2799">
              <w:rPr>
                <w:rFonts w:ascii="Segoe UI" w:hAnsi="Segoe UI" w:cs="Segoe UI"/>
                <w:bCs/>
                <w:lang w:val="lt-LT"/>
              </w:rPr>
              <w:t xml:space="preserve"> </w:t>
            </w:r>
          </w:p>
        </w:tc>
      </w:tr>
    </w:tbl>
    <w:p w14:paraId="5D146C1F" w14:textId="77777777" w:rsidR="005669E0" w:rsidRDefault="005669E0" w:rsidP="00F25D81">
      <w:pPr>
        <w:jc w:val="both"/>
        <w:rPr>
          <w:rFonts w:ascii="Segoe UI" w:hAnsi="Segoe UI" w:cs="Segoe UI"/>
          <w:bCs/>
          <w:lang w:val="lt-LT"/>
        </w:rPr>
      </w:pPr>
    </w:p>
    <w:p w14:paraId="5D146C20" w14:textId="77777777" w:rsidR="00FB5239" w:rsidRDefault="00FB5239" w:rsidP="00F25D81">
      <w:pPr>
        <w:jc w:val="both"/>
        <w:rPr>
          <w:rFonts w:ascii="Segoe UI" w:hAnsi="Segoe UI" w:cs="Segoe UI"/>
          <w:bCs/>
          <w:lang w:val="lt-LT"/>
        </w:rPr>
      </w:pPr>
    </w:p>
    <w:p w14:paraId="47835F98" w14:textId="77777777" w:rsidR="00C00AF0" w:rsidRDefault="00C00AF0" w:rsidP="00F25D81">
      <w:pPr>
        <w:jc w:val="both"/>
        <w:rPr>
          <w:rFonts w:ascii="Segoe UI" w:hAnsi="Segoe UI" w:cs="Segoe UI"/>
          <w:bCs/>
          <w:lang w:val="lt-LT"/>
        </w:rPr>
      </w:pPr>
    </w:p>
    <w:p w14:paraId="15F736CB" w14:textId="77777777" w:rsidR="00C00AF0" w:rsidRDefault="00C00AF0" w:rsidP="00F25D81">
      <w:pPr>
        <w:jc w:val="both"/>
        <w:rPr>
          <w:rFonts w:ascii="Segoe UI" w:hAnsi="Segoe UI" w:cs="Segoe UI"/>
          <w:bCs/>
          <w:lang w:val="lt-LT"/>
        </w:rPr>
      </w:pPr>
    </w:p>
    <w:p w14:paraId="47FDC4CA" w14:textId="77777777" w:rsidR="00C00AF0" w:rsidRDefault="00C00AF0" w:rsidP="00F25D81">
      <w:pPr>
        <w:jc w:val="both"/>
        <w:rPr>
          <w:rFonts w:ascii="Segoe UI" w:hAnsi="Segoe UI" w:cs="Segoe UI"/>
          <w:bCs/>
          <w:lang w:val="lt-LT"/>
        </w:rPr>
      </w:pPr>
    </w:p>
    <w:p w14:paraId="719723F0" w14:textId="77777777" w:rsidR="00557748" w:rsidRDefault="00C00AF0" w:rsidP="00557748">
      <w:pPr>
        <w:jc w:val="right"/>
        <w:rPr>
          <w:rFonts w:ascii="Segoe UI" w:hAnsi="Segoe UI" w:cs="Segoe UI"/>
          <w:lang w:val="lt-LT"/>
        </w:rPr>
      </w:pPr>
      <w:r>
        <w:rPr>
          <w:rFonts w:ascii="Segoe UI" w:hAnsi="Segoe UI" w:cs="Segoe UI"/>
          <w:lang w:val="lt-LT"/>
        </w:rPr>
        <w:t xml:space="preserve">                                                                                                                  </w:t>
      </w:r>
      <w:r w:rsidR="00557748">
        <w:rPr>
          <w:rFonts w:ascii="Segoe UI" w:hAnsi="Segoe UI" w:cs="Segoe UI"/>
          <w:lang w:val="lt-LT"/>
        </w:rPr>
        <w:t xml:space="preserve">                </w:t>
      </w:r>
    </w:p>
    <w:p w14:paraId="1D722942" w14:textId="77777777" w:rsidR="00557748" w:rsidRDefault="00557748">
      <w:pPr>
        <w:rPr>
          <w:rFonts w:ascii="Segoe UI" w:hAnsi="Segoe UI" w:cs="Segoe UI"/>
          <w:lang w:val="lt-LT"/>
        </w:rPr>
      </w:pPr>
      <w:r>
        <w:rPr>
          <w:rFonts w:ascii="Segoe UI" w:hAnsi="Segoe UI" w:cs="Segoe UI"/>
          <w:lang w:val="lt-LT"/>
        </w:rPr>
        <w:br w:type="page"/>
      </w:r>
    </w:p>
    <w:p w14:paraId="11939BAE" w14:textId="77777777" w:rsidR="00B16D80" w:rsidRPr="00530CF8" w:rsidRDefault="00557748" w:rsidP="00B16D80">
      <w:pPr>
        <w:jc w:val="right"/>
        <w:rPr>
          <w:rFonts w:ascii="Segoe UI" w:hAnsi="Segoe UI" w:cs="Segoe UI"/>
          <w:lang w:val="lt-LT"/>
        </w:rPr>
      </w:pPr>
      <w:r w:rsidRPr="00530CF8">
        <w:rPr>
          <w:rFonts w:ascii="Segoe UI" w:hAnsi="Segoe UI" w:cs="Segoe UI"/>
          <w:lang w:val="lt-LT"/>
        </w:rPr>
        <w:lastRenderedPageBreak/>
        <w:t xml:space="preserve"> 2 priedas</w:t>
      </w:r>
    </w:p>
    <w:p w14:paraId="0BFBE457" w14:textId="3CF3F2EE" w:rsidR="00C00AF0" w:rsidRPr="00530CF8" w:rsidRDefault="00C00AF0" w:rsidP="00B16D80">
      <w:pPr>
        <w:jc w:val="center"/>
        <w:rPr>
          <w:rFonts w:ascii="Segoe UI" w:hAnsi="Segoe UI" w:cs="Segoe UI"/>
          <w:b/>
          <w:lang w:val="lt-LT"/>
        </w:rPr>
      </w:pPr>
      <w:r w:rsidRPr="00530CF8">
        <w:rPr>
          <w:rFonts w:ascii="Segoe UI" w:hAnsi="Segoe UI" w:cs="Segoe UI"/>
          <w:b/>
          <w:lang w:val="lt-LT"/>
        </w:rPr>
        <w:t>Įkainiai</w:t>
      </w:r>
    </w:p>
    <w:p w14:paraId="71321663" w14:textId="77777777" w:rsidR="00B16D80" w:rsidRPr="00530CF8" w:rsidRDefault="00B16D80" w:rsidP="00B16D80">
      <w:pPr>
        <w:jc w:val="center"/>
        <w:rPr>
          <w:rFonts w:ascii="Segoe UI" w:hAnsi="Segoe UI" w:cs="Segoe UI"/>
          <w:b/>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8"/>
        <w:gridCol w:w="3855"/>
        <w:gridCol w:w="3969"/>
      </w:tblGrid>
      <w:tr w:rsidR="00777940" w:rsidRPr="00530CF8" w14:paraId="45809454" w14:textId="77777777" w:rsidTr="00B71004">
        <w:trPr>
          <w:trHeight w:val="309"/>
        </w:trPr>
        <w:tc>
          <w:tcPr>
            <w:tcW w:w="818" w:type="dxa"/>
            <w:vAlign w:val="center"/>
          </w:tcPr>
          <w:p w14:paraId="179009EB" w14:textId="77777777" w:rsidR="00777940" w:rsidRPr="00530CF8" w:rsidRDefault="00777940" w:rsidP="00745DDD">
            <w:pPr>
              <w:spacing w:before="60" w:after="60"/>
              <w:jc w:val="center"/>
              <w:rPr>
                <w:rFonts w:ascii="Segoe UI" w:hAnsi="Segoe UI" w:cs="Segoe UI"/>
                <w:b/>
                <w:lang w:val="lt-LT" w:eastAsia="en-US"/>
              </w:rPr>
            </w:pPr>
            <w:r w:rsidRPr="00530CF8">
              <w:rPr>
                <w:rFonts w:ascii="Segoe UI" w:hAnsi="Segoe UI" w:cs="Segoe UI"/>
                <w:b/>
                <w:lang w:val="lt-LT" w:eastAsia="en-US"/>
              </w:rPr>
              <w:t>Eil. Nr.</w:t>
            </w:r>
          </w:p>
        </w:tc>
        <w:tc>
          <w:tcPr>
            <w:tcW w:w="3855" w:type="dxa"/>
            <w:vAlign w:val="center"/>
          </w:tcPr>
          <w:p w14:paraId="0BD94A86" w14:textId="77777777" w:rsidR="00777940" w:rsidRPr="00530CF8" w:rsidRDefault="00777940" w:rsidP="00745DDD">
            <w:pPr>
              <w:spacing w:before="60" w:after="60"/>
              <w:jc w:val="center"/>
              <w:rPr>
                <w:rFonts w:ascii="Segoe UI" w:hAnsi="Segoe UI" w:cs="Segoe UI"/>
                <w:b/>
                <w:iCs/>
                <w:lang w:val="lt-LT" w:eastAsia="en-US"/>
              </w:rPr>
            </w:pPr>
            <w:r w:rsidRPr="00530CF8">
              <w:rPr>
                <w:rFonts w:ascii="Segoe UI" w:hAnsi="Segoe UI" w:cs="Segoe UI"/>
                <w:b/>
                <w:iCs/>
                <w:lang w:val="lt-LT" w:eastAsia="en-US"/>
              </w:rPr>
              <w:t>Pirkimo objektas</w:t>
            </w:r>
          </w:p>
        </w:tc>
        <w:tc>
          <w:tcPr>
            <w:tcW w:w="3969" w:type="dxa"/>
            <w:vAlign w:val="center"/>
          </w:tcPr>
          <w:p w14:paraId="2A0CBB77" w14:textId="02BACCEB" w:rsidR="00777940" w:rsidRPr="00530CF8" w:rsidRDefault="00777940" w:rsidP="00C0080F">
            <w:pPr>
              <w:spacing w:before="60" w:after="60"/>
              <w:jc w:val="center"/>
              <w:rPr>
                <w:rFonts w:ascii="Segoe UI" w:hAnsi="Segoe UI" w:cs="Segoe UI"/>
                <w:b/>
                <w:lang w:val="lt-LT" w:eastAsia="en-US"/>
              </w:rPr>
            </w:pPr>
            <w:r w:rsidRPr="00530CF8">
              <w:rPr>
                <w:rFonts w:ascii="Segoe UI" w:hAnsi="Segoe UI" w:cs="Segoe UI"/>
                <w:b/>
                <w:lang w:val="lt-LT" w:eastAsia="en-US"/>
              </w:rPr>
              <w:t xml:space="preserve">1 </w:t>
            </w:r>
            <w:r w:rsidR="00C0080F">
              <w:rPr>
                <w:rFonts w:ascii="Segoe UI" w:hAnsi="Segoe UI" w:cs="Segoe UI"/>
                <w:b/>
                <w:lang w:val="lt-LT" w:eastAsia="en-US"/>
              </w:rPr>
              <w:t>val.</w:t>
            </w:r>
            <w:r w:rsidRPr="00530CF8">
              <w:rPr>
                <w:rFonts w:ascii="Segoe UI" w:hAnsi="Segoe UI" w:cs="Segoe UI"/>
                <w:b/>
                <w:lang w:val="lt-LT" w:eastAsia="en-US"/>
              </w:rPr>
              <w:t xml:space="preserve"> įkainis EUR be PVM</w:t>
            </w:r>
          </w:p>
        </w:tc>
      </w:tr>
      <w:tr w:rsidR="00777940" w:rsidRPr="00530CF8" w14:paraId="3B841B4C" w14:textId="77777777" w:rsidTr="00B71004">
        <w:trPr>
          <w:trHeight w:val="351"/>
        </w:trPr>
        <w:tc>
          <w:tcPr>
            <w:tcW w:w="818" w:type="dxa"/>
          </w:tcPr>
          <w:p w14:paraId="70C73B05" w14:textId="77777777" w:rsidR="00777940" w:rsidRPr="00530CF8" w:rsidRDefault="00777940" w:rsidP="00777940">
            <w:pPr>
              <w:numPr>
                <w:ilvl w:val="0"/>
                <w:numId w:val="27"/>
              </w:numPr>
              <w:spacing w:before="60" w:after="60"/>
              <w:contextualSpacing/>
              <w:jc w:val="center"/>
              <w:rPr>
                <w:rFonts w:ascii="Segoe UI" w:hAnsi="Segoe UI" w:cs="Segoe UI"/>
                <w:lang w:val="lt-LT" w:eastAsia="en-US"/>
              </w:rPr>
            </w:pPr>
          </w:p>
        </w:tc>
        <w:tc>
          <w:tcPr>
            <w:tcW w:w="3855" w:type="dxa"/>
          </w:tcPr>
          <w:p w14:paraId="26302D39" w14:textId="65F759FE" w:rsidR="00777940" w:rsidRPr="00530CF8" w:rsidRDefault="00777940" w:rsidP="00745DDD">
            <w:pPr>
              <w:rPr>
                <w:rFonts w:ascii="Segoe UI" w:hAnsi="Segoe UI" w:cs="Segoe UI"/>
                <w:lang w:val="lt-LT" w:eastAsia="en-US"/>
              </w:rPr>
            </w:pPr>
            <w:r w:rsidRPr="00530CF8">
              <w:rPr>
                <w:rFonts w:ascii="Segoe UI" w:hAnsi="Segoe UI" w:cs="Segoe UI"/>
                <w:lang w:val="lt-LT" w:eastAsia="en-US"/>
              </w:rPr>
              <w:t>Informacinių technologijų ir telekomunikacijų sistemų vystymo paslaugos</w:t>
            </w:r>
          </w:p>
        </w:tc>
        <w:tc>
          <w:tcPr>
            <w:tcW w:w="3969" w:type="dxa"/>
          </w:tcPr>
          <w:p w14:paraId="2143A7AB" w14:textId="77777777" w:rsidR="00777940" w:rsidRPr="00530CF8" w:rsidRDefault="00777940" w:rsidP="00745DDD">
            <w:pPr>
              <w:spacing w:before="60" w:after="60"/>
              <w:ind w:firstLine="41"/>
              <w:jc w:val="center"/>
              <w:rPr>
                <w:rFonts w:ascii="Segoe UI" w:hAnsi="Segoe UI" w:cs="Segoe UI"/>
                <w:lang w:val="lt-LT" w:eastAsia="en-US"/>
              </w:rPr>
            </w:pPr>
            <w:r w:rsidRPr="00530CF8">
              <w:rPr>
                <w:rFonts w:ascii="Segoe UI" w:hAnsi="Segoe UI" w:cs="Segoe UI"/>
                <w:lang w:val="lt-LT" w:eastAsia="en-US"/>
              </w:rPr>
              <w:t>39,50</w:t>
            </w:r>
          </w:p>
        </w:tc>
      </w:tr>
    </w:tbl>
    <w:p w14:paraId="74ED2853" w14:textId="4286D452" w:rsidR="00777940" w:rsidRPr="00530CF8" w:rsidRDefault="00777940" w:rsidP="00C00AF0">
      <w:pPr>
        <w:jc w:val="both"/>
        <w:rPr>
          <w:rFonts w:ascii="Segoe UI" w:hAnsi="Segoe UI" w:cs="Segoe UI"/>
          <w:bCs/>
          <w:lang w:val="lt-LT"/>
        </w:rPr>
      </w:pPr>
    </w:p>
    <w:p w14:paraId="498C2AA0" w14:textId="214C17FD" w:rsidR="00777940" w:rsidRPr="00530CF8" w:rsidRDefault="00777940" w:rsidP="00777940">
      <w:pPr>
        <w:rPr>
          <w:rFonts w:ascii="Segoe UI" w:hAnsi="Segoe UI" w:cs="Segoe UI"/>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112"/>
      </w:tblGrid>
      <w:tr w:rsidR="00C0080F" w:rsidRPr="00C0080F" w14:paraId="3968FE38" w14:textId="77777777" w:rsidTr="00260F2F">
        <w:tc>
          <w:tcPr>
            <w:tcW w:w="4927" w:type="dxa"/>
          </w:tcPr>
          <w:p w14:paraId="5051A372" w14:textId="77777777" w:rsidR="00C0080F" w:rsidRPr="00C0080F" w:rsidRDefault="00C0080F" w:rsidP="00C0080F">
            <w:pPr>
              <w:spacing w:after="200" w:line="276" w:lineRule="auto"/>
              <w:jc w:val="both"/>
              <w:rPr>
                <w:rFonts w:ascii="Segoe UI" w:hAnsi="Segoe UI" w:cs="Segoe UI"/>
                <w:b/>
                <w:sz w:val="18"/>
                <w:szCs w:val="18"/>
                <w:lang w:val="lt-LT"/>
              </w:rPr>
            </w:pPr>
          </w:p>
          <w:p w14:paraId="58F75C40" w14:textId="0BED76B3" w:rsidR="00C0080F" w:rsidRPr="00C0080F" w:rsidRDefault="00C0080F" w:rsidP="00C0080F">
            <w:pPr>
              <w:spacing w:after="200" w:line="276" w:lineRule="auto"/>
              <w:jc w:val="both"/>
              <w:rPr>
                <w:rFonts w:ascii="Segoe UI" w:hAnsi="Segoe UI" w:cs="Segoe UI"/>
                <w:b/>
                <w:sz w:val="18"/>
                <w:szCs w:val="18"/>
                <w:lang w:val="lt-LT"/>
              </w:rPr>
            </w:pPr>
            <w:r w:rsidRPr="00C0080F">
              <w:rPr>
                <w:rFonts w:ascii="Segoe UI" w:hAnsi="Segoe UI" w:cs="Segoe UI"/>
                <w:b/>
                <w:sz w:val="18"/>
                <w:szCs w:val="18"/>
                <w:lang w:val="lt-LT"/>
              </w:rPr>
              <w:t>Paslaugų teikėjo vardu</w:t>
            </w:r>
          </w:p>
          <w:p w14:paraId="2FAF10DD" w14:textId="77777777" w:rsidR="00666945" w:rsidRDefault="00C0080F" w:rsidP="00C0080F">
            <w:pPr>
              <w:spacing w:after="200" w:line="276" w:lineRule="auto"/>
              <w:jc w:val="both"/>
              <w:rPr>
                <w:rFonts w:ascii="Segoe UI" w:hAnsi="Segoe UI" w:cs="Segoe UI"/>
                <w:b/>
                <w:sz w:val="18"/>
                <w:szCs w:val="18"/>
                <w:lang w:val="lt-LT"/>
              </w:rPr>
            </w:pPr>
            <w:r w:rsidRPr="00C0080F">
              <w:rPr>
                <w:rFonts w:ascii="Segoe UI" w:hAnsi="Segoe UI" w:cs="Segoe UI"/>
                <w:b/>
                <w:sz w:val="18"/>
                <w:szCs w:val="18"/>
                <w:lang w:val="lt-LT"/>
              </w:rPr>
              <w:t>_____________________________________</w:t>
            </w:r>
          </w:p>
          <w:p w14:paraId="64DE447D" w14:textId="08BE57D4" w:rsidR="00C0080F" w:rsidRPr="00666945" w:rsidRDefault="00C0080F" w:rsidP="00C0080F">
            <w:pPr>
              <w:spacing w:after="200" w:line="276" w:lineRule="auto"/>
              <w:jc w:val="both"/>
              <w:rPr>
                <w:rFonts w:ascii="Segoe UI" w:hAnsi="Segoe UI" w:cs="Segoe UI"/>
                <w:b/>
                <w:sz w:val="18"/>
                <w:szCs w:val="18"/>
                <w:lang w:val="lt-LT"/>
              </w:rPr>
            </w:pPr>
          </w:p>
        </w:tc>
        <w:tc>
          <w:tcPr>
            <w:tcW w:w="4112" w:type="dxa"/>
            <w:hideMark/>
          </w:tcPr>
          <w:p w14:paraId="3DF66BB7" w14:textId="77777777" w:rsidR="00C0080F" w:rsidRPr="00C0080F" w:rsidRDefault="00C0080F" w:rsidP="00C0080F">
            <w:pPr>
              <w:spacing w:after="200" w:line="276" w:lineRule="auto"/>
              <w:jc w:val="both"/>
              <w:rPr>
                <w:rFonts w:ascii="Segoe UI" w:hAnsi="Segoe UI" w:cs="Segoe UI"/>
                <w:b/>
                <w:sz w:val="18"/>
                <w:szCs w:val="18"/>
                <w:lang w:val="lt-LT"/>
              </w:rPr>
            </w:pPr>
          </w:p>
          <w:p w14:paraId="5D8E95D4" w14:textId="2FEF6807" w:rsidR="00C0080F" w:rsidRPr="00C0080F" w:rsidRDefault="00C0080F" w:rsidP="00C0080F">
            <w:pPr>
              <w:spacing w:after="200" w:line="276" w:lineRule="auto"/>
              <w:jc w:val="both"/>
              <w:rPr>
                <w:rFonts w:ascii="Segoe UI" w:hAnsi="Segoe UI" w:cs="Segoe UI"/>
                <w:b/>
                <w:sz w:val="18"/>
                <w:szCs w:val="18"/>
                <w:lang w:val="lt-LT" w:eastAsia="en-US"/>
              </w:rPr>
            </w:pPr>
            <w:r w:rsidRPr="00C0080F">
              <w:rPr>
                <w:rFonts w:ascii="Segoe UI" w:hAnsi="Segoe UI" w:cs="Segoe UI"/>
                <w:b/>
                <w:sz w:val="18"/>
                <w:szCs w:val="18"/>
                <w:lang w:val="lt-LT"/>
              </w:rPr>
              <w:t>Užsakovo vardu</w:t>
            </w:r>
          </w:p>
          <w:p w14:paraId="7EE1D9AF" w14:textId="46C21087" w:rsidR="00C0080F" w:rsidRPr="00B71004" w:rsidRDefault="00C0080F" w:rsidP="00C0080F">
            <w:pPr>
              <w:spacing w:after="200" w:line="276" w:lineRule="auto"/>
              <w:jc w:val="both"/>
              <w:rPr>
                <w:rFonts w:ascii="Segoe UI" w:hAnsi="Segoe UI" w:cs="Segoe UI"/>
                <w:b/>
                <w:sz w:val="18"/>
                <w:szCs w:val="18"/>
                <w:lang w:val="lt-LT"/>
              </w:rPr>
            </w:pPr>
            <w:r w:rsidRPr="00C0080F">
              <w:rPr>
                <w:rFonts w:ascii="Segoe UI" w:hAnsi="Segoe UI" w:cs="Segoe UI"/>
                <w:b/>
                <w:sz w:val="18"/>
                <w:szCs w:val="18"/>
                <w:lang w:val="lt-LT"/>
              </w:rPr>
              <w:t>_____________________________________</w:t>
            </w:r>
          </w:p>
        </w:tc>
      </w:tr>
    </w:tbl>
    <w:p w14:paraId="7F4112E8" w14:textId="77777777" w:rsidR="00C00AF0" w:rsidRPr="00777940" w:rsidRDefault="00C00AF0" w:rsidP="00777940">
      <w:pPr>
        <w:rPr>
          <w:rFonts w:ascii="Segoe UI" w:hAnsi="Segoe UI" w:cs="Segoe UI"/>
          <w:lang w:val="lt-LT"/>
        </w:rPr>
      </w:pPr>
    </w:p>
    <w:sectPr w:rsidR="00C00AF0" w:rsidRPr="00777940"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440A" w14:textId="77777777" w:rsidR="00382EBB" w:rsidRDefault="00382EBB">
      <w:r>
        <w:separator/>
      </w:r>
    </w:p>
  </w:endnote>
  <w:endnote w:type="continuationSeparator" w:id="0">
    <w:p w14:paraId="721FC89E" w14:textId="77777777" w:rsidR="00382EBB" w:rsidRDefault="00382EBB">
      <w:r>
        <w:continuationSeparator/>
      </w:r>
    </w:p>
  </w:endnote>
  <w:endnote w:type="continuationNotice" w:id="1">
    <w:p w14:paraId="30C9BD40" w14:textId="77777777" w:rsidR="00382EBB" w:rsidRDefault="0038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0F1772" w:rsidRDefault="000F17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0F1772" w:rsidRDefault="000F1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0F1772" w:rsidRPr="00CC73BA" w:rsidRDefault="000F1772">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sidR="002A3F15">
      <w:rPr>
        <w:rStyle w:val="PageNumber"/>
        <w:rFonts w:ascii="Arial" w:hAnsi="Arial" w:cs="Arial"/>
        <w:noProof/>
        <w:lang w:val="lt-LT"/>
      </w:rPr>
      <w:t>7</w:t>
    </w:r>
    <w:r w:rsidRPr="00CC73BA">
      <w:rPr>
        <w:rStyle w:val="PageNumber"/>
        <w:rFonts w:ascii="Arial" w:hAnsi="Arial" w:cs="Arial"/>
        <w:lang w:val="lt-LT"/>
      </w:rPr>
      <w:fldChar w:fldCharType="end"/>
    </w:r>
  </w:p>
  <w:p w14:paraId="5D146C76" w14:textId="77777777" w:rsidR="000F1772" w:rsidRDefault="000F1772">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A680" w14:textId="77777777" w:rsidR="00D44E60" w:rsidRDefault="00D44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AE7F" w14:textId="77777777" w:rsidR="00382EBB" w:rsidRDefault="00382EBB">
      <w:r>
        <w:separator/>
      </w:r>
    </w:p>
  </w:footnote>
  <w:footnote w:type="continuationSeparator" w:id="0">
    <w:p w14:paraId="379EE2E8" w14:textId="77777777" w:rsidR="00382EBB" w:rsidRDefault="00382EBB">
      <w:r>
        <w:continuationSeparator/>
      </w:r>
    </w:p>
  </w:footnote>
  <w:footnote w:type="continuationNotice" w:id="1">
    <w:p w14:paraId="204F12C2" w14:textId="77777777" w:rsidR="00382EBB" w:rsidRDefault="00382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99C8" w14:textId="77777777" w:rsidR="00D44E60" w:rsidRDefault="00D44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0C21" w14:textId="5FBCD844" w:rsidR="006B5748" w:rsidRDefault="006B5748">
    <w:pPr>
      <w:pStyle w:val="Header"/>
    </w:pPr>
    <w:r>
      <w:rPr>
        <w:noProof/>
        <w:lang w:val="lt-LT"/>
      </w:rPr>
      <mc:AlternateContent>
        <mc:Choice Requires="wps">
          <w:drawing>
            <wp:anchor distT="0" distB="0" distL="114300" distR="114300" simplePos="0" relativeHeight="251659264" behindDoc="0" locked="0" layoutInCell="0" allowOverlap="1" wp14:anchorId="6AC1816A" wp14:editId="7EED72E8">
              <wp:simplePos x="0" y="0"/>
              <wp:positionH relativeFrom="page">
                <wp:posOffset>0</wp:posOffset>
              </wp:positionH>
              <wp:positionV relativeFrom="page">
                <wp:posOffset>190500</wp:posOffset>
              </wp:positionV>
              <wp:extent cx="7560310" cy="266700"/>
              <wp:effectExtent l="0" t="0" r="0" b="0"/>
              <wp:wrapNone/>
              <wp:docPr id="2" name="MSIPCMb7db4c94a1fbeb48fde48c57"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4930A4" w14:textId="720009B4" w:rsidR="006B5748" w:rsidRPr="006B5748" w:rsidRDefault="006B5748" w:rsidP="006B574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AC1816A" id="_x0000_t202" coordsize="21600,21600" o:spt="202" path="m,l,21600r21600,l21600,xe">
              <v:stroke joinstyle="miter"/>
              <v:path gradientshapeok="t" o:connecttype="rect"/>
            </v:shapetype>
            <v:shape id="MSIPCMb7db4c94a1fbeb48fde48c57"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CrbOrBtAwAARwcAAA4AAAAAAAAAAAAAAAAALgIAAGRycy9lMm9Eb2MueG1sUEsBAi0AFAAGAAgA&#10;AAAhADekejrcAAAABwEAAA8AAAAAAAAAAAAAAAAAxwUAAGRycy9kb3ducmV2LnhtbFBLBQYAAAAA&#10;BAAEAPMAAADQBgAAAAA=&#10;" o:allowincell="f" filled="f" stroked="f" strokeweight=".5pt">
              <v:textbox inset=",0,20pt,0">
                <w:txbxContent>
                  <w:p w14:paraId="5F4930A4" w14:textId="720009B4" w:rsidR="006B5748" w:rsidRPr="006B5748" w:rsidRDefault="006B5748" w:rsidP="006B5748">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27D7" w14:textId="77777777" w:rsidR="00D44E60" w:rsidRDefault="00D4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BF72FF5"/>
    <w:multiLevelType w:val="hybridMultilevel"/>
    <w:tmpl w:val="FEDCCB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5"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BE23D8"/>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7"/>
  </w:num>
  <w:num w:numId="4">
    <w:abstractNumId w:val="15"/>
  </w:num>
  <w:num w:numId="5">
    <w:abstractNumId w:val="22"/>
  </w:num>
  <w:num w:numId="6">
    <w:abstractNumId w:val="7"/>
  </w:num>
  <w:num w:numId="7">
    <w:abstractNumId w:val="0"/>
  </w:num>
  <w:num w:numId="8">
    <w:abstractNumId w:val="5"/>
  </w:num>
  <w:num w:numId="9">
    <w:abstractNumId w:val="11"/>
  </w:num>
  <w:num w:numId="10">
    <w:abstractNumId w:val="23"/>
  </w:num>
  <w:num w:numId="11">
    <w:abstractNumId w:val="2"/>
  </w:num>
  <w:num w:numId="12">
    <w:abstractNumId w:val="26"/>
  </w:num>
  <w:num w:numId="13">
    <w:abstractNumId w:val="24"/>
  </w:num>
  <w:num w:numId="14">
    <w:abstractNumId w:val="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8"/>
  </w:num>
  <w:num w:numId="19">
    <w:abstractNumId w:val="16"/>
  </w:num>
  <w:num w:numId="20">
    <w:abstractNumId w:val="2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E39"/>
    <w:rsid w:val="000125C8"/>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F19"/>
    <w:rsid w:val="00061A02"/>
    <w:rsid w:val="000626FD"/>
    <w:rsid w:val="00063086"/>
    <w:rsid w:val="0006429B"/>
    <w:rsid w:val="000644DE"/>
    <w:rsid w:val="0006469D"/>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3515"/>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12E3"/>
    <w:rsid w:val="000A2850"/>
    <w:rsid w:val="000A29E1"/>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772"/>
    <w:rsid w:val="000F18EA"/>
    <w:rsid w:val="000F1941"/>
    <w:rsid w:val="000F24FA"/>
    <w:rsid w:val="000F280F"/>
    <w:rsid w:val="000F38B3"/>
    <w:rsid w:val="000F4316"/>
    <w:rsid w:val="000F68F8"/>
    <w:rsid w:val="000F6A78"/>
    <w:rsid w:val="000F6CCC"/>
    <w:rsid w:val="000F6FFB"/>
    <w:rsid w:val="000F76F5"/>
    <w:rsid w:val="000F7789"/>
    <w:rsid w:val="00101405"/>
    <w:rsid w:val="00101FD1"/>
    <w:rsid w:val="0010220E"/>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409BF"/>
    <w:rsid w:val="00141678"/>
    <w:rsid w:val="00143292"/>
    <w:rsid w:val="00143C77"/>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9B0"/>
    <w:rsid w:val="00171B95"/>
    <w:rsid w:val="00172462"/>
    <w:rsid w:val="00172EBB"/>
    <w:rsid w:val="00173681"/>
    <w:rsid w:val="00174E07"/>
    <w:rsid w:val="001757CB"/>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3E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76A"/>
    <w:rsid w:val="002379ED"/>
    <w:rsid w:val="002402AE"/>
    <w:rsid w:val="002406AF"/>
    <w:rsid w:val="002408F4"/>
    <w:rsid w:val="00240D52"/>
    <w:rsid w:val="00242158"/>
    <w:rsid w:val="00242675"/>
    <w:rsid w:val="0024350F"/>
    <w:rsid w:val="00244437"/>
    <w:rsid w:val="00245DB8"/>
    <w:rsid w:val="00246715"/>
    <w:rsid w:val="00246931"/>
    <w:rsid w:val="00247464"/>
    <w:rsid w:val="002477A7"/>
    <w:rsid w:val="00247825"/>
    <w:rsid w:val="002550E8"/>
    <w:rsid w:val="002552AB"/>
    <w:rsid w:val="002552E2"/>
    <w:rsid w:val="00257CFD"/>
    <w:rsid w:val="00260EA9"/>
    <w:rsid w:val="002620B4"/>
    <w:rsid w:val="00262931"/>
    <w:rsid w:val="00263BC5"/>
    <w:rsid w:val="002656E4"/>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069A"/>
    <w:rsid w:val="00281512"/>
    <w:rsid w:val="002823C4"/>
    <w:rsid w:val="00283086"/>
    <w:rsid w:val="00283AA3"/>
    <w:rsid w:val="00284629"/>
    <w:rsid w:val="00284AEF"/>
    <w:rsid w:val="00285226"/>
    <w:rsid w:val="00285D2C"/>
    <w:rsid w:val="0028633A"/>
    <w:rsid w:val="002873E9"/>
    <w:rsid w:val="00287AE4"/>
    <w:rsid w:val="00290530"/>
    <w:rsid w:val="0029092D"/>
    <w:rsid w:val="00292751"/>
    <w:rsid w:val="00295332"/>
    <w:rsid w:val="00295B1A"/>
    <w:rsid w:val="00296102"/>
    <w:rsid w:val="0029640E"/>
    <w:rsid w:val="00297296"/>
    <w:rsid w:val="0029771D"/>
    <w:rsid w:val="002A14FD"/>
    <w:rsid w:val="002A1A7E"/>
    <w:rsid w:val="002A2177"/>
    <w:rsid w:val="002A24E4"/>
    <w:rsid w:val="002A3CC1"/>
    <w:rsid w:val="002A3F15"/>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8E"/>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2EBB"/>
    <w:rsid w:val="003830B9"/>
    <w:rsid w:val="00383C54"/>
    <w:rsid w:val="00384324"/>
    <w:rsid w:val="00384B48"/>
    <w:rsid w:val="00386F39"/>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4FD6"/>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1BB"/>
    <w:rsid w:val="003E45F8"/>
    <w:rsid w:val="003E4BE6"/>
    <w:rsid w:val="003E4F11"/>
    <w:rsid w:val="003E5F0B"/>
    <w:rsid w:val="003E63B9"/>
    <w:rsid w:val="003E6B48"/>
    <w:rsid w:val="003F3AC8"/>
    <w:rsid w:val="003F43B7"/>
    <w:rsid w:val="003F5198"/>
    <w:rsid w:val="003F5E1E"/>
    <w:rsid w:val="003F6A31"/>
    <w:rsid w:val="003F7899"/>
    <w:rsid w:val="003F78BC"/>
    <w:rsid w:val="004013F3"/>
    <w:rsid w:val="00404220"/>
    <w:rsid w:val="00405692"/>
    <w:rsid w:val="00407A59"/>
    <w:rsid w:val="004119CC"/>
    <w:rsid w:val="00412A7B"/>
    <w:rsid w:val="00413262"/>
    <w:rsid w:val="004138CE"/>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23B"/>
    <w:rsid w:val="004274AC"/>
    <w:rsid w:val="00427A4D"/>
    <w:rsid w:val="00427E8F"/>
    <w:rsid w:val="00430685"/>
    <w:rsid w:val="0043085B"/>
    <w:rsid w:val="00430DD9"/>
    <w:rsid w:val="00431109"/>
    <w:rsid w:val="00431785"/>
    <w:rsid w:val="00433029"/>
    <w:rsid w:val="00435037"/>
    <w:rsid w:val="0043551B"/>
    <w:rsid w:val="00435887"/>
    <w:rsid w:val="00436A9E"/>
    <w:rsid w:val="004372A6"/>
    <w:rsid w:val="00437B08"/>
    <w:rsid w:val="004401D4"/>
    <w:rsid w:val="004406E4"/>
    <w:rsid w:val="00441973"/>
    <w:rsid w:val="00441DE9"/>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817"/>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DD1"/>
    <w:rsid w:val="004A3F98"/>
    <w:rsid w:val="004A5369"/>
    <w:rsid w:val="004A7DC3"/>
    <w:rsid w:val="004B06AA"/>
    <w:rsid w:val="004B1B04"/>
    <w:rsid w:val="004B25CD"/>
    <w:rsid w:val="004B270A"/>
    <w:rsid w:val="004B4CD1"/>
    <w:rsid w:val="004B4D90"/>
    <w:rsid w:val="004B50E4"/>
    <w:rsid w:val="004B56F4"/>
    <w:rsid w:val="004B5B9E"/>
    <w:rsid w:val="004B7599"/>
    <w:rsid w:val="004B7BEB"/>
    <w:rsid w:val="004C05A7"/>
    <w:rsid w:val="004C21F5"/>
    <w:rsid w:val="004C242E"/>
    <w:rsid w:val="004C2512"/>
    <w:rsid w:val="004C2DD6"/>
    <w:rsid w:val="004C34E5"/>
    <w:rsid w:val="004C3899"/>
    <w:rsid w:val="004C4110"/>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355"/>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0CF8"/>
    <w:rsid w:val="005332FF"/>
    <w:rsid w:val="005333BF"/>
    <w:rsid w:val="005334FF"/>
    <w:rsid w:val="00533FC1"/>
    <w:rsid w:val="00534A4B"/>
    <w:rsid w:val="00534DF0"/>
    <w:rsid w:val="00540DF1"/>
    <w:rsid w:val="00540E65"/>
    <w:rsid w:val="005415E2"/>
    <w:rsid w:val="0054182F"/>
    <w:rsid w:val="00541F72"/>
    <w:rsid w:val="00542813"/>
    <w:rsid w:val="00543C55"/>
    <w:rsid w:val="00544831"/>
    <w:rsid w:val="00544995"/>
    <w:rsid w:val="00544CC4"/>
    <w:rsid w:val="00545131"/>
    <w:rsid w:val="00545CBC"/>
    <w:rsid w:val="005504D3"/>
    <w:rsid w:val="00551B59"/>
    <w:rsid w:val="005527A5"/>
    <w:rsid w:val="00552993"/>
    <w:rsid w:val="0055441B"/>
    <w:rsid w:val="005549AD"/>
    <w:rsid w:val="00555261"/>
    <w:rsid w:val="00555A75"/>
    <w:rsid w:val="0055673E"/>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1D3C"/>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0E0C"/>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535"/>
    <w:rsid w:val="005D0D28"/>
    <w:rsid w:val="005D1902"/>
    <w:rsid w:val="005D1F8C"/>
    <w:rsid w:val="005D1F98"/>
    <w:rsid w:val="005D235F"/>
    <w:rsid w:val="005D266A"/>
    <w:rsid w:val="005D4A43"/>
    <w:rsid w:val="005D69E0"/>
    <w:rsid w:val="005D71B5"/>
    <w:rsid w:val="005D7DD2"/>
    <w:rsid w:val="005E0DB4"/>
    <w:rsid w:val="005E0E6D"/>
    <w:rsid w:val="005E144E"/>
    <w:rsid w:val="005E3210"/>
    <w:rsid w:val="005E3A36"/>
    <w:rsid w:val="005E40D1"/>
    <w:rsid w:val="005E5FCF"/>
    <w:rsid w:val="005E6733"/>
    <w:rsid w:val="005E69FA"/>
    <w:rsid w:val="005E7E95"/>
    <w:rsid w:val="005F08AA"/>
    <w:rsid w:val="005F10AB"/>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17B90"/>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0EAA"/>
    <w:rsid w:val="006416A9"/>
    <w:rsid w:val="00641AD9"/>
    <w:rsid w:val="006434D2"/>
    <w:rsid w:val="006442A9"/>
    <w:rsid w:val="006448AB"/>
    <w:rsid w:val="00645537"/>
    <w:rsid w:val="006457F9"/>
    <w:rsid w:val="00647229"/>
    <w:rsid w:val="00647B9E"/>
    <w:rsid w:val="006505E5"/>
    <w:rsid w:val="00650801"/>
    <w:rsid w:val="00651105"/>
    <w:rsid w:val="006536C7"/>
    <w:rsid w:val="00654873"/>
    <w:rsid w:val="00660C5C"/>
    <w:rsid w:val="006611E4"/>
    <w:rsid w:val="00661B1B"/>
    <w:rsid w:val="00662142"/>
    <w:rsid w:val="00662DEA"/>
    <w:rsid w:val="00663128"/>
    <w:rsid w:val="006636BC"/>
    <w:rsid w:val="00663782"/>
    <w:rsid w:val="00663AED"/>
    <w:rsid w:val="00664648"/>
    <w:rsid w:val="00664677"/>
    <w:rsid w:val="00665ECA"/>
    <w:rsid w:val="00666945"/>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76F2A"/>
    <w:rsid w:val="006777A2"/>
    <w:rsid w:val="00680A00"/>
    <w:rsid w:val="006816A7"/>
    <w:rsid w:val="00682391"/>
    <w:rsid w:val="00682748"/>
    <w:rsid w:val="00682861"/>
    <w:rsid w:val="006832C1"/>
    <w:rsid w:val="00683722"/>
    <w:rsid w:val="00684543"/>
    <w:rsid w:val="0068456D"/>
    <w:rsid w:val="00684AAE"/>
    <w:rsid w:val="00686900"/>
    <w:rsid w:val="00687428"/>
    <w:rsid w:val="006901D0"/>
    <w:rsid w:val="006914E6"/>
    <w:rsid w:val="00691FE9"/>
    <w:rsid w:val="00693614"/>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5748"/>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E72"/>
    <w:rsid w:val="006F2049"/>
    <w:rsid w:val="006F25C5"/>
    <w:rsid w:val="006F3133"/>
    <w:rsid w:val="006F3289"/>
    <w:rsid w:val="006F362D"/>
    <w:rsid w:val="006F4290"/>
    <w:rsid w:val="006F45BD"/>
    <w:rsid w:val="006F6948"/>
    <w:rsid w:val="007076A5"/>
    <w:rsid w:val="00707758"/>
    <w:rsid w:val="00707B07"/>
    <w:rsid w:val="00707DC7"/>
    <w:rsid w:val="007107E5"/>
    <w:rsid w:val="00711957"/>
    <w:rsid w:val="00712037"/>
    <w:rsid w:val="00712F6A"/>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A6B"/>
    <w:rsid w:val="0075129D"/>
    <w:rsid w:val="00751D8C"/>
    <w:rsid w:val="00752AD2"/>
    <w:rsid w:val="00752E95"/>
    <w:rsid w:val="007531A8"/>
    <w:rsid w:val="00754A1A"/>
    <w:rsid w:val="00755E08"/>
    <w:rsid w:val="00756748"/>
    <w:rsid w:val="007568FE"/>
    <w:rsid w:val="00760AD4"/>
    <w:rsid w:val="00761459"/>
    <w:rsid w:val="00763EDA"/>
    <w:rsid w:val="00764807"/>
    <w:rsid w:val="00764B26"/>
    <w:rsid w:val="00764F29"/>
    <w:rsid w:val="00765B6B"/>
    <w:rsid w:val="0076657F"/>
    <w:rsid w:val="00767215"/>
    <w:rsid w:val="00771445"/>
    <w:rsid w:val="00773DDC"/>
    <w:rsid w:val="00773E3E"/>
    <w:rsid w:val="00776340"/>
    <w:rsid w:val="00776B90"/>
    <w:rsid w:val="0077794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CB"/>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2F4B"/>
    <w:rsid w:val="007F4371"/>
    <w:rsid w:val="007F451C"/>
    <w:rsid w:val="007F4915"/>
    <w:rsid w:val="007F4964"/>
    <w:rsid w:val="007F52B3"/>
    <w:rsid w:val="007F59E5"/>
    <w:rsid w:val="007F7341"/>
    <w:rsid w:val="007F799C"/>
    <w:rsid w:val="0080106F"/>
    <w:rsid w:val="0080174A"/>
    <w:rsid w:val="00802AFE"/>
    <w:rsid w:val="00802CFC"/>
    <w:rsid w:val="00804D43"/>
    <w:rsid w:val="00805B6F"/>
    <w:rsid w:val="0080606F"/>
    <w:rsid w:val="0080664A"/>
    <w:rsid w:val="00806B4F"/>
    <w:rsid w:val="0080717E"/>
    <w:rsid w:val="00807B92"/>
    <w:rsid w:val="008128F3"/>
    <w:rsid w:val="00812A3C"/>
    <w:rsid w:val="00813AC7"/>
    <w:rsid w:val="008150ED"/>
    <w:rsid w:val="008170C3"/>
    <w:rsid w:val="008233D0"/>
    <w:rsid w:val="00824AB1"/>
    <w:rsid w:val="008251E2"/>
    <w:rsid w:val="008257B2"/>
    <w:rsid w:val="0082651D"/>
    <w:rsid w:val="0082692A"/>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2E57"/>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58F2"/>
    <w:rsid w:val="008D6600"/>
    <w:rsid w:val="008E0611"/>
    <w:rsid w:val="008E0F6F"/>
    <w:rsid w:val="008E1E52"/>
    <w:rsid w:val="008E2F2B"/>
    <w:rsid w:val="008E3B79"/>
    <w:rsid w:val="008E5416"/>
    <w:rsid w:val="008E59A6"/>
    <w:rsid w:val="008E69A3"/>
    <w:rsid w:val="008E77F0"/>
    <w:rsid w:val="008F04FC"/>
    <w:rsid w:val="008F1FB7"/>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22E"/>
    <w:rsid w:val="00955B8C"/>
    <w:rsid w:val="00956DB3"/>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23A"/>
    <w:rsid w:val="009834E4"/>
    <w:rsid w:val="00984E48"/>
    <w:rsid w:val="0098575F"/>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605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0E1"/>
    <w:rsid w:val="00A4741E"/>
    <w:rsid w:val="00A51FE3"/>
    <w:rsid w:val="00A53AB8"/>
    <w:rsid w:val="00A53E7E"/>
    <w:rsid w:val="00A54A10"/>
    <w:rsid w:val="00A54D63"/>
    <w:rsid w:val="00A54DCF"/>
    <w:rsid w:val="00A55670"/>
    <w:rsid w:val="00A56452"/>
    <w:rsid w:val="00A56E20"/>
    <w:rsid w:val="00A56F8B"/>
    <w:rsid w:val="00A57BFD"/>
    <w:rsid w:val="00A57EE8"/>
    <w:rsid w:val="00A60550"/>
    <w:rsid w:val="00A6155C"/>
    <w:rsid w:val="00A61937"/>
    <w:rsid w:val="00A61CBD"/>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4D5"/>
    <w:rsid w:val="00A72BF5"/>
    <w:rsid w:val="00A72C33"/>
    <w:rsid w:val="00A72E93"/>
    <w:rsid w:val="00A72E9D"/>
    <w:rsid w:val="00A7393D"/>
    <w:rsid w:val="00A74085"/>
    <w:rsid w:val="00A74249"/>
    <w:rsid w:val="00A75193"/>
    <w:rsid w:val="00A75F7F"/>
    <w:rsid w:val="00A76B06"/>
    <w:rsid w:val="00A76B77"/>
    <w:rsid w:val="00A7723A"/>
    <w:rsid w:val="00A773C7"/>
    <w:rsid w:val="00A77FFA"/>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6F4"/>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D80"/>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004"/>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6E9"/>
    <w:rsid w:val="00B867AB"/>
    <w:rsid w:val="00B86FCC"/>
    <w:rsid w:val="00B87978"/>
    <w:rsid w:val="00B90B7B"/>
    <w:rsid w:val="00B9116D"/>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826"/>
    <w:rsid w:val="00BA4893"/>
    <w:rsid w:val="00BA4CFD"/>
    <w:rsid w:val="00BA4EC7"/>
    <w:rsid w:val="00BA5357"/>
    <w:rsid w:val="00BA58AF"/>
    <w:rsid w:val="00BA5D21"/>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80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20CDD"/>
    <w:rsid w:val="00C2108A"/>
    <w:rsid w:val="00C21C34"/>
    <w:rsid w:val="00C24CDB"/>
    <w:rsid w:val="00C25E14"/>
    <w:rsid w:val="00C25FBE"/>
    <w:rsid w:val="00C279E3"/>
    <w:rsid w:val="00C30C1F"/>
    <w:rsid w:val="00C30D55"/>
    <w:rsid w:val="00C31D91"/>
    <w:rsid w:val="00C322E7"/>
    <w:rsid w:val="00C3383D"/>
    <w:rsid w:val="00C3529B"/>
    <w:rsid w:val="00C352B8"/>
    <w:rsid w:val="00C35A3E"/>
    <w:rsid w:val="00C36E69"/>
    <w:rsid w:val="00C40F92"/>
    <w:rsid w:val="00C4186E"/>
    <w:rsid w:val="00C4205C"/>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46AE"/>
    <w:rsid w:val="00C75403"/>
    <w:rsid w:val="00C75CDD"/>
    <w:rsid w:val="00C75F88"/>
    <w:rsid w:val="00C7601B"/>
    <w:rsid w:val="00C777FA"/>
    <w:rsid w:val="00C77B60"/>
    <w:rsid w:val="00C77C05"/>
    <w:rsid w:val="00C806E8"/>
    <w:rsid w:val="00C813AF"/>
    <w:rsid w:val="00C81A6C"/>
    <w:rsid w:val="00C82962"/>
    <w:rsid w:val="00C8367E"/>
    <w:rsid w:val="00C84665"/>
    <w:rsid w:val="00C84BCC"/>
    <w:rsid w:val="00C853B3"/>
    <w:rsid w:val="00C862DC"/>
    <w:rsid w:val="00C8690C"/>
    <w:rsid w:val="00C8752F"/>
    <w:rsid w:val="00C90545"/>
    <w:rsid w:val="00C90AA3"/>
    <w:rsid w:val="00C929AD"/>
    <w:rsid w:val="00C93283"/>
    <w:rsid w:val="00C937C2"/>
    <w:rsid w:val="00C93EA0"/>
    <w:rsid w:val="00C9486E"/>
    <w:rsid w:val="00C950A9"/>
    <w:rsid w:val="00C96926"/>
    <w:rsid w:val="00CA11D0"/>
    <w:rsid w:val="00CA2064"/>
    <w:rsid w:val="00CA26C5"/>
    <w:rsid w:val="00CA3D2F"/>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83B"/>
    <w:rsid w:val="00CC3897"/>
    <w:rsid w:val="00CC3CDF"/>
    <w:rsid w:val="00CC4DE0"/>
    <w:rsid w:val="00CC4FEB"/>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44E60"/>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6BD2"/>
    <w:rsid w:val="00E173D4"/>
    <w:rsid w:val="00E21915"/>
    <w:rsid w:val="00E22244"/>
    <w:rsid w:val="00E22C2F"/>
    <w:rsid w:val="00E22DCD"/>
    <w:rsid w:val="00E239DD"/>
    <w:rsid w:val="00E23BAC"/>
    <w:rsid w:val="00E244B3"/>
    <w:rsid w:val="00E246E6"/>
    <w:rsid w:val="00E24CFF"/>
    <w:rsid w:val="00E24EA3"/>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5F7A"/>
    <w:rsid w:val="00E46EB5"/>
    <w:rsid w:val="00E47CC8"/>
    <w:rsid w:val="00E52751"/>
    <w:rsid w:val="00E53787"/>
    <w:rsid w:val="00E539FC"/>
    <w:rsid w:val="00E54079"/>
    <w:rsid w:val="00E5435D"/>
    <w:rsid w:val="00E5489D"/>
    <w:rsid w:val="00E61806"/>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499C"/>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370E"/>
    <w:rsid w:val="00EB4B0D"/>
    <w:rsid w:val="00EB54DF"/>
    <w:rsid w:val="00EB564D"/>
    <w:rsid w:val="00EB60F4"/>
    <w:rsid w:val="00EB610A"/>
    <w:rsid w:val="00EB68C3"/>
    <w:rsid w:val="00EB71F9"/>
    <w:rsid w:val="00EC0E59"/>
    <w:rsid w:val="00EC0E8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6D03"/>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7DD"/>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4DC9"/>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BA4"/>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C0080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1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58958738">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511575389">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05006157">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1A03E866DC86A45B06A01CD5D3FA185" ma:contentTypeVersion="11" ma:contentTypeDescription="Kurkite naują dokumentą." ma:contentTypeScope="" ma:versionID="b9fcc788327f10250576f28e0e970b74">
  <xsd:schema xmlns:xsd="http://www.w3.org/2001/XMLSchema" xmlns:xs="http://www.w3.org/2001/XMLSchema" xmlns:p="http://schemas.microsoft.com/office/2006/metadata/properties" xmlns:ns3="13599057-6896-4f8f-b0a0-40bbcdf5b969" xmlns:ns4="966d2108-ff94-48e0-b8b4-cea7933add07" targetNamespace="http://schemas.microsoft.com/office/2006/metadata/properties" ma:root="true" ma:fieldsID="edcced59f08f23cdcbee6e819925ccd4" ns3:_="" ns4:_="">
    <xsd:import namespace="13599057-6896-4f8f-b0a0-40bbcdf5b969"/>
    <xsd:import namespace="966d2108-ff94-48e0-b8b4-cea7933add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99057-6896-4f8f-b0a0-40bbcdf5b9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d2108-ff94-48e0-b8b4-cea7933add0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5679-A010-44A7-8F5B-FD37326AA766}">
  <ds:schemaRefs>
    <ds:schemaRef ds:uri="http://schemas.openxmlformats.org/officeDocument/2006/bibliography"/>
  </ds:schemaRefs>
</ds:datastoreItem>
</file>

<file path=customXml/itemProps2.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3.xml><?xml version="1.0" encoding="utf-8"?>
<ds:datastoreItem xmlns:ds="http://schemas.openxmlformats.org/officeDocument/2006/customXml" ds:itemID="{176C8F03-3C01-4E1E-858F-8F4AC9DF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99057-6896-4f8f-b0a0-40bbcdf5b969"/>
    <ds:schemaRef ds:uri="966d2108-ff94-48e0-b8b4-cea7933ad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B7F07-BFD6-453B-9AB5-F53C5BC1408A}">
  <ds:schemaRefs>
    <ds:schemaRef ds:uri="http://schemas.openxmlformats.org/officeDocument/2006/bibliography"/>
  </ds:schemaRefs>
</ds:datastoreItem>
</file>

<file path=customXml/itemProps5.xml><?xml version="1.0" encoding="utf-8"?>
<ds:datastoreItem xmlns:ds="http://schemas.openxmlformats.org/officeDocument/2006/customXml" ds:itemID="{113904F6-0798-4D03-9AEA-F697E368391E}">
  <ds:schemaRefs>
    <ds:schemaRef ds:uri="http://schemas.openxmlformats.org/officeDocument/2006/bibliography"/>
  </ds:schemaRefs>
</ds:datastoreItem>
</file>

<file path=customXml/itemProps6.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537FBC0-8D46-4676-90AD-5B5A61F1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4908</Words>
  <Characters>34386</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39216</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Vaida Buklienė</cp:lastModifiedBy>
  <cp:revision>4</cp:revision>
  <cp:lastPrinted>2014-05-08T11:06:00Z</cp:lastPrinted>
  <dcterms:created xsi:type="dcterms:W3CDTF">2019-09-25T06:06:00Z</dcterms:created>
  <dcterms:modified xsi:type="dcterms:W3CDTF">2020-01-02T07:43:00Z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0x01010041A03E866DC86A45B06A01CD5D3FA185</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Alina.Dralo@le.lt</vt:lpwstr>
  </property>
  <property fmtid="{D5CDD505-2E9C-101B-9397-08002B2CF9AE}" pid="9" name="MSIP_Label_320c693d-44b7-4e16-b3dd-4fcd87401cf5_SetDate">
    <vt:lpwstr>2019-05-29T05:48:29.3231902Z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7086f1a2-96be-44a3-a1b2-9f8894d443ce</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Alina.Dralo@le.lt</vt:lpwstr>
  </property>
  <property fmtid="{D5CDD505-2E9C-101B-9397-08002B2CF9AE}" pid="17" name="MSIP_Label_190751af-2442-49a7-b7b9-9f0bcce858c9_SetDate">
    <vt:lpwstr>2019-05-29T05:48:29.3231902Z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7086f1a2-96be-44a3-a1b2-9f8894d443ce</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