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shd w:val="clear" w:color="auto" w:fill="FFF2CC" w:themeFill="accent4" w:themeFillTint="33"/>
        <w:tblLook w:val="04A0" w:firstRow="1" w:lastRow="0" w:firstColumn="1" w:lastColumn="0" w:noHBand="0" w:noVBand="1"/>
      </w:tblPr>
      <w:tblGrid>
        <w:gridCol w:w="9628"/>
      </w:tblGrid>
      <w:tr w:rsidR="00C17AF1" w:rsidRPr="00D94A8A" w14:paraId="126EAF85" w14:textId="77777777" w:rsidTr="00C17AF1">
        <w:tc>
          <w:tcPr>
            <w:tcW w:w="9628" w:type="dxa"/>
            <w:shd w:val="clear" w:color="auto" w:fill="FFF2CC" w:themeFill="accent4" w:themeFillTint="33"/>
          </w:tcPr>
          <w:p w14:paraId="126EAF80" w14:textId="44C9E3DA" w:rsidR="00253801" w:rsidRPr="00D94A8A" w:rsidRDefault="001D2D25" w:rsidP="00253801">
            <w:pPr>
              <w:jc w:val="center"/>
              <w:rPr>
                <w:rFonts w:ascii="Times New Roman" w:eastAsia="Times New Roman" w:hAnsi="Times New Roman" w:cs="Times New Roman"/>
                <w:b/>
                <w:lang w:val="en-GB"/>
              </w:rPr>
            </w:pPr>
            <w:r w:rsidRPr="00D94A8A">
              <w:rPr>
                <w:rFonts w:ascii="Times New Roman" w:eastAsia="Times New Roman" w:hAnsi="Times New Roman" w:cs="Times New Roman"/>
                <w:b/>
                <w:lang w:val="en-GB"/>
              </w:rPr>
              <w:t>IŠTEKLIŲ AGENTŪRA</w:t>
            </w:r>
          </w:p>
          <w:p w14:paraId="126EAF81" w14:textId="77777777" w:rsidR="00253801" w:rsidRPr="00D94A8A" w:rsidRDefault="00253801" w:rsidP="00253801">
            <w:pPr>
              <w:jc w:val="center"/>
              <w:rPr>
                <w:rFonts w:ascii="Times New Roman" w:eastAsia="Times New Roman" w:hAnsi="Times New Roman" w:cs="Times New Roman"/>
                <w:b/>
                <w:lang w:val="en-GB"/>
              </w:rPr>
            </w:pPr>
            <w:r w:rsidRPr="00D94A8A">
              <w:rPr>
                <w:rFonts w:ascii="Times New Roman" w:eastAsia="Times New Roman" w:hAnsi="Times New Roman" w:cs="Times New Roman"/>
                <w:b/>
                <w:lang w:val="en-GB"/>
              </w:rPr>
              <w:t>PRIE LIETUVOS RESPUBLIKOS VIDAUS REIKALŲ MINISTERIJOS</w:t>
            </w:r>
          </w:p>
          <w:p w14:paraId="126EAF82" w14:textId="77777777" w:rsidR="00253801" w:rsidRPr="00D94A8A" w:rsidRDefault="00510989" w:rsidP="00253801">
            <w:pPr>
              <w:ind w:firstLine="567"/>
              <w:jc w:val="center"/>
              <w:rPr>
                <w:rFonts w:ascii="Times New Roman" w:eastAsia="Times New Roman" w:hAnsi="Times New Roman" w:cs="Times New Roman"/>
                <w:b/>
                <w:caps/>
                <w:lang w:val="en-GB"/>
              </w:rPr>
            </w:pPr>
            <w:r w:rsidRPr="00D94A8A">
              <w:rPr>
                <w:rFonts w:ascii="Times New Roman" w:eastAsia="Times New Roman" w:hAnsi="Times New Roman" w:cs="Times New Roman"/>
                <w:b/>
                <w:caps/>
                <w:lang w:val="en-GB"/>
              </w:rPr>
              <w:t>VIEŠ</w:t>
            </w:r>
            <w:r w:rsidR="00954EB1" w:rsidRPr="00D94A8A">
              <w:rPr>
                <w:rFonts w:ascii="Times New Roman" w:eastAsia="Times New Roman" w:hAnsi="Times New Roman" w:cs="Times New Roman"/>
                <w:b/>
                <w:caps/>
                <w:lang w:val="en-GB"/>
              </w:rPr>
              <w:t>O</w:t>
            </w:r>
            <w:r w:rsidRPr="00D94A8A">
              <w:rPr>
                <w:rFonts w:ascii="Times New Roman" w:eastAsia="Times New Roman" w:hAnsi="Times New Roman" w:cs="Times New Roman"/>
                <w:b/>
                <w:caps/>
                <w:lang w:val="en-GB"/>
              </w:rPr>
              <w:t>J</w:t>
            </w:r>
            <w:r w:rsidR="00954EB1" w:rsidRPr="00D94A8A">
              <w:rPr>
                <w:rFonts w:ascii="Times New Roman" w:eastAsia="Times New Roman" w:hAnsi="Times New Roman" w:cs="Times New Roman"/>
                <w:b/>
                <w:caps/>
                <w:lang w:val="en-GB"/>
              </w:rPr>
              <w:t>O</w:t>
            </w:r>
            <w:r w:rsidRPr="00D94A8A">
              <w:rPr>
                <w:rFonts w:ascii="Times New Roman" w:eastAsia="Times New Roman" w:hAnsi="Times New Roman" w:cs="Times New Roman"/>
                <w:b/>
                <w:caps/>
                <w:lang w:val="en-GB"/>
              </w:rPr>
              <w:t xml:space="preserve"> PIRKIM</w:t>
            </w:r>
            <w:r w:rsidR="00954EB1" w:rsidRPr="00D94A8A">
              <w:rPr>
                <w:rFonts w:ascii="Times New Roman" w:eastAsia="Times New Roman" w:hAnsi="Times New Roman" w:cs="Times New Roman"/>
                <w:b/>
                <w:caps/>
                <w:lang w:val="en-GB"/>
              </w:rPr>
              <w:t>O</w:t>
            </w:r>
            <w:r w:rsidR="007C6F10" w:rsidRPr="00D94A8A">
              <w:rPr>
                <w:rFonts w:ascii="Times New Roman" w:eastAsia="Times New Roman" w:hAnsi="Times New Roman" w:cs="Times New Roman"/>
                <w:b/>
                <w:caps/>
                <w:lang w:val="en-GB"/>
              </w:rPr>
              <w:t xml:space="preserve"> </w:t>
            </w:r>
            <w:r w:rsidR="00253801" w:rsidRPr="00D94A8A">
              <w:rPr>
                <w:rFonts w:ascii="Times New Roman" w:eastAsia="Times New Roman" w:hAnsi="Times New Roman" w:cs="Times New Roman"/>
                <w:b/>
                <w:caps/>
                <w:lang w:val="en-GB"/>
              </w:rPr>
              <w:t>komisijA</w:t>
            </w:r>
          </w:p>
          <w:p w14:paraId="126EAF83" w14:textId="77777777" w:rsidR="00253801" w:rsidRPr="00D94A8A" w:rsidRDefault="00253801" w:rsidP="0009172A">
            <w:pPr>
              <w:jc w:val="center"/>
              <w:rPr>
                <w:rFonts w:ascii="Times New Roman" w:hAnsi="Times New Roman" w:cs="Times New Roman"/>
                <w:b/>
              </w:rPr>
            </w:pPr>
          </w:p>
          <w:p w14:paraId="126EAF84" w14:textId="77777777" w:rsidR="00253801" w:rsidRPr="00D94A8A" w:rsidRDefault="00253801" w:rsidP="00253801">
            <w:pPr>
              <w:jc w:val="center"/>
              <w:rPr>
                <w:rFonts w:ascii="Times New Roman" w:hAnsi="Times New Roman" w:cs="Times New Roman"/>
                <w:b/>
              </w:rPr>
            </w:pPr>
            <w:r w:rsidRPr="00D94A8A">
              <w:rPr>
                <w:rFonts w:ascii="Times New Roman" w:hAnsi="Times New Roman" w:cs="Times New Roman"/>
                <w:b/>
              </w:rPr>
              <w:t>PRANEŠIMAS</w:t>
            </w:r>
          </w:p>
        </w:tc>
      </w:tr>
    </w:tbl>
    <w:p w14:paraId="126EAF86" w14:textId="77777777" w:rsidR="00C17AF1" w:rsidRPr="00D94A8A" w:rsidRDefault="00C17AF1" w:rsidP="0009172A">
      <w:pPr>
        <w:jc w:val="center"/>
        <w:rPr>
          <w:rFonts w:ascii="Times New Roman" w:hAnsi="Times New Roman" w:cs="Times New Roman"/>
          <w:b/>
        </w:rPr>
      </w:pPr>
    </w:p>
    <w:tbl>
      <w:tblPr>
        <w:tblStyle w:val="Lentelstinklelis"/>
        <w:tblW w:w="9770" w:type="dxa"/>
        <w:tblLook w:val="04A0" w:firstRow="1" w:lastRow="0" w:firstColumn="1" w:lastColumn="0" w:noHBand="0" w:noVBand="1"/>
      </w:tblPr>
      <w:tblGrid>
        <w:gridCol w:w="2122"/>
        <w:gridCol w:w="7648"/>
      </w:tblGrid>
      <w:tr w:rsidR="0009172A" w:rsidRPr="00D94A8A" w14:paraId="126EAF89" w14:textId="77777777" w:rsidTr="00253801">
        <w:tc>
          <w:tcPr>
            <w:tcW w:w="2122" w:type="dxa"/>
            <w:shd w:val="clear" w:color="auto" w:fill="FFF2CC" w:themeFill="accent4" w:themeFillTint="33"/>
          </w:tcPr>
          <w:p w14:paraId="126EAF87" w14:textId="77777777" w:rsidR="0009172A" w:rsidRPr="00D94A8A" w:rsidRDefault="0009172A" w:rsidP="0009172A">
            <w:pPr>
              <w:rPr>
                <w:rFonts w:ascii="Times New Roman" w:hAnsi="Times New Roman" w:cs="Times New Roman"/>
              </w:rPr>
            </w:pPr>
            <w:r w:rsidRPr="00D94A8A">
              <w:rPr>
                <w:rFonts w:ascii="Times New Roman" w:hAnsi="Times New Roman" w:cs="Times New Roman"/>
              </w:rPr>
              <w:t>Pirkimo pavadinimas</w:t>
            </w:r>
          </w:p>
        </w:tc>
        <w:tc>
          <w:tcPr>
            <w:tcW w:w="7648" w:type="dxa"/>
          </w:tcPr>
          <w:p w14:paraId="126EAF88" w14:textId="6F1231FE" w:rsidR="0009172A" w:rsidRPr="00D94A8A" w:rsidRDefault="00003A0E" w:rsidP="00090E66">
            <w:pPr>
              <w:jc w:val="both"/>
              <w:rPr>
                <w:rFonts w:ascii="Times New Roman" w:hAnsi="Times New Roman" w:cs="Times New Roman"/>
                <w:b/>
                <w:bCs/>
                <w:lang w:bidi="en-US"/>
              </w:rPr>
            </w:pPr>
            <w:r>
              <w:rPr>
                <w:rFonts w:ascii="Times New Roman" w:hAnsi="Times New Roman"/>
                <w:b/>
                <w:bCs/>
                <w:szCs w:val="20"/>
              </w:rPr>
              <w:t>Lietuvos viešojo saugumo ir pagalbos tarnybų skaitmeninio mobiliojo radijo ryšio tinklo įrangos talpinimo paslauga (PPR-688</w:t>
            </w:r>
            <w:r>
              <w:rPr>
                <w:rFonts w:ascii="Times New Roman" w:eastAsia="Times New Roman" w:hAnsi="Times New Roman" w:cs="Times New Roman"/>
                <w:b/>
                <w:lang w:eastAsia="lt-LT"/>
              </w:rPr>
              <w:t>).</w:t>
            </w:r>
          </w:p>
        </w:tc>
      </w:tr>
      <w:tr w:rsidR="0009172A" w:rsidRPr="00D94A8A" w14:paraId="126EAF8C" w14:textId="77777777" w:rsidTr="00253801">
        <w:tc>
          <w:tcPr>
            <w:tcW w:w="2122" w:type="dxa"/>
            <w:shd w:val="clear" w:color="auto" w:fill="FFF2CC" w:themeFill="accent4" w:themeFillTint="33"/>
          </w:tcPr>
          <w:p w14:paraId="126EAF8A" w14:textId="77777777" w:rsidR="0009172A" w:rsidRPr="00D94A8A" w:rsidRDefault="0009172A" w:rsidP="0009172A">
            <w:pPr>
              <w:rPr>
                <w:rFonts w:ascii="Times New Roman" w:hAnsi="Times New Roman" w:cs="Times New Roman"/>
              </w:rPr>
            </w:pPr>
            <w:r w:rsidRPr="00D94A8A">
              <w:rPr>
                <w:rFonts w:ascii="Times New Roman" w:hAnsi="Times New Roman" w:cs="Times New Roman"/>
              </w:rPr>
              <w:t xml:space="preserve">CVP IS </w:t>
            </w:r>
            <w:r w:rsidR="00253801" w:rsidRPr="00D94A8A">
              <w:rPr>
                <w:rFonts w:ascii="Times New Roman" w:hAnsi="Times New Roman" w:cs="Times New Roman"/>
              </w:rPr>
              <w:t xml:space="preserve">pirkimo </w:t>
            </w:r>
            <w:r w:rsidRPr="00D94A8A">
              <w:rPr>
                <w:rFonts w:ascii="Times New Roman" w:hAnsi="Times New Roman" w:cs="Times New Roman"/>
              </w:rPr>
              <w:t>Nr.</w:t>
            </w:r>
          </w:p>
        </w:tc>
        <w:tc>
          <w:tcPr>
            <w:tcW w:w="7648" w:type="dxa"/>
          </w:tcPr>
          <w:p w14:paraId="126EAF8B" w14:textId="5F4BD535" w:rsidR="0009172A" w:rsidRPr="008F3F4D" w:rsidRDefault="008F3F4D" w:rsidP="0009172A">
            <w:pPr>
              <w:rPr>
                <w:rFonts w:ascii="Times New Roman" w:hAnsi="Times New Roman" w:cs="Times New Roman"/>
                <w:b/>
                <w:bCs/>
                <w:color w:val="333333"/>
                <w:shd w:val="clear" w:color="auto" w:fill="FFFFFF"/>
              </w:rPr>
            </w:pPr>
            <w:r w:rsidRPr="008F3F4D">
              <w:rPr>
                <w:rFonts w:ascii="Times New Roman" w:hAnsi="Times New Roman" w:cs="Times New Roman"/>
                <w:b/>
                <w:bCs/>
                <w:color w:val="333333"/>
                <w:shd w:val="clear" w:color="auto" w:fill="FFFFFF"/>
              </w:rPr>
              <w:t>738801</w:t>
            </w:r>
          </w:p>
        </w:tc>
      </w:tr>
      <w:tr w:rsidR="0009172A" w:rsidRPr="00D94A8A" w14:paraId="126EAF8F" w14:textId="77777777" w:rsidTr="00253801">
        <w:tc>
          <w:tcPr>
            <w:tcW w:w="2122" w:type="dxa"/>
            <w:shd w:val="clear" w:color="auto" w:fill="FFF2CC" w:themeFill="accent4" w:themeFillTint="33"/>
          </w:tcPr>
          <w:p w14:paraId="126EAF8D" w14:textId="77777777" w:rsidR="0009172A" w:rsidRPr="00D94A8A" w:rsidRDefault="0009172A" w:rsidP="0009172A">
            <w:pPr>
              <w:rPr>
                <w:rFonts w:ascii="Times New Roman" w:hAnsi="Times New Roman" w:cs="Times New Roman"/>
              </w:rPr>
            </w:pPr>
            <w:r w:rsidRPr="00D94A8A">
              <w:rPr>
                <w:rFonts w:ascii="Times New Roman" w:hAnsi="Times New Roman" w:cs="Times New Roman"/>
              </w:rPr>
              <w:t>Adresatas</w:t>
            </w:r>
          </w:p>
        </w:tc>
        <w:tc>
          <w:tcPr>
            <w:tcW w:w="7648" w:type="dxa"/>
          </w:tcPr>
          <w:p w14:paraId="126EAF8E" w14:textId="45526B0D" w:rsidR="0009172A" w:rsidRPr="00D94A8A" w:rsidRDefault="000062D8" w:rsidP="00A16CF4">
            <w:pPr>
              <w:rPr>
                <w:rFonts w:ascii="Times New Roman" w:hAnsi="Times New Roman" w:cs="Times New Roman"/>
                <w:b/>
              </w:rPr>
            </w:pPr>
            <w:r w:rsidRPr="00D94A8A">
              <w:rPr>
                <w:rFonts w:ascii="Times New Roman" w:hAnsi="Times New Roman" w:cs="Times New Roman"/>
                <w:b/>
              </w:rPr>
              <w:t>Suinteresuoti Tiekėjai</w:t>
            </w:r>
          </w:p>
        </w:tc>
      </w:tr>
      <w:tr w:rsidR="0009172A" w:rsidRPr="00D94A8A" w14:paraId="126EAF92" w14:textId="77777777" w:rsidTr="00253801">
        <w:tc>
          <w:tcPr>
            <w:tcW w:w="2122" w:type="dxa"/>
            <w:shd w:val="clear" w:color="auto" w:fill="FFF2CC" w:themeFill="accent4" w:themeFillTint="33"/>
          </w:tcPr>
          <w:p w14:paraId="126EAF90" w14:textId="77777777" w:rsidR="0009172A" w:rsidRPr="00D94A8A" w:rsidRDefault="0009172A" w:rsidP="0009172A">
            <w:pPr>
              <w:rPr>
                <w:rFonts w:ascii="Times New Roman" w:hAnsi="Times New Roman" w:cs="Times New Roman"/>
              </w:rPr>
            </w:pPr>
            <w:r w:rsidRPr="00D94A8A">
              <w:rPr>
                <w:rFonts w:ascii="Times New Roman" w:hAnsi="Times New Roman" w:cs="Times New Roman"/>
              </w:rPr>
              <w:t>Data</w:t>
            </w:r>
          </w:p>
        </w:tc>
        <w:tc>
          <w:tcPr>
            <w:tcW w:w="7648" w:type="dxa"/>
          </w:tcPr>
          <w:p w14:paraId="126EAF91" w14:textId="523BF226" w:rsidR="0009172A" w:rsidRPr="00D94A8A" w:rsidRDefault="00510989" w:rsidP="006961C7">
            <w:pPr>
              <w:rPr>
                <w:rFonts w:ascii="Times New Roman" w:hAnsi="Times New Roman" w:cs="Times New Roman"/>
              </w:rPr>
            </w:pPr>
            <w:r w:rsidRPr="00D94A8A">
              <w:rPr>
                <w:rFonts w:ascii="Times New Roman" w:hAnsi="Times New Roman" w:cs="Times New Roman"/>
              </w:rPr>
              <w:t>202</w:t>
            </w:r>
            <w:r w:rsidR="00544DC4" w:rsidRPr="00D94A8A">
              <w:rPr>
                <w:rFonts w:ascii="Times New Roman" w:hAnsi="Times New Roman" w:cs="Times New Roman"/>
              </w:rPr>
              <w:t>4</w:t>
            </w:r>
            <w:r w:rsidRPr="00D94A8A">
              <w:rPr>
                <w:rFonts w:ascii="Times New Roman" w:hAnsi="Times New Roman" w:cs="Times New Roman"/>
              </w:rPr>
              <w:t>-</w:t>
            </w:r>
            <w:r w:rsidR="008F3F4D">
              <w:rPr>
                <w:rFonts w:ascii="Times New Roman" w:hAnsi="Times New Roman" w:cs="Times New Roman"/>
              </w:rPr>
              <w:t>10</w:t>
            </w:r>
            <w:r w:rsidRPr="00D94A8A">
              <w:rPr>
                <w:rFonts w:ascii="Times New Roman" w:hAnsi="Times New Roman" w:cs="Times New Roman"/>
              </w:rPr>
              <w:t>-</w:t>
            </w:r>
            <w:r w:rsidR="006D1FC2">
              <w:rPr>
                <w:rFonts w:ascii="Times New Roman" w:hAnsi="Times New Roman" w:cs="Times New Roman"/>
              </w:rPr>
              <w:t>10</w:t>
            </w:r>
          </w:p>
        </w:tc>
      </w:tr>
    </w:tbl>
    <w:p w14:paraId="126EAF93" w14:textId="77777777" w:rsidR="001859F5" w:rsidRDefault="001859F5" w:rsidP="001859F5">
      <w:pPr>
        <w:pStyle w:val="Betarp"/>
        <w:tabs>
          <w:tab w:val="left" w:pos="993"/>
        </w:tabs>
        <w:spacing w:line="276" w:lineRule="auto"/>
        <w:ind w:firstLine="567"/>
        <w:jc w:val="both"/>
        <w:rPr>
          <w:b/>
          <w:bCs/>
          <w:i/>
          <w:sz w:val="22"/>
        </w:rPr>
      </w:pPr>
    </w:p>
    <w:p w14:paraId="0CDBCD80" w14:textId="77777777" w:rsidR="0096790F" w:rsidRDefault="0096790F" w:rsidP="0096790F">
      <w:pPr>
        <w:tabs>
          <w:tab w:val="left" w:pos="993"/>
        </w:tabs>
        <w:spacing w:line="240" w:lineRule="auto"/>
        <w:ind w:firstLine="567"/>
        <w:contextualSpacing/>
        <w:jc w:val="both"/>
        <w:rPr>
          <w:rFonts w:ascii="Times New Roman" w:eastAsia="Times New Roman" w:hAnsi="Times New Roman" w:cs="Times New Roman"/>
          <w:b/>
          <w:bCs/>
          <w:i/>
          <w:iCs/>
        </w:rPr>
      </w:pPr>
      <w:r w:rsidRPr="004531CF">
        <w:rPr>
          <w:rFonts w:ascii="Times New Roman" w:eastAsia="Times New Roman" w:hAnsi="Times New Roman" w:cs="Times New Roman"/>
          <w:b/>
          <w:bCs/>
          <w:i/>
          <w:iCs/>
        </w:rPr>
        <w:t>DĖL GAUTOS PASTABOS</w:t>
      </w:r>
    </w:p>
    <w:p w14:paraId="67675CB2" w14:textId="77777777" w:rsidR="0096790F" w:rsidRPr="004531CF" w:rsidRDefault="0096790F" w:rsidP="0096790F">
      <w:pPr>
        <w:tabs>
          <w:tab w:val="left" w:pos="993"/>
        </w:tabs>
        <w:spacing w:line="240" w:lineRule="auto"/>
        <w:ind w:firstLine="567"/>
        <w:contextualSpacing/>
        <w:jc w:val="both"/>
        <w:rPr>
          <w:rFonts w:ascii="Times New Roman" w:eastAsia="Times New Roman" w:hAnsi="Times New Roman" w:cs="Times New Roman"/>
          <w:b/>
          <w:bCs/>
          <w:i/>
          <w:iCs/>
        </w:rPr>
      </w:pPr>
    </w:p>
    <w:p w14:paraId="035C1786" w14:textId="00707D75" w:rsidR="0096790F" w:rsidRDefault="0096790F" w:rsidP="0096790F">
      <w:pPr>
        <w:tabs>
          <w:tab w:val="left" w:pos="993"/>
        </w:tabs>
        <w:spacing w:line="240" w:lineRule="auto"/>
        <w:ind w:firstLine="567"/>
        <w:contextualSpacing/>
        <w:jc w:val="both"/>
        <w:rPr>
          <w:rFonts w:ascii="Times New Roman" w:eastAsia="Times New Roman" w:hAnsi="Times New Roman" w:cs="Times New Roman"/>
          <w:bCs/>
          <w:i/>
          <w:iCs/>
        </w:rPr>
      </w:pPr>
      <w:r w:rsidRPr="004531CF">
        <w:rPr>
          <w:rFonts w:ascii="Times New Roman" w:eastAsia="Times New Roman" w:hAnsi="Times New Roman" w:cs="Times New Roman"/>
          <w:bCs/>
          <w:i/>
          <w:iCs/>
        </w:rPr>
        <w:t xml:space="preserve">Informuojame, kad pirkime pateikta pastaba dėl </w:t>
      </w:r>
      <w:r w:rsidRPr="00305484">
        <w:rPr>
          <w:rFonts w:ascii="Times New Roman" w:eastAsia="Times New Roman" w:hAnsi="Times New Roman" w:cs="Times New Roman"/>
          <w:i/>
          <w:iCs/>
        </w:rPr>
        <w:t>pirkimo</w:t>
      </w:r>
      <w:r w:rsidRPr="004531CF">
        <w:rPr>
          <w:rFonts w:ascii="Times New Roman" w:eastAsia="Times New Roman" w:hAnsi="Times New Roman" w:cs="Times New Roman"/>
          <w:i/>
          <w:iCs/>
        </w:rPr>
        <w:t xml:space="preserve"> dokumentų Specialiųjų sąlygų 2_IA_PD_SS_PPR-688 pagrindinės sutarties projekto 2.13.1 bei 2.13.2 punktų pakeitimo</w:t>
      </w:r>
      <w:r w:rsidRPr="004531CF">
        <w:rPr>
          <w:rFonts w:ascii="Times New Roman" w:eastAsia="Times New Roman" w:hAnsi="Times New Roman" w:cs="Times New Roman"/>
          <w:bCs/>
          <w:i/>
          <w:iCs/>
        </w:rPr>
        <w:t>. Supažindiname su</w:t>
      </w:r>
      <w:r>
        <w:rPr>
          <w:rFonts w:ascii="Times New Roman" w:eastAsia="Times New Roman" w:hAnsi="Times New Roman" w:cs="Times New Roman"/>
          <w:bCs/>
          <w:i/>
          <w:iCs/>
        </w:rPr>
        <w:t xml:space="preserve"> </w:t>
      </w:r>
      <w:r w:rsidRPr="004531CF">
        <w:rPr>
          <w:rFonts w:ascii="Times New Roman" w:eastAsia="Times New Roman" w:hAnsi="Times New Roman" w:cs="Times New Roman"/>
          <w:bCs/>
          <w:i/>
          <w:iCs/>
        </w:rPr>
        <w:t>pastaba ir perkančiosios organizacijos atsakymu</w:t>
      </w:r>
      <w:r>
        <w:rPr>
          <w:rFonts w:ascii="Times New Roman" w:eastAsia="Times New Roman" w:hAnsi="Times New Roman" w:cs="Times New Roman"/>
          <w:bCs/>
          <w:i/>
          <w:iCs/>
        </w:rPr>
        <w:t>:</w:t>
      </w:r>
    </w:p>
    <w:p w14:paraId="7EFF10A5" w14:textId="77777777" w:rsidR="0096790F" w:rsidRPr="004531CF" w:rsidRDefault="0096790F" w:rsidP="0096790F">
      <w:pPr>
        <w:spacing w:after="0" w:line="240" w:lineRule="auto"/>
        <w:ind w:firstLine="567"/>
        <w:jc w:val="both"/>
        <w:rPr>
          <w:rFonts w:ascii="Times New Roman" w:eastAsia="Times New Roman" w:hAnsi="Times New Roman" w:cs="Times New Roman"/>
          <w:b/>
          <w:i/>
          <w:iCs/>
          <w:u w:val="single"/>
        </w:rPr>
      </w:pPr>
      <w:r w:rsidRPr="004531CF">
        <w:rPr>
          <w:rFonts w:ascii="Times New Roman" w:eastAsia="Times New Roman" w:hAnsi="Times New Roman" w:cs="Times New Roman"/>
          <w:b/>
          <w:i/>
          <w:iCs/>
          <w:u w:val="single"/>
        </w:rPr>
        <w:t>Tiekėjo pastaba:</w:t>
      </w:r>
    </w:p>
    <w:p w14:paraId="1A2E8726" w14:textId="77777777" w:rsidR="0096790F" w:rsidRPr="004531CF" w:rsidRDefault="0096790F" w:rsidP="0096790F">
      <w:pPr>
        <w:spacing w:after="0" w:line="240" w:lineRule="auto"/>
        <w:ind w:firstLine="567"/>
        <w:jc w:val="both"/>
        <w:rPr>
          <w:rFonts w:ascii="Times New Roman" w:eastAsia="Times New Roman" w:hAnsi="Times New Roman" w:cs="Times New Roman"/>
          <w:i/>
          <w:iCs/>
        </w:rPr>
      </w:pPr>
      <w:r w:rsidRPr="004531CF">
        <w:rPr>
          <w:rFonts w:ascii="Times New Roman" w:eastAsia="Times New Roman" w:hAnsi="Times New Roman" w:cs="Times New Roman"/>
          <w:bCs/>
          <w:i/>
          <w:iCs/>
        </w:rPr>
        <w:t>„</w:t>
      </w:r>
      <w:r w:rsidRPr="004531CF">
        <w:rPr>
          <w:rFonts w:ascii="Times New Roman" w:eastAsia="Times New Roman" w:hAnsi="Times New Roman" w:cs="Times New Roman"/>
          <w:i/>
          <w:iCs/>
        </w:rPr>
        <w:t xml:space="preserve">Atidžiai išnagrinėję Jūsų paskelbto Viešojo pirkimo Nr. 738801 - 738801 - Lietuvos viešojo saugumo ir pagalbos tarnybų skaitmeninio mobiliojo radijo ryšio tinklo įrangos talpinimo paslauga (PPR-688) sąlygas, TS bei pridėtą sutarties projektą teikiame pastabas dėl sutarties projekto 2.13.1 bei 2.13.2 punktų pakeitimo. Pirma, elektros energijos tarifai yra taikomi išimtai tik buitiniams vartotojams. Juridiniams asmenims nepriklausomi elektros energijos tiekėjai taiko elektros energijos kainas. Elektros tarifai nuo elektros energijos kainų skiriasi tuo, kad į jų sudėtį yra įtraukiama VIAP kaina, persiuntimo tarifas, visuomeninio tiekimo paslaugos kaina ir jo viršutinė riba, PVM ir pan. Elektros energijos tarifai kyla iš elektros energijos kainos reguliavimo, kuris užtikrina, kad elektros energijos kaina buitiniams vartotojams neviršytų VERT patvirtintų viršutinių kainos ribų. Tuo tarpu elektros energijos kaina juridiniams asmenims nėra reguliuojama ir nepriklausomi elektros energijos tiekėjai turi teisę dėl elektros kainos susitarti individualiai, įskaitant ir dėl jos sudedamųjų dalių. Įprastai nepriklausomi elektros tiekėjai klientams parduoda gryną elektros energiją (prekę), atskirai nuo persiuntimo, galio rezervavimo ir kt. paslaugų. Dėl šių priežasčių, į sąnaudas, kurios yra priskiriamos elektros energijai, turi būti įtraukta ir elektros persiuntimo paslaugos kaina, rezervuotos galios kaina, kuri tenka proporcingai paslaugos gavėjo suvartotam elektros energijos kiekiui. Antra, pateikta formuluotė apriboja potencialius paslaugos teikėjus naudoti iš atsinaujinančių elektros energijos šaltinių pagamintą elektros energiją. Sutinkame, kad elektros energijos (prekės) kaina neturėtų būti didesnė nei nepriklausomų elektros energijos tiekėjų siūloma elektros energijos kaina, tačiau sutartyje esančios formuluotės turėtų būti pakoreguotos. Trečia, atsižvelgiant į tai, jog paslaugos gavėjo įranga bus jungiama į potencialaus tiekėjo vidaus tinklą (sutartyje nenumatytos lėšos įvado pajungimui į ESO tinklą), paslaugų teikėjas patiria išlaidas vidaus tinklui aptarnauti ir palaikyti, kurios turi būti kompensuojamos proporcingai suvartotam elektros energijos kiekiui. Atsižvelgiant į tai, jog elektros energijos tiekimas nėra ir neturėtų būti komercinės veiklos dalis, </w:t>
      </w:r>
      <w:proofErr w:type="spellStart"/>
      <w:r w:rsidRPr="004531CF">
        <w:rPr>
          <w:rFonts w:ascii="Times New Roman" w:eastAsia="Times New Roman" w:hAnsi="Times New Roman" w:cs="Times New Roman"/>
          <w:i/>
          <w:iCs/>
        </w:rPr>
        <w:t>t.y</w:t>
      </w:r>
      <w:proofErr w:type="spellEnd"/>
      <w:r w:rsidRPr="004531CF">
        <w:rPr>
          <w:rFonts w:ascii="Times New Roman" w:eastAsia="Times New Roman" w:hAnsi="Times New Roman" w:cs="Times New Roman"/>
          <w:i/>
          <w:iCs/>
        </w:rPr>
        <w:t xml:space="preserve">. neturi būti gaunamas pelnas, o apsiribojama faktiškai patiriamų sąnaudų kompensavimu, siūlytina vidaus tinklo sąnaudas priskirti prie elektros energijos dalies, kur a </w:t>
      </w:r>
      <w:proofErr w:type="spellStart"/>
      <w:r w:rsidRPr="004531CF">
        <w:rPr>
          <w:rFonts w:ascii="Times New Roman" w:eastAsia="Times New Roman" w:hAnsi="Times New Roman" w:cs="Times New Roman"/>
          <w:i/>
          <w:iCs/>
        </w:rPr>
        <w:t>priori</w:t>
      </w:r>
      <w:proofErr w:type="spellEnd"/>
      <w:r w:rsidRPr="004531CF">
        <w:rPr>
          <w:rFonts w:ascii="Times New Roman" w:eastAsia="Times New Roman" w:hAnsi="Times New Roman" w:cs="Times New Roman"/>
          <w:i/>
          <w:iCs/>
        </w:rPr>
        <w:t xml:space="preserve"> paslaugos tiekėjams yra apribotos galimybės uždirbti pelną. Atsižvelgiant į visą, kas aukščiau išdėstyta, siūlome sutarties projekto 2.13.1 bei 2.13.2 punktus pakoreguoti ir išdėstyti taip: 2.13.1. fiksuotos paslaugų kainos (nurodytos Paslaugų teikėjo pasiūlyme). Paslaugų teikėjas, pateikdamas fiksuotą 1 (vieno) mėnesio įrangos talpinimo kainą, turi įvertinti visas jam tenkančias išlaidas (įvertinant galimas išlaidas dėl talpinamų SMRRT komponentų bokštų apkrovos paskaičiavimo, dėl informavimo apie įvykusius arba galinčius įvykti incidentus teikiant Sutarties 1 priede numatytas paslaugas, išlaidas, kurias Paslaugų teikėjas patiria Paslaugų teikimo vietoje užtikrindamas elektros energijos tiekimą SMRRT įrangai (pvz. savo elektros energijos tinklų eksploatavimo, remonto, renovavimo, priežiūros ir pan.), visus jam priklausančius mokėti mokesčius ir kitas išlaidas, kurios negali būti priskiriamos faktiškai patiriamų išlaidų daliai); 2.13.2. Paslaugų teikėjo faktiškai patiriamų išlaidų, tiesiogiai susijusių su Sutarties vykdymu – išlaidos už SMRRT įrangos faktiškai sunaudotą elektros energiją Klientas numato maksimaliai skirti:</w:t>
      </w:r>
      <w:r w:rsidRPr="004531CF">
        <w:rPr>
          <w:i/>
          <w:iCs/>
        </w:rPr>
        <w:t xml:space="preserve"> </w:t>
      </w:r>
      <w:r w:rsidRPr="004531CF">
        <w:rPr>
          <w:rFonts w:ascii="Times New Roman" w:eastAsia="Times New Roman" w:hAnsi="Times New Roman" w:cs="Times New Roman"/>
          <w:i/>
          <w:iCs/>
        </w:rPr>
        <w:t xml:space="preserve">Viešai neskelbtina (vidinio naudojimo) informacija </w:t>
      </w:r>
    </w:p>
    <w:p w14:paraId="0603845D" w14:textId="77777777" w:rsidR="0096790F" w:rsidRPr="004531CF" w:rsidRDefault="0096790F" w:rsidP="0096790F">
      <w:pPr>
        <w:spacing w:after="0" w:line="240" w:lineRule="auto"/>
        <w:jc w:val="both"/>
        <w:rPr>
          <w:rFonts w:ascii="Times New Roman" w:eastAsia="Times New Roman" w:hAnsi="Times New Roman" w:cs="Times New Roman"/>
          <w:i/>
          <w:iCs/>
        </w:rPr>
      </w:pPr>
      <w:r w:rsidRPr="004531CF">
        <w:rPr>
          <w:rFonts w:ascii="Times New Roman" w:eastAsia="Times New Roman" w:hAnsi="Times New Roman" w:cs="Times New Roman"/>
          <w:i/>
          <w:iCs/>
          <w:noProof/>
        </w:rPr>
        <w:lastRenderedPageBreak/>
        <w:drawing>
          <wp:inline distT="0" distB="0" distL="0" distR="0" wp14:anchorId="1DAAAFF6" wp14:editId="382D257E">
            <wp:extent cx="6299835" cy="1372870"/>
            <wp:effectExtent l="0" t="0" r="5715" b="0"/>
            <wp:docPr id="1665717882" name="Paveikslėlis 1" descr="Paveikslėlis, kuriame yra tekstas, ekrano kopija, Šriftas, linij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41999" name="Paveikslėlis 1" descr="Paveikslėlis, kuriame yra tekstas, ekrano kopija, Šriftas, linija  Automatiškai sugeneruotas aprašymas"/>
                    <pic:cNvPicPr/>
                  </pic:nvPicPr>
                  <pic:blipFill>
                    <a:blip r:embed="rId5"/>
                    <a:stretch>
                      <a:fillRect/>
                    </a:stretch>
                  </pic:blipFill>
                  <pic:spPr>
                    <a:xfrm>
                      <a:off x="0" y="0"/>
                      <a:ext cx="6299835" cy="1372870"/>
                    </a:xfrm>
                    <a:prstGeom prst="rect">
                      <a:avLst/>
                    </a:prstGeom>
                  </pic:spPr>
                </pic:pic>
              </a:graphicData>
            </a:graphic>
          </wp:inline>
        </w:drawing>
      </w:r>
    </w:p>
    <w:p w14:paraId="4FF9A92B" w14:textId="77777777" w:rsidR="0096790F" w:rsidRDefault="0096790F" w:rsidP="0096790F">
      <w:pPr>
        <w:spacing w:after="0" w:line="240" w:lineRule="auto"/>
        <w:ind w:firstLine="567"/>
        <w:jc w:val="both"/>
        <w:rPr>
          <w:rFonts w:ascii="Times New Roman" w:eastAsia="Times New Roman" w:hAnsi="Times New Roman" w:cs="Times New Roman"/>
          <w:i/>
          <w:iCs/>
        </w:rPr>
      </w:pPr>
      <w:r w:rsidRPr="004531CF">
        <w:rPr>
          <w:rFonts w:ascii="Times New Roman" w:eastAsia="Times New Roman" w:hAnsi="Times New Roman" w:cs="Times New Roman"/>
          <w:i/>
          <w:iCs/>
        </w:rPr>
        <w:t xml:space="preserve">Faktiškai SMRRT įrangos sunaudotos elektros energijos dydis skaičiuojamas pagal Kliento SMRRT įrangos elektros skaitiklio rodmenis pritaikius ne didesnę nei nepriklausomo elektros energijos tiekėjo nustatytais tarifais Paslaugos teikėjui taikomą elektros energijos kainą, elektros skirstymo operatoriaus (ESO) taikomą persiuntimo paslaugos kainą, į kurią įtraukta pridedant </w:t>
      </w:r>
      <w:proofErr w:type="spellStart"/>
      <w:r w:rsidRPr="004531CF">
        <w:rPr>
          <w:rFonts w:ascii="Times New Roman" w:eastAsia="Times New Roman" w:hAnsi="Times New Roman" w:cs="Times New Roman"/>
          <w:i/>
          <w:iCs/>
        </w:rPr>
        <w:t>išlaidasos</w:t>
      </w:r>
      <w:proofErr w:type="spellEnd"/>
      <w:r w:rsidRPr="004531CF">
        <w:rPr>
          <w:rFonts w:ascii="Times New Roman" w:eastAsia="Times New Roman" w:hAnsi="Times New Roman" w:cs="Times New Roman"/>
          <w:i/>
          <w:iCs/>
        </w:rPr>
        <w:t xml:space="preserve"> už elektros galios dedamąją, kuri paskaičiuojama proporcingai nuo Paslaugos tiekėjo turimos galios ir kliento įrangos deklaruojamos galios, taip pat Paslaugos teikėjo faktiškai patiriamos vidaus tinklo išlaikymo išlaidas, kurias Paslaugų teikėjas patiria Paslaugų teikimo vietoje užtikrindamas elektros energijos tiekimą SMRRT įrangai (pvz. savo elektros energijos tinklų eksploatavimo, remonto, renovavimo, priežiūros ir pan.) proporcingos faktiškai Kliento suvartotam elektros energijos kiekiui. Į faktiškai patirtas išlaidas, tiesiogiai susijusias su Sutarties vykdymu, negali būti įtrauktas Paslaugų teikėjo pelnas, taip pat išlaidos, kurias Paslaugų teikėjas privalo įskaičiuoti į paslaugų teikimo įkainį, vadovaujantis Sutarties 2.13.1 papunkčiu. Klientui pareikalavus, Paslaugų teikėjas per 3 (tris) darbo dienas privalo pateikti faktiškai patiriamas išlaidas pagrindžiančius, pvz. trečiosios šalies (elektros energijos tiekėjo ar skirstymo sistemos operatoriaus) dokumentus. Išlaidas, kurios susijusios su kitomis Paslaugų teikėjo veiklomis ar Paslaugų teikėjo veiklomis pagal kitus užsakymus, Paslaugų teikėjas turi dengti pats.</w:t>
      </w:r>
      <w:r>
        <w:rPr>
          <w:rFonts w:ascii="Times New Roman" w:eastAsia="Times New Roman" w:hAnsi="Times New Roman" w:cs="Times New Roman"/>
          <w:i/>
          <w:iCs/>
        </w:rPr>
        <w:t>“</w:t>
      </w:r>
    </w:p>
    <w:p w14:paraId="37DBB81B" w14:textId="77777777" w:rsidR="0096790F" w:rsidRPr="004531CF" w:rsidRDefault="0096790F" w:rsidP="0096790F">
      <w:pPr>
        <w:spacing w:after="0" w:line="240" w:lineRule="auto"/>
        <w:ind w:firstLine="567"/>
        <w:jc w:val="both"/>
        <w:rPr>
          <w:rFonts w:ascii="Times New Roman" w:eastAsia="Times New Roman" w:hAnsi="Times New Roman" w:cs="Times New Roman"/>
          <w:i/>
          <w:iCs/>
        </w:rPr>
      </w:pPr>
    </w:p>
    <w:p w14:paraId="0332A35A" w14:textId="77777777" w:rsidR="0096790F" w:rsidRPr="00DD23C7" w:rsidRDefault="0096790F" w:rsidP="0096790F">
      <w:pPr>
        <w:tabs>
          <w:tab w:val="left" w:pos="993"/>
        </w:tabs>
        <w:spacing w:line="240" w:lineRule="auto"/>
        <w:ind w:firstLine="567"/>
        <w:contextualSpacing/>
        <w:jc w:val="both"/>
        <w:rPr>
          <w:rFonts w:ascii="Times New Roman" w:eastAsia="Times New Roman" w:hAnsi="Times New Roman" w:cs="Times New Roman"/>
          <w:bCs/>
          <w:i/>
          <w:iCs/>
        </w:rPr>
      </w:pPr>
      <w:r w:rsidRPr="00DD23C7">
        <w:rPr>
          <w:rFonts w:ascii="Times New Roman" w:eastAsia="Times New Roman" w:hAnsi="Times New Roman" w:cs="Times New Roman"/>
          <w:b/>
          <w:i/>
          <w:iCs/>
          <w:u w:val="single"/>
        </w:rPr>
        <w:t>Atsakymas</w:t>
      </w:r>
      <w:r w:rsidRPr="00DD23C7">
        <w:rPr>
          <w:rFonts w:ascii="Times New Roman" w:eastAsia="Times New Roman" w:hAnsi="Times New Roman" w:cs="Times New Roman"/>
          <w:bCs/>
          <w:i/>
          <w:iCs/>
        </w:rPr>
        <w:t>:</w:t>
      </w:r>
    </w:p>
    <w:p w14:paraId="48B1685F" w14:textId="77777777" w:rsidR="0096790F" w:rsidRPr="0096790F" w:rsidRDefault="0096790F" w:rsidP="0096790F">
      <w:pPr>
        <w:pStyle w:val="Antrats"/>
        <w:tabs>
          <w:tab w:val="clear" w:pos="4153"/>
          <w:tab w:val="clear" w:pos="8306"/>
        </w:tabs>
        <w:ind w:firstLine="567"/>
        <w:jc w:val="both"/>
        <w:rPr>
          <w:i/>
          <w:iCs/>
          <w:sz w:val="22"/>
          <w:szCs w:val="22"/>
          <w:lang w:val="lt-LT"/>
        </w:rPr>
      </w:pPr>
      <w:r w:rsidRPr="0096790F">
        <w:rPr>
          <w:i/>
          <w:iCs/>
          <w:sz w:val="22"/>
          <w:szCs w:val="22"/>
          <w:lang w:val="lt-LT"/>
        </w:rPr>
        <w:t>Vadovaudamiesi Lietuvos Respublikos  viešųjų pirkimų įstatymo 17 str. nustatytais pagrindiniais pirkimų principais, tarp kurių yra  lygiateisiškumo bei nediskriminavimo principai, teigiame, kad pirkimo sąlygų SS 2.13.1 ir 2.13.2 p. kontekste šie principai yra suprantami, kaip vienodų pirkimo sąlygų visiems tiekėjams sudarymas, vienodų sutarties sudedamųjų kainos dalių, vienodų faktinių išlaidų ir talpinimo mėnesio įkainio traktavimas.</w:t>
      </w:r>
    </w:p>
    <w:p w14:paraId="58FDD297" w14:textId="77777777" w:rsidR="0096790F" w:rsidRPr="0096790F" w:rsidRDefault="0096790F" w:rsidP="0096790F">
      <w:pPr>
        <w:pStyle w:val="Antrats"/>
        <w:tabs>
          <w:tab w:val="clear" w:pos="4153"/>
          <w:tab w:val="clear" w:pos="8306"/>
        </w:tabs>
        <w:ind w:firstLine="709"/>
        <w:jc w:val="both"/>
        <w:rPr>
          <w:i/>
          <w:iCs/>
          <w:sz w:val="22"/>
          <w:szCs w:val="22"/>
          <w:lang w:val="lt-LT"/>
        </w:rPr>
      </w:pPr>
      <w:r w:rsidRPr="0096790F">
        <w:rPr>
          <w:i/>
          <w:iCs/>
          <w:sz w:val="22"/>
          <w:szCs w:val="22"/>
          <w:lang w:val="lt-LT"/>
        </w:rPr>
        <w:t>Taikant sutarties įvykdymo išlaidų kainodarą perkančioji organizacija privalo dar prieš pirkimą suplanuoti savo sąmatoje ir pirkimo dokumentuose nurodyti maksimalią faktinėms išlaidoms tenkančią sumą. Atliekant pirkimus, kuriuose numatyta sutarties įvykdymo išlaidų atlyginimo kainodara, vertinama tiekėjo pasiūlyme nurodyta pasiūlymo kaina (įkainis) ir pagal tai nustatomas pirkimo laimėtojas. Sudarant galimybę vieniems tiekėjams į faktines išlaidas įskaičiuoti papildomas dedamąsias ir taip iš esmės mažinti savo pasiūlyme nurodytą įkainį (vertinamąją pasiūlymo kainą), būtų nevienodai traktuojami tiekėjai ir tai neatitiktų Lietuvos Respublikos viešųjų pirkimų įstatymo principų.</w:t>
      </w:r>
    </w:p>
    <w:p w14:paraId="1C84BFAD" w14:textId="77777777" w:rsidR="0096790F" w:rsidRPr="0096790F" w:rsidRDefault="0096790F" w:rsidP="0096790F">
      <w:pPr>
        <w:pStyle w:val="Antrats"/>
        <w:tabs>
          <w:tab w:val="clear" w:pos="4153"/>
          <w:tab w:val="clear" w:pos="8306"/>
        </w:tabs>
        <w:ind w:firstLine="709"/>
        <w:jc w:val="both"/>
        <w:rPr>
          <w:i/>
          <w:iCs/>
          <w:sz w:val="22"/>
          <w:szCs w:val="22"/>
          <w:lang w:val="lt-LT"/>
        </w:rPr>
      </w:pPr>
      <w:r w:rsidRPr="0096790F">
        <w:rPr>
          <w:i/>
          <w:iCs/>
          <w:sz w:val="22"/>
          <w:szCs w:val="22"/>
          <w:lang w:val="lt-LT"/>
        </w:rPr>
        <w:t>Manome, kad pirkimo dokumentų Specialiųjų sąlygų 2IA_PD_SS_PPR-688 pagrindinės sutarties projekto SS 2.13.1 ir 2.13.2 p. yra išdėstyti tinkamai ir viešojo pirkimo „Nr. 738801 - 738801 - Lietuvos viešojo saugumo ir pagalbos tarnybų skaitmeninio mobiliojo radijo ryšio tinklo įrangos talpinimo paslauga (PPR-688)“ sąlygų keisti nereikia.</w:t>
      </w:r>
    </w:p>
    <w:p w14:paraId="2BBA1B01" w14:textId="77777777" w:rsidR="0096790F" w:rsidRPr="00DD23C7" w:rsidRDefault="0096790F" w:rsidP="0096790F">
      <w:pPr>
        <w:tabs>
          <w:tab w:val="left" w:pos="993"/>
        </w:tabs>
        <w:spacing w:line="240" w:lineRule="auto"/>
        <w:ind w:firstLine="567"/>
        <w:contextualSpacing/>
        <w:jc w:val="both"/>
        <w:rPr>
          <w:rFonts w:ascii="Times New Roman" w:eastAsia="Times New Roman" w:hAnsi="Times New Roman" w:cs="Times New Roman"/>
          <w:b/>
        </w:rPr>
      </w:pPr>
    </w:p>
    <w:p w14:paraId="665961D0" w14:textId="77777777" w:rsidR="00003A0E" w:rsidRPr="00D94A8A" w:rsidRDefault="00003A0E" w:rsidP="001859F5">
      <w:pPr>
        <w:pStyle w:val="Betarp"/>
        <w:tabs>
          <w:tab w:val="left" w:pos="993"/>
        </w:tabs>
        <w:spacing w:line="276" w:lineRule="auto"/>
        <w:ind w:firstLine="567"/>
        <w:jc w:val="both"/>
        <w:rPr>
          <w:b/>
          <w:bCs/>
          <w:i/>
          <w:sz w:val="22"/>
        </w:rPr>
      </w:pPr>
    </w:p>
    <w:sectPr w:rsidR="00003A0E" w:rsidRPr="00D94A8A" w:rsidSect="00255E6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C27962"/>
    <w:multiLevelType w:val="hybridMultilevel"/>
    <w:tmpl w:val="0E10ED40"/>
    <w:lvl w:ilvl="0" w:tplc="6180DDAC">
      <w:start w:val="1"/>
      <w:numFmt w:val="decimal"/>
      <w:lvlText w:val="%1."/>
      <w:lvlJc w:val="left"/>
      <w:pPr>
        <w:ind w:left="720" w:hanging="360"/>
      </w:pPr>
      <w:rPr>
        <w:b w:val="0"/>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980323"/>
    <w:multiLevelType w:val="multilevel"/>
    <w:tmpl w:val="2458A2FE"/>
    <w:lvl w:ilvl="0">
      <w:start w:val="6"/>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AA57E37"/>
    <w:multiLevelType w:val="multilevel"/>
    <w:tmpl w:val="9A901A86"/>
    <w:lvl w:ilvl="0">
      <w:start w:val="1"/>
      <w:numFmt w:val="decimal"/>
      <w:lvlText w:val="%1."/>
      <w:lvlJc w:val="left"/>
      <w:pPr>
        <w:ind w:left="2487" w:hanging="360"/>
      </w:pPr>
      <w:rPr>
        <w:rFonts w:hint="default"/>
        <w:b w:val="0"/>
      </w:rPr>
    </w:lvl>
    <w:lvl w:ilvl="1">
      <w:start w:val="1"/>
      <w:numFmt w:val="decimal"/>
      <w:lvlText w:val="%1.%2."/>
      <w:lvlJc w:val="left"/>
      <w:pPr>
        <w:ind w:left="3835"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83E0DE8"/>
    <w:multiLevelType w:val="hybridMultilevel"/>
    <w:tmpl w:val="46E8A422"/>
    <w:lvl w:ilvl="0" w:tplc="149AA6CA">
      <w:start w:val="2024"/>
      <w:numFmt w:val="decimal"/>
      <w:lvlText w:val="%1"/>
      <w:lvlJc w:val="left"/>
      <w:pPr>
        <w:ind w:left="840" w:hanging="48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1BE0C5B"/>
    <w:multiLevelType w:val="hybridMultilevel"/>
    <w:tmpl w:val="E97A9522"/>
    <w:lvl w:ilvl="0" w:tplc="04270011">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2511C10"/>
    <w:multiLevelType w:val="hybridMultilevel"/>
    <w:tmpl w:val="A1A845AE"/>
    <w:lvl w:ilvl="0" w:tplc="B77CA852">
      <w:start w:val="1"/>
      <w:numFmt w:val="decimal"/>
      <w:lvlText w:val="%1)"/>
      <w:lvlJc w:val="left"/>
      <w:pPr>
        <w:ind w:left="100" w:hanging="869"/>
      </w:pPr>
      <w:rPr>
        <w:rFonts w:hint="default"/>
        <w:spacing w:val="0"/>
        <w:w w:val="100"/>
        <w:lang w:val="lt-LT" w:eastAsia="en-US" w:bidi="ar-SA"/>
      </w:rPr>
    </w:lvl>
    <w:lvl w:ilvl="1" w:tplc="D9260414">
      <w:numFmt w:val="bullet"/>
      <w:lvlText w:val="•"/>
      <w:lvlJc w:val="left"/>
      <w:pPr>
        <w:ind w:left="1022" w:hanging="869"/>
      </w:pPr>
      <w:rPr>
        <w:rFonts w:hint="default"/>
        <w:lang w:val="lt-LT" w:eastAsia="en-US" w:bidi="ar-SA"/>
      </w:rPr>
    </w:lvl>
    <w:lvl w:ilvl="2" w:tplc="D4487D7E">
      <w:numFmt w:val="bullet"/>
      <w:lvlText w:val="•"/>
      <w:lvlJc w:val="left"/>
      <w:pPr>
        <w:ind w:left="1945" w:hanging="869"/>
      </w:pPr>
      <w:rPr>
        <w:rFonts w:hint="default"/>
        <w:lang w:val="lt-LT" w:eastAsia="en-US" w:bidi="ar-SA"/>
      </w:rPr>
    </w:lvl>
    <w:lvl w:ilvl="3" w:tplc="E0409B94">
      <w:numFmt w:val="bullet"/>
      <w:lvlText w:val="•"/>
      <w:lvlJc w:val="left"/>
      <w:pPr>
        <w:ind w:left="2867" w:hanging="869"/>
      </w:pPr>
      <w:rPr>
        <w:rFonts w:hint="default"/>
        <w:lang w:val="lt-LT" w:eastAsia="en-US" w:bidi="ar-SA"/>
      </w:rPr>
    </w:lvl>
    <w:lvl w:ilvl="4" w:tplc="F0CC8A20">
      <w:numFmt w:val="bullet"/>
      <w:lvlText w:val="•"/>
      <w:lvlJc w:val="left"/>
      <w:pPr>
        <w:ind w:left="3790" w:hanging="869"/>
      </w:pPr>
      <w:rPr>
        <w:rFonts w:hint="default"/>
        <w:lang w:val="lt-LT" w:eastAsia="en-US" w:bidi="ar-SA"/>
      </w:rPr>
    </w:lvl>
    <w:lvl w:ilvl="5" w:tplc="52F29194">
      <w:numFmt w:val="bullet"/>
      <w:lvlText w:val="•"/>
      <w:lvlJc w:val="left"/>
      <w:pPr>
        <w:ind w:left="4713" w:hanging="869"/>
      </w:pPr>
      <w:rPr>
        <w:rFonts w:hint="default"/>
        <w:lang w:val="lt-LT" w:eastAsia="en-US" w:bidi="ar-SA"/>
      </w:rPr>
    </w:lvl>
    <w:lvl w:ilvl="6" w:tplc="59EC2EDE">
      <w:numFmt w:val="bullet"/>
      <w:lvlText w:val="•"/>
      <w:lvlJc w:val="left"/>
      <w:pPr>
        <w:ind w:left="5635" w:hanging="869"/>
      </w:pPr>
      <w:rPr>
        <w:rFonts w:hint="default"/>
        <w:lang w:val="lt-LT" w:eastAsia="en-US" w:bidi="ar-SA"/>
      </w:rPr>
    </w:lvl>
    <w:lvl w:ilvl="7" w:tplc="7DDC04D2">
      <w:numFmt w:val="bullet"/>
      <w:lvlText w:val="•"/>
      <w:lvlJc w:val="left"/>
      <w:pPr>
        <w:ind w:left="6558" w:hanging="869"/>
      </w:pPr>
      <w:rPr>
        <w:rFonts w:hint="default"/>
        <w:lang w:val="lt-LT" w:eastAsia="en-US" w:bidi="ar-SA"/>
      </w:rPr>
    </w:lvl>
    <w:lvl w:ilvl="8" w:tplc="27B2329C">
      <w:numFmt w:val="bullet"/>
      <w:lvlText w:val="•"/>
      <w:lvlJc w:val="left"/>
      <w:pPr>
        <w:ind w:left="7481" w:hanging="869"/>
      </w:pPr>
      <w:rPr>
        <w:rFonts w:hint="default"/>
        <w:lang w:val="lt-LT" w:eastAsia="en-US" w:bidi="ar-SA"/>
      </w:rPr>
    </w:lvl>
  </w:abstractNum>
  <w:abstractNum w:abstractNumId="7" w15:restartNumberingAfterBreak="0">
    <w:nsid w:val="65675FBC"/>
    <w:multiLevelType w:val="hybridMultilevel"/>
    <w:tmpl w:val="A82871CA"/>
    <w:lvl w:ilvl="0" w:tplc="C6928B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31086011">
    <w:abstractNumId w:val="7"/>
  </w:num>
  <w:num w:numId="2" w16cid:durableId="251932560">
    <w:abstractNumId w:val="0"/>
  </w:num>
  <w:num w:numId="3" w16cid:durableId="277879178">
    <w:abstractNumId w:val="3"/>
  </w:num>
  <w:num w:numId="4" w16cid:durableId="2013753177">
    <w:abstractNumId w:val="6"/>
  </w:num>
  <w:num w:numId="5" w16cid:durableId="1954053941">
    <w:abstractNumId w:val="4"/>
  </w:num>
  <w:num w:numId="6" w16cid:durableId="2039961102">
    <w:abstractNumId w:val="2"/>
  </w:num>
  <w:num w:numId="7" w16cid:durableId="741565441">
    <w:abstractNumId w:val="1"/>
  </w:num>
  <w:num w:numId="8" w16cid:durableId="2755285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124"/>
    <w:rsid w:val="00002C67"/>
    <w:rsid w:val="00003A0E"/>
    <w:rsid w:val="000062D8"/>
    <w:rsid w:val="00015BB9"/>
    <w:rsid w:val="00056158"/>
    <w:rsid w:val="00090E66"/>
    <w:rsid w:val="0009172A"/>
    <w:rsid w:val="000C3DB0"/>
    <w:rsid w:val="00105D19"/>
    <w:rsid w:val="00114390"/>
    <w:rsid w:val="00147771"/>
    <w:rsid w:val="001859F5"/>
    <w:rsid w:val="001D2D25"/>
    <w:rsid w:val="002276C5"/>
    <w:rsid w:val="00232019"/>
    <w:rsid w:val="002333AF"/>
    <w:rsid w:val="00245A3B"/>
    <w:rsid w:val="00253801"/>
    <w:rsid w:val="00255E63"/>
    <w:rsid w:val="00257727"/>
    <w:rsid w:val="002D7DDD"/>
    <w:rsid w:val="00341212"/>
    <w:rsid w:val="0038121A"/>
    <w:rsid w:val="00384DCB"/>
    <w:rsid w:val="003A4893"/>
    <w:rsid w:val="003B69F2"/>
    <w:rsid w:val="003F7CDF"/>
    <w:rsid w:val="00430D85"/>
    <w:rsid w:val="00466F8A"/>
    <w:rsid w:val="00473B1E"/>
    <w:rsid w:val="004C2AB7"/>
    <w:rsid w:val="004C3D25"/>
    <w:rsid w:val="00510989"/>
    <w:rsid w:val="00544DC4"/>
    <w:rsid w:val="005E59C2"/>
    <w:rsid w:val="005F274F"/>
    <w:rsid w:val="00641A39"/>
    <w:rsid w:val="00646124"/>
    <w:rsid w:val="00647615"/>
    <w:rsid w:val="00677633"/>
    <w:rsid w:val="006961C7"/>
    <w:rsid w:val="006C6507"/>
    <w:rsid w:val="006D1FC2"/>
    <w:rsid w:val="006F1B6A"/>
    <w:rsid w:val="00773C4A"/>
    <w:rsid w:val="007C4759"/>
    <w:rsid w:val="007C6F10"/>
    <w:rsid w:val="008B0920"/>
    <w:rsid w:val="008B2949"/>
    <w:rsid w:val="008E7B9F"/>
    <w:rsid w:val="008F3F4D"/>
    <w:rsid w:val="00954EB1"/>
    <w:rsid w:val="0096790F"/>
    <w:rsid w:val="0099100C"/>
    <w:rsid w:val="00991A71"/>
    <w:rsid w:val="00A009C1"/>
    <w:rsid w:val="00A16CF4"/>
    <w:rsid w:val="00A22CAC"/>
    <w:rsid w:val="00A30613"/>
    <w:rsid w:val="00A509BF"/>
    <w:rsid w:val="00A72291"/>
    <w:rsid w:val="00AB2DBB"/>
    <w:rsid w:val="00AC775D"/>
    <w:rsid w:val="00AE5556"/>
    <w:rsid w:val="00AF743F"/>
    <w:rsid w:val="00B4321F"/>
    <w:rsid w:val="00B87563"/>
    <w:rsid w:val="00C17AF1"/>
    <w:rsid w:val="00C6076E"/>
    <w:rsid w:val="00CA63CC"/>
    <w:rsid w:val="00CC3C3E"/>
    <w:rsid w:val="00D32527"/>
    <w:rsid w:val="00D32793"/>
    <w:rsid w:val="00D44800"/>
    <w:rsid w:val="00D44962"/>
    <w:rsid w:val="00D70082"/>
    <w:rsid w:val="00D8030F"/>
    <w:rsid w:val="00D92D78"/>
    <w:rsid w:val="00D94A8A"/>
    <w:rsid w:val="00DD2056"/>
    <w:rsid w:val="00DD482E"/>
    <w:rsid w:val="00E84683"/>
    <w:rsid w:val="00E9155E"/>
    <w:rsid w:val="00EB430D"/>
    <w:rsid w:val="00EB5B53"/>
    <w:rsid w:val="00EC6447"/>
    <w:rsid w:val="00F060B7"/>
    <w:rsid w:val="00F1337E"/>
    <w:rsid w:val="00F17832"/>
    <w:rsid w:val="00F41970"/>
    <w:rsid w:val="00F41BB6"/>
    <w:rsid w:val="00F479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EAF80"/>
  <w15:chartTrackingRefBased/>
  <w15:docId w15:val="{73D53E4A-AE20-4CEF-B77A-47A2D719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AE5556"/>
    <w:pPr>
      <w:widowControl w:val="0"/>
      <w:autoSpaceDE w:val="0"/>
      <w:autoSpaceDN w:val="0"/>
      <w:spacing w:after="0" w:line="240" w:lineRule="auto"/>
      <w:ind w:left="498"/>
      <w:outlineLvl w:val="0"/>
    </w:pPr>
    <w:rPr>
      <w:rFonts w:ascii="Arial" w:eastAsia="Arial" w:hAnsi="Arial" w:cs="Arial"/>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91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1098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510989"/>
    <w:rPr>
      <w:i/>
      <w:iCs/>
    </w:rPr>
  </w:style>
  <w:style w:type="character" w:styleId="Grietas">
    <w:name w:val="Strong"/>
    <w:basedOn w:val="Numatytasispastraiposriftas"/>
    <w:uiPriority w:val="22"/>
    <w:qFormat/>
    <w:rsid w:val="00510989"/>
    <w:rPr>
      <w:b/>
      <w:bCs/>
    </w:rPr>
  </w:style>
  <w:style w:type="paragraph" w:styleId="Betarp">
    <w:name w:val="No Spacing"/>
    <w:uiPriority w:val="99"/>
    <w:qFormat/>
    <w:rsid w:val="00B87563"/>
    <w:pPr>
      <w:spacing w:after="0" w:line="240" w:lineRule="auto"/>
    </w:pPr>
    <w:rPr>
      <w:rFonts w:ascii="Times New Roman" w:eastAsia="Calibri" w:hAnsi="Times New Roman" w:cs="Times New Roman"/>
      <w:sz w:val="24"/>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99"/>
    <w:qFormat/>
    <w:rsid w:val="00B87563"/>
    <w:pPr>
      <w:spacing w:after="0" w:line="240" w:lineRule="auto"/>
      <w:ind w:left="720"/>
      <w:contextualSpacing/>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B87563"/>
    <w:rPr>
      <w:rFonts w:ascii="Times New Roman" w:eastAsia="Times New Roman" w:hAnsi="Times New Roman" w:cs="Times New Roman"/>
      <w:sz w:val="24"/>
      <w:szCs w:val="24"/>
      <w:lang w:eastAsia="lt-LT"/>
    </w:rPr>
  </w:style>
  <w:style w:type="paragraph" w:styleId="Antrats">
    <w:name w:val="header"/>
    <w:aliases w:val="En-tête-1,En-tête-2,hd,Header 2,Char,Char2,Char3"/>
    <w:basedOn w:val="prastasis"/>
    <w:link w:val="AntratsDiagrama"/>
    <w:rsid w:val="00DD482E"/>
    <w:pPr>
      <w:tabs>
        <w:tab w:val="center" w:pos="4153"/>
        <w:tab w:val="right" w:pos="8306"/>
      </w:tabs>
      <w:spacing w:after="0" w:line="240" w:lineRule="auto"/>
    </w:pPr>
    <w:rPr>
      <w:rFonts w:ascii="Times New Roman" w:eastAsia="Times New Roman" w:hAnsi="Times New Roman" w:cs="Times New Roman"/>
      <w:sz w:val="24"/>
      <w:szCs w:val="20"/>
      <w:lang w:val="en-GB"/>
    </w:rPr>
  </w:style>
  <w:style w:type="character" w:customStyle="1" w:styleId="AntratsDiagrama">
    <w:name w:val="Antraštės Diagrama"/>
    <w:aliases w:val="En-tête-1 Diagrama,En-tête-2 Diagrama,hd Diagrama,Header 2 Diagrama,Char Diagrama,Char2 Diagrama,Char3 Diagrama"/>
    <w:basedOn w:val="Numatytasispastraiposriftas"/>
    <w:link w:val="Antrats"/>
    <w:rsid w:val="00DD482E"/>
    <w:rPr>
      <w:rFonts w:ascii="Times New Roman" w:eastAsia="Times New Roman" w:hAnsi="Times New Roman" w:cs="Times New Roman"/>
      <w:sz w:val="24"/>
      <w:szCs w:val="20"/>
      <w:lang w:val="en-GB"/>
    </w:rPr>
  </w:style>
  <w:style w:type="paragraph" w:customStyle="1" w:styleId="Default">
    <w:name w:val="Default"/>
    <w:rsid w:val="006961C7"/>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Pagrindiniotekstotrauka2">
    <w:name w:val="Body Text Indent 2"/>
    <w:basedOn w:val="prastasis"/>
    <w:link w:val="Pagrindiniotekstotrauka2Diagrama"/>
    <w:uiPriority w:val="99"/>
    <w:unhideWhenUsed/>
    <w:rsid w:val="006961C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6961C7"/>
  </w:style>
  <w:style w:type="character" w:customStyle="1" w:styleId="cf01">
    <w:name w:val="cf01"/>
    <w:basedOn w:val="Numatytasispastraiposriftas"/>
    <w:rsid w:val="00F4793B"/>
    <w:rPr>
      <w:rFonts w:ascii="Segoe UI" w:hAnsi="Segoe UI" w:cs="Segoe UI" w:hint="default"/>
      <w:sz w:val="18"/>
      <w:szCs w:val="18"/>
    </w:rPr>
  </w:style>
  <w:style w:type="character" w:customStyle="1" w:styleId="cf11">
    <w:name w:val="cf11"/>
    <w:basedOn w:val="Numatytasispastraiposriftas"/>
    <w:rsid w:val="00F4793B"/>
    <w:rPr>
      <w:rFonts w:ascii="Segoe UI" w:hAnsi="Segoe UI" w:cs="Segoe UI" w:hint="default"/>
      <w:sz w:val="18"/>
      <w:szCs w:val="18"/>
      <w:shd w:val="clear" w:color="auto" w:fill="FFFFFF"/>
    </w:rPr>
  </w:style>
  <w:style w:type="paragraph" w:styleId="Porat">
    <w:name w:val="footer"/>
    <w:basedOn w:val="prastasis"/>
    <w:link w:val="PoratDiagrama"/>
    <w:uiPriority w:val="99"/>
    <w:unhideWhenUsed/>
    <w:rsid w:val="00D7008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0082"/>
  </w:style>
  <w:style w:type="paragraph" w:styleId="Pagrindinistekstas">
    <w:name w:val="Body Text"/>
    <w:basedOn w:val="prastasis"/>
    <w:link w:val="PagrindinistekstasDiagrama"/>
    <w:uiPriority w:val="99"/>
    <w:semiHidden/>
    <w:unhideWhenUsed/>
    <w:rsid w:val="00AE5556"/>
    <w:pPr>
      <w:spacing w:after="120"/>
    </w:pPr>
  </w:style>
  <w:style w:type="character" w:customStyle="1" w:styleId="PagrindinistekstasDiagrama">
    <w:name w:val="Pagrindinis tekstas Diagrama"/>
    <w:basedOn w:val="Numatytasispastraiposriftas"/>
    <w:link w:val="Pagrindinistekstas"/>
    <w:uiPriority w:val="99"/>
    <w:semiHidden/>
    <w:rsid w:val="00AE5556"/>
  </w:style>
  <w:style w:type="character" w:customStyle="1" w:styleId="Antrat1Diagrama">
    <w:name w:val="Antraštė 1 Diagrama"/>
    <w:basedOn w:val="Numatytasispastraiposriftas"/>
    <w:link w:val="Antrat1"/>
    <w:uiPriority w:val="9"/>
    <w:rsid w:val="00AE5556"/>
    <w:rPr>
      <w:rFonts w:ascii="Arial" w:eastAsia="Arial" w:hAnsi="Arial" w:cs="Arial"/>
      <w:b/>
      <w:bCs/>
      <w:sz w:val="20"/>
      <w:szCs w:val="20"/>
    </w:rPr>
  </w:style>
  <w:style w:type="table" w:customStyle="1" w:styleId="TableNormal">
    <w:name w:val="Table Normal"/>
    <w:uiPriority w:val="2"/>
    <w:semiHidden/>
    <w:unhideWhenUsed/>
    <w:qFormat/>
    <w:rsid w:val="00AE55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AE5556"/>
    <w:pPr>
      <w:widowControl w:val="0"/>
      <w:autoSpaceDE w:val="0"/>
      <w:autoSpaceDN w:val="0"/>
      <w:spacing w:before="13" w:after="0" w:line="257" w:lineRule="exact"/>
      <w:ind w:left="108"/>
    </w:pPr>
    <w:rPr>
      <w:rFonts w:ascii="Times New Roman" w:eastAsia="Times New Roman" w:hAnsi="Times New Roman" w:cs="Times New Roman"/>
    </w:rPr>
  </w:style>
  <w:style w:type="character" w:styleId="Hipersaitas">
    <w:name w:val="Hyperlink"/>
    <w:basedOn w:val="Numatytasispastraiposriftas"/>
    <w:uiPriority w:val="99"/>
    <w:unhideWhenUsed/>
    <w:rsid w:val="00F41BB6"/>
    <w:rPr>
      <w:color w:val="0563C1" w:themeColor="hyperlink"/>
      <w:u w:val="single"/>
    </w:rPr>
  </w:style>
  <w:style w:type="character" w:styleId="Neapdorotaspaminjimas">
    <w:name w:val="Unresolved Mention"/>
    <w:basedOn w:val="Numatytasispastraiposriftas"/>
    <w:uiPriority w:val="99"/>
    <w:semiHidden/>
    <w:unhideWhenUsed/>
    <w:rsid w:val="00F41BB6"/>
    <w:rPr>
      <w:color w:val="605E5C"/>
      <w:shd w:val="clear" w:color="auto" w:fill="E1DFDD"/>
    </w:rPr>
  </w:style>
  <w:style w:type="paragraph" w:customStyle="1" w:styleId="Standard">
    <w:name w:val="Standard"/>
    <w:rsid w:val="00773C4A"/>
    <w:pPr>
      <w:suppressAutoHyphens/>
      <w:autoSpaceDN w:val="0"/>
      <w:spacing w:after="0" w:line="240" w:lineRule="auto"/>
      <w:textAlignment w:val="baseline"/>
    </w:pPr>
    <w:rPr>
      <w:rFonts w:ascii="Calibri" w:eastAsia="Calibri" w:hAnsi="Calibri" w:cs="Times New Roman"/>
      <w:kern w:val="3"/>
      <w:sz w:val="24"/>
      <w:szCs w:val="24"/>
    </w:rPr>
  </w:style>
  <w:style w:type="character" w:styleId="Komentaronuoroda">
    <w:name w:val="annotation reference"/>
    <w:basedOn w:val="Numatytasispastraiposriftas"/>
    <w:uiPriority w:val="99"/>
    <w:semiHidden/>
    <w:unhideWhenUsed/>
    <w:rsid w:val="00A22CAC"/>
    <w:rPr>
      <w:sz w:val="16"/>
      <w:szCs w:val="16"/>
    </w:rPr>
  </w:style>
  <w:style w:type="paragraph" w:styleId="Komentarotekstas">
    <w:name w:val="annotation text"/>
    <w:basedOn w:val="prastasis"/>
    <w:link w:val="KomentarotekstasDiagrama"/>
    <w:uiPriority w:val="99"/>
    <w:unhideWhenUsed/>
    <w:rsid w:val="00A22CAC"/>
    <w:pPr>
      <w:spacing w:after="200" w:line="240" w:lineRule="auto"/>
    </w:pPr>
    <w:rPr>
      <w:sz w:val="20"/>
      <w:szCs w:val="20"/>
    </w:rPr>
  </w:style>
  <w:style w:type="character" w:customStyle="1" w:styleId="KomentarotekstasDiagrama">
    <w:name w:val="Komentaro tekstas Diagrama"/>
    <w:basedOn w:val="Numatytasispastraiposriftas"/>
    <w:link w:val="Komentarotekstas"/>
    <w:uiPriority w:val="99"/>
    <w:rsid w:val="00A22CA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065714">
      <w:bodyDiv w:val="1"/>
      <w:marLeft w:val="0"/>
      <w:marRight w:val="0"/>
      <w:marTop w:val="0"/>
      <w:marBottom w:val="0"/>
      <w:divBdr>
        <w:top w:val="none" w:sz="0" w:space="0" w:color="auto"/>
        <w:left w:val="none" w:sz="0" w:space="0" w:color="auto"/>
        <w:bottom w:val="none" w:sz="0" w:space="0" w:color="auto"/>
        <w:right w:val="none" w:sz="0" w:space="0" w:color="auto"/>
      </w:divBdr>
    </w:div>
    <w:div w:id="452329691">
      <w:bodyDiv w:val="1"/>
      <w:marLeft w:val="0"/>
      <w:marRight w:val="0"/>
      <w:marTop w:val="0"/>
      <w:marBottom w:val="0"/>
      <w:divBdr>
        <w:top w:val="none" w:sz="0" w:space="0" w:color="auto"/>
        <w:left w:val="none" w:sz="0" w:space="0" w:color="auto"/>
        <w:bottom w:val="none" w:sz="0" w:space="0" w:color="auto"/>
        <w:right w:val="none" w:sz="0" w:space="0" w:color="auto"/>
      </w:divBdr>
    </w:div>
    <w:div w:id="736586473">
      <w:bodyDiv w:val="1"/>
      <w:marLeft w:val="0"/>
      <w:marRight w:val="0"/>
      <w:marTop w:val="0"/>
      <w:marBottom w:val="0"/>
      <w:divBdr>
        <w:top w:val="none" w:sz="0" w:space="0" w:color="auto"/>
        <w:left w:val="none" w:sz="0" w:space="0" w:color="auto"/>
        <w:bottom w:val="none" w:sz="0" w:space="0" w:color="auto"/>
        <w:right w:val="none" w:sz="0" w:space="0" w:color="auto"/>
      </w:divBdr>
    </w:div>
    <w:div w:id="1086850602">
      <w:bodyDiv w:val="1"/>
      <w:marLeft w:val="0"/>
      <w:marRight w:val="0"/>
      <w:marTop w:val="0"/>
      <w:marBottom w:val="0"/>
      <w:divBdr>
        <w:top w:val="none" w:sz="0" w:space="0" w:color="auto"/>
        <w:left w:val="none" w:sz="0" w:space="0" w:color="auto"/>
        <w:bottom w:val="none" w:sz="0" w:space="0" w:color="auto"/>
        <w:right w:val="none" w:sz="0" w:space="0" w:color="auto"/>
      </w:divBdr>
    </w:div>
    <w:div w:id="206617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4632</Words>
  <Characters>2641</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2024-12-11T21:59:00Z</dcterms:created>
  <dc:creator>Živilė Šakalienė</dc:creator>
  <cp:lastModifiedBy>Remigijus Stundžia</cp:lastModifiedBy>
  <dcterms:modified xsi:type="dcterms:W3CDTF">2024-12-11T21:59:00Z</dcterms:modified>
  <cp:revision>2</cp:revision>
</cp:coreProperties>
</file>