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6E1F9BD7"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4A5D41">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247B4A">
      <w:pPr>
        <w:tabs>
          <w:tab w:val="left" w:pos="1134"/>
          <w:tab w:val="left" w:pos="5103"/>
        </w:tabs>
        <w:rPr>
          <w:rFonts w:ascii="Arial" w:hAnsi="Arial" w:cs="Arial"/>
          <w:sz w:val="22"/>
          <w:szCs w:val="22"/>
          <w:lang w:val="lt-LT"/>
        </w:rPr>
      </w:pPr>
    </w:p>
    <w:sectPr w:rsidR="00813A9A" w:rsidSect="00247B4A">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61413" w14:textId="77777777" w:rsidR="00BF7DC1" w:rsidRDefault="00BF7DC1" w:rsidP="009A01F8">
      <w:r>
        <w:separator/>
      </w:r>
    </w:p>
  </w:endnote>
  <w:endnote w:type="continuationSeparator" w:id="0">
    <w:p w14:paraId="0042DA5C" w14:textId="77777777" w:rsidR="00BF7DC1" w:rsidRDefault="00BF7DC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55D52" w14:textId="77777777" w:rsidR="00BF7DC1" w:rsidRDefault="00BF7DC1" w:rsidP="009A01F8">
      <w:r>
        <w:separator/>
      </w:r>
    </w:p>
  </w:footnote>
  <w:footnote w:type="continuationSeparator" w:id="0">
    <w:p w14:paraId="3FEC6057" w14:textId="77777777" w:rsidR="00BF7DC1" w:rsidRDefault="00BF7DC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168E21EA" w:rsidR="00AC77BA" w:rsidRPr="005239EF" w:rsidRDefault="00AC77BA" w:rsidP="0052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B4A"/>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16CE"/>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A5D41"/>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442B"/>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BF7DC1"/>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02BA"/>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13323</Words>
  <Characters>7595</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2022-01-31T06:12:00Z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190751af-2442-49a7-b7b9-9f0bcce858c9_Enabled">
    <vt:lpwstr>true</vt:lpwstr>
  </property>
  <property fmtid="{D5CDD505-2E9C-101B-9397-08002B2CF9AE}" pid="4" name="MSIP_Label_190751af-2442-49a7-b7b9-9f0bcce858c9_SetDate">
    <vt:lpwstr>2022-01-31T06:12:23Z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6a0d763e-dcd4-4c28-935e-3e2a1a0f3982</vt:lpwstr>
  </property>
  <property fmtid="{D5CDD505-2E9C-101B-9397-08002B2CF9AE}" pid="9" name="MSIP_Label_190751af-2442-49a7-b7b9-9f0bcce858c9_ContentBits">
    <vt:lpwstr>0</vt:lpwstr>
  </property>
</Properties>
</file>