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BC9C" w14:textId="6CBFC60B" w:rsidR="006F44BA" w:rsidRDefault="006F44BA" w:rsidP="00CE3781">
      <w:pPr>
        <w:spacing w:after="0" w:line="240" w:lineRule="auto"/>
        <w:ind w:left="426"/>
        <w:jc w:val="center"/>
        <w:rPr>
          <w:rFonts w:ascii="Trebuchet MS" w:eastAsia="Times New Roman" w:hAnsi="Trebuchet MS" w:cs="Calibri"/>
          <w:b/>
          <w:kern w:val="0"/>
          <w:sz w:val="20"/>
          <w:szCs w:val="20"/>
          <w:lang w:val="lt-LT"/>
          <w14:ligatures w14:val="none"/>
        </w:rPr>
      </w:pPr>
      <w:r w:rsidRPr="006F44BA">
        <w:rPr>
          <w:rFonts w:ascii="Trebuchet MS" w:eastAsia="Times New Roman" w:hAnsi="Trebuchet MS" w:cs="Calibri"/>
          <w:b/>
          <w:kern w:val="0"/>
          <w:sz w:val="20"/>
          <w:szCs w:val="20"/>
          <w:lang w:val="lt-LT"/>
          <w14:ligatures w14:val="none"/>
        </w:rPr>
        <w:t>ESO 110 – 10 KV LAZDĖNŲ TP SKIRSTYKLOS PAKEITIMAI</w:t>
      </w:r>
    </w:p>
    <w:p w14:paraId="7AB67C87" w14:textId="067DDAC0" w:rsidR="00CE3781" w:rsidRPr="00CE3781" w:rsidRDefault="00CE3781" w:rsidP="00CE3781">
      <w:pPr>
        <w:spacing w:after="0" w:line="240" w:lineRule="auto"/>
        <w:ind w:left="426"/>
        <w:jc w:val="center"/>
        <w:rPr>
          <w:rFonts w:ascii="Trebuchet MS" w:eastAsia="Times New Roman" w:hAnsi="Trebuchet MS" w:cs="Calibri"/>
          <w:b/>
          <w:kern w:val="0"/>
          <w:sz w:val="20"/>
          <w:szCs w:val="20"/>
          <w:lang w:val="lt-LT"/>
          <w14:ligatures w14:val="none"/>
        </w:rPr>
      </w:pPr>
      <w:r w:rsidRPr="00CE3781">
        <w:rPr>
          <w:rFonts w:ascii="Trebuchet MS" w:eastAsia="Times New Roman" w:hAnsi="Trebuchet MS" w:cs="Calibri"/>
          <w:b/>
          <w:kern w:val="0"/>
          <w:sz w:val="20"/>
          <w:szCs w:val="20"/>
          <w:lang w:val="lt-LT"/>
          <w14:ligatures w14:val="none"/>
        </w:rPr>
        <w:t>PROJEKTAVIMO (DARBO PROJEKTAM)  IR STATYBOS DARBŲ ETAPAI</w:t>
      </w:r>
    </w:p>
    <w:p w14:paraId="45D449CB" w14:textId="77777777" w:rsidR="00CE3781" w:rsidRPr="00CE3781" w:rsidRDefault="00CE3781" w:rsidP="00CE3781">
      <w:pPr>
        <w:spacing w:after="0" w:line="240" w:lineRule="auto"/>
        <w:jc w:val="both"/>
        <w:rPr>
          <w:rFonts w:ascii="Trebuchet MS" w:eastAsia="Times New Roman" w:hAnsi="Trebuchet MS" w:cs="Calibri"/>
          <w:kern w:val="0"/>
          <w:sz w:val="20"/>
          <w:szCs w:val="20"/>
          <w:lang w:val="lt-LT"/>
          <w14:ligatures w14:val="none"/>
        </w:rPr>
      </w:pPr>
    </w:p>
    <w:p w14:paraId="7C1FC93C" w14:textId="77777777" w:rsidR="00CE3781" w:rsidRPr="00CE3781" w:rsidRDefault="00CE3781" w:rsidP="00CE3781">
      <w:pPr>
        <w:spacing w:after="0" w:line="240" w:lineRule="auto"/>
        <w:jc w:val="both"/>
        <w:rPr>
          <w:rFonts w:ascii="Trebuchet MS" w:eastAsia="Times New Roman" w:hAnsi="Trebuchet MS" w:cs="Calibri"/>
          <w:kern w:val="0"/>
          <w:sz w:val="20"/>
          <w:szCs w:val="20"/>
          <w:lang w:val="lt-LT"/>
          <w14:ligatures w14:val="none"/>
        </w:rPr>
      </w:pPr>
    </w:p>
    <w:tbl>
      <w:tblPr>
        <w:tblStyle w:val="Lentelstinklelis"/>
        <w:tblW w:w="13946" w:type="dxa"/>
        <w:tblInd w:w="366" w:type="dxa"/>
        <w:tblLayout w:type="fixed"/>
        <w:tblLook w:val="04A0" w:firstRow="1" w:lastRow="0" w:firstColumn="1" w:lastColumn="0" w:noHBand="0" w:noVBand="1"/>
      </w:tblPr>
      <w:tblGrid>
        <w:gridCol w:w="1614"/>
        <w:gridCol w:w="4252"/>
        <w:gridCol w:w="3119"/>
        <w:gridCol w:w="2835"/>
        <w:gridCol w:w="2126"/>
      </w:tblGrid>
      <w:tr w:rsidR="00CE3781" w:rsidRPr="00CE3781" w14:paraId="346D8240" w14:textId="77777777" w:rsidTr="006F44BA">
        <w:tc>
          <w:tcPr>
            <w:tcW w:w="1614" w:type="dxa"/>
            <w:shd w:val="clear" w:color="auto" w:fill="D9D9D9"/>
          </w:tcPr>
          <w:p w14:paraId="6A77F07D" w14:textId="77777777" w:rsidR="00CE3781" w:rsidRPr="00CE3781" w:rsidRDefault="00CE3781" w:rsidP="00CE3781">
            <w:pPr>
              <w:spacing w:before="120" w:after="120"/>
              <w:jc w:val="both"/>
              <w:rPr>
                <w:rFonts w:ascii="Trebuchet MS" w:eastAsia="Times New Roman" w:hAnsi="Trebuchet MS" w:cs="Calibri"/>
                <w:b/>
              </w:rPr>
            </w:pPr>
            <w:r w:rsidRPr="00CE3781">
              <w:rPr>
                <w:rFonts w:ascii="Trebuchet MS" w:eastAsia="Times New Roman" w:hAnsi="Trebuchet MS" w:cs="Calibri"/>
                <w:b/>
              </w:rPr>
              <w:t>Etapas</w:t>
            </w:r>
          </w:p>
        </w:tc>
        <w:tc>
          <w:tcPr>
            <w:tcW w:w="4252" w:type="dxa"/>
            <w:shd w:val="clear" w:color="auto" w:fill="D9D9D9"/>
          </w:tcPr>
          <w:p w14:paraId="1651E89E" w14:textId="77777777" w:rsidR="00CE3781" w:rsidRPr="00CE3781" w:rsidRDefault="00CE3781" w:rsidP="00CE3781">
            <w:pPr>
              <w:spacing w:before="120" w:after="120"/>
              <w:jc w:val="both"/>
              <w:rPr>
                <w:rFonts w:ascii="Trebuchet MS" w:eastAsia="Times New Roman" w:hAnsi="Trebuchet MS" w:cs="Calibri"/>
                <w:b/>
              </w:rPr>
            </w:pPr>
            <w:r w:rsidRPr="00CE3781">
              <w:rPr>
                <w:rFonts w:ascii="Trebuchet MS" w:eastAsia="Times New Roman" w:hAnsi="Trebuchet MS" w:cs="Calibri"/>
                <w:b/>
              </w:rPr>
              <w:t>Perduodami darbai</w:t>
            </w:r>
          </w:p>
          <w:p w14:paraId="5F55BCE1" w14:textId="77777777" w:rsidR="00CE3781" w:rsidRPr="00CE3781" w:rsidRDefault="00CE3781" w:rsidP="00CE3781">
            <w:pPr>
              <w:spacing w:before="120" w:after="120"/>
              <w:jc w:val="both"/>
              <w:rPr>
                <w:rFonts w:ascii="Trebuchet MS" w:eastAsia="Times New Roman" w:hAnsi="Trebuchet MS" w:cs="Calibri"/>
                <w:i/>
              </w:rPr>
            </w:pPr>
            <w:r w:rsidRPr="00CE3781">
              <w:rPr>
                <w:rFonts w:ascii="Trebuchet MS" w:eastAsia="Times New Roman" w:hAnsi="Trebuchet MS" w:cs="Calibri"/>
                <w:i/>
              </w:rPr>
              <w:t>(Darbai, kuriuos Rangovas turi perduoti Užsakovui užbaigus etapą)</w:t>
            </w:r>
          </w:p>
        </w:tc>
        <w:tc>
          <w:tcPr>
            <w:tcW w:w="3119" w:type="dxa"/>
            <w:shd w:val="clear" w:color="auto" w:fill="D9D9D9"/>
          </w:tcPr>
          <w:p w14:paraId="773BE884" w14:textId="77777777" w:rsidR="00CE3781" w:rsidRPr="00CE3781" w:rsidRDefault="00CE3781" w:rsidP="00CE3781">
            <w:pPr>
              <w:spacing w:before="120" w:after="120"/>
              <w:jc w:val="both"/>
              <w:rPr>
                <w:rFonts w:ascii="Trebuchet MS" w:eastAsia="Times New Roman" w:hAnsi="Trebuchet MS" w:cs="Calibri"/>
                <w:b/>
              </w:rPr>
            </w:pPr>
            <w:r w:rsidRPr="00CE3781">
              <w:rPr>
                <w:rFonts w:ascii="Trebuchet MS" w:eastAsia="Times New Roman" w:hAnsi="Trebuchet MS" w:cs="Calibri"/>
                <w:b/>
              </w:rPr>
              <w:t>Perdavimo terminas</w:t>
            </w:r>
          </w:p>
          <w:p w14:paraId="5053F58E" w14:textId="334A1999" w:rsidR="00CE3781" w:rsidRPr="00CE3781" w:rsidRDefault="00CE3781" w:rsidP="00CE3781">
            <w:pPr>
              <w:spacing w:before="120" w:after="120"/>
              <w:jc w:val="both"/>
              <w:rPr>
                <w:rFonts w:ascii="Trebuchet MS" w:eastAsia="Times New Roman" w:hAnsi="Trebuchet MS" w:cs="Calibri"/>
                <w:i/>
              </w:rPr>
            </w:pPr>
            <w:r w:rsidRPr="00CE3781">
              <w:rPr>
                <w:rFonts w:ascii="Trebuchet MS" w:eastAsia="Times New Roman" w:hAnsi="Trebuchet MS" w:cs="Calibri"/>
                <w:i/>
              </w:rPr>
              <w:t>(mėn. nuo Sutarties sudarymo dienos)</w:t>
            </w:r>
          </w:p>
        </w:tc>
        <w:tc>
          <w:tcPr>
            <w:tcW w:w="2835" w:type="dxa"/>
            <w:shd w:val="clear" w:color="auto" w:fill="D9D9D9"/>
          </w:tcPr>
          <w:p w14:paraId="40002E1D" w14:textId="77777777" w:rsidR="00CE3781" w:rsidRPr="00CE3781" w:rsidRDefault="00CE3781" w:rsidP="00CE3781">
            <w:pPr>
              <w:spacing w:before="120" w:after="120"/>
              <w:jc w:val="both"/>
              <w:rPr>
                <w:rFonts w:ascii="Trebuchet MS" w:eastAsia="Times New Roman" w:hAnsi="Trebuchet MS" w:cs="Calibri"/>
                <w:b/>
              </w:rPr>
            </w:pPr>
            <w:r w:rsidRPr="00CE3781">
              <w:rPr>
                <w:rFonts w:ascii="Trebuchet MS" w:eastAsia="Times New Roman" w:hAnsi="Trebuchet MS" w:cs="Calibri"/>
                <w:b/>
              </w:rPr>
              <w:t>Delspinigių dydis</w:t>
            </w:r>
          </w:p>
          <w:p w14:paraId="61F5ED18" w14:textId="050BDA93" w:rsidR="00CE3781" w:rsidRPr="00CE3781" w:rsidRDefault="00CE3781" w:rsidP="00CE3781">
            <w:pPr>
              <w:spacing w:before="120" w:after="120"/>
              <w:jc w:val="both"/>
              <w:rPr>
                <w:rFonts w:ascii="Trebuchet MS" w:eastAsia="Times New Roman" w:hAnsi="Trebuchet MS" w:cs="Calibri"/>
                <w:i/>
              </w:rPr>
            </w:pPr>
            <w:r w:rsidRPr="00CE3781">
              <w:rPr>
                <w:rFonts w:ascii="Trebuchet MS" w:eastAsia="Times New Roman" w:hAnsi="Trebuchet MS" w:cs="Calibri"/>
                <w:i/>
              </w:rPr>
              <w:t>(rengiant sutartį pasirenkama: procentinė dalis nuo Sutarties kainos be PVM už kiekvieną pradelstą dieną)</w:t>
            </w:r>
          </w:p>
        </w:tc>
        <w:tc>
          <w:tcPr>
            <w:tcW w:w="2126" w:type="dxa"/>
            <w:shd w:val="clear" w:color="auto" w:fill="D9D9D9"/>
          </w:tcPr>
          <w:p w14:paraId="32959467" w14:textId="77777777" w:rsidR="00CE3781" w:rsidRPr="00CE3781" w:rsidRDefault="00CE3781" w:rsidP="00CE3781">
            <w:pPr>
              <w:spacing w:before="120" w:after="120"/>
              <w:jc w:val="both"/>
              <w:rPr>
                <w:rFonts w:ascii="Trebuchet MS" w:eastAsia="Times New Roman" w:hAnsi="Trebuchet MS" w:cs="Calibri"/>
                <w:b/>
              </w:rPr>
            </w:pPr>
            <w:r w:rsidRPr="00CE3781">
              <w:rPr>
                <w:rFonts w:ascii="Trebuchet MS" w:eastAsia="Times New Roman" w:hAnsi="Trebuchet MS" w:cs="Calibri"/>
                <w:b/>
              </w:rPr>
              <w:t>Mokėtina suma</w:t>
            </w:r>
          </w:p>
          <w:p w14:paraId="2F6AEF5D" w14:textId="77777777" w:rsidR="00CE3781" w:rsidRPr="00CE3781" w:rsidRDefault="00CE3781" w:rsidP="00CE3781">
            <w:pPr>
              <w:spacing w:before="120" w:after="120"/>
              <w:jc w:val="both"/>
              <w:rPr>
                <w:rFonts w:ascii="Trebuchet MS" w:eastAsia="Times New Roman" w:hAnsi="Trebuchet MS" w:cs="Calibri"/>
                <w:i/>
              </w:rPr>
            </w:pPr>
            <w:r w:rsidRPr="00CE3781">
              <w:rPr>
                <w:rFonts w:ascii="Trebuchet MS" w:eastAsia="Times New Roman" w:hAnsi="Trebuchet MS" w:cs="Calibri"/>
                <w:i/>
              </w:rPr>
              <w:t>(Eur be PVM)</w:t>
            </w:r>
          </w:p>
        </w:tc>
      </w:tr>
      <w:tr w:rsidR="00CE3781" w:rsidRPr="002D1356" w14:paraId="7C611D80" w14:textId="77777777" w:rsidTr="006F44BA">
        <w:tc>
          <w:tcPr>
            <w:tcW w:w="1614" w:type="dxa"/>
          </w:tcPr>
          <w:p w14:paraId="682AA551" w14:textId="77777777" w:rsidR="00CE3781" w:rsidRPr="00CE3781" w:rsidRDefault="00CE3781" w:rsidP="00CE3781">
            <w:pPr>
              <w:spacing w:before="240" w:after="240"/>
              <w:jc w:val="both"/>
              <w:rPr>
                <w:rFonts w:ascii="Trebuchet MS" w:eastAsia="Times New Roman" w:hAnsi="Trebuchet MS" w:cs="Calibri"/>
              </w:rPr>
            </w:pPr>
            <w:r w:rsidRPr="00CE3781">
              <w:rPr>
                <w:rFonts w:ascii="Trebuchet MS" w:eastAsia="Times New Roman" w:hAnsi="Trebuchet MS" w:cs="Calibri"/>
              </w:rPr>
              <w:t>I etapas</w:t>
            </w:r>
          </w:p>
        </w:tc>
        <w:tc>
          <w:tcPr>
            <w:tcW w:w="4252" w:type="dxa"/>
          </w:tcPr>
          <w:p w14:paraId="0BC2CCC3" w14:textId="0F6339A4" w:rsidR="00CE3781" w:rsidRDefault="00256030" w:rsidP="00CE3781">
            <w:pPr>
              <w:spacing w:before="240" w:after="240"/>
              <w:jc w:val="both"/>
              <w:rPr>
                <w:rFonts w:ascii="Trebuchet MS" w:eastAsia="Times New Roman" w:hAnsi="Trebuchet MS" w:cs="Calibri"/>
              </w:rPr>
            </w:pPr>
            <w:r>
              <w:rPr>
                <w:rFonts w:ascii="Trebuchet MS" w:eastAsia="Times New Roman" w:hAnsi="Trebuchet MS" w:cs="Calibri"/>
              </w:rPr>
              <w:t>Rangos darbai.</w:t>
            </w:r>
            <w:r w:rsidR="008E3A74">
              <w:rPr>
                <w:rFonts w:ascii="Trebuchet MS" w:eastAsia="Times New Roman" w:hAnsi="Trebuchet MS" w:cs="Calibri"/>
              </w:rPr>
              <w:t xml:space="preserve"> </w:t>
            </w:r>
            <w:r w:rsidR="00710F16">
              <w:rPr>
                <w:rFonts w:ascii="Trebuchet MS" w:eastAsia="Times New Roman" w:hAnsi="Trebuchet MS" w:cs="Calibri"/>
              </w:rPr>
              <w:t>T</w:t>
            </w:r>
            <w:r w:rsidR="007E376C">
              <w:rPr>
                <w:rFonts w:ascii="Trebuchet MS" w:eastAsia="Times New Roman" w:hAnsi="Trebuchet MS" w:cs="Calibri"/>
              </w:rPr>
              <w:t xml:space="preserve">echninio </w:t>
            </w:r>
            <w:r w:rsidR="00614741">
              <w:rPr>
                <w:rFonts w:ascii="Trebuchet MS" w:eastAsia="Times New Roman" w:hAnsi="Trebuchet MS" w:cs="Calibri"/>
              </w:rPr>
              <w:t>į</w:t>
            </w:r>
            <w:r w:rsidR="007E376C">
              <w:rPr>
                <w:rFonts w:ascii="Trebuchet MS" w:eastAsia="Times New Roman" w:hAnsi="Trebuchet MS" w:cs="Calibri"/>
              </w:rPr>
              <w:t>vertinimo komisija.</w:t>
            </w:r>
          </w:p>
          <w:p w14:paraId="47150CFC" w14:textId="44E4213B" w:rsidR="007E376C" w:rsidRPr="00CE3781" w:rsidRDefault="007E376C" w:rsidP="00CE3781">
            <w:pPr>
              <w:spacing w:before="240" w:after="240"/>
              <w:jc w:val="both"/>
              <w:rPr>
                <w:rFonts w:ascii="Trebuchet MS" w:eastAsia="Times New Roman" w:hAnsi="Trebuchet MS" w:cs="Calibri"/>
              </w:rPr>
            </w:pPr>
            <w:r>
              <w:rPr>
                <w:rFonts w:ascii="Trebuchet MS" w:eastAsia="Times New Roman" w:hAnsi="Trebuchet MS" w:cs="Calibri"/>
              </w:rPr>
              <w:t xml:space="preserve">Rangovai atlieka visus techniniame projekte numatytus rangos darbus, </w:t>
            </w:r>
            <w:r w:rsidR="00614741">
              <w:rPr>
                <w:rFonts w:ascii="Trebuchet MS" w:eastAsia="Times New Roman" w:hAnsi="Trebuchet MS" w:cs="Calibri"/>
              </w:rPr>
              <w:t xml:space="preserve">pasirengia Techninio įvertinimo komisijai ir </w:t>
            </w:r>
            <w:r w:rsidR="002C6C8D">
              <w:rPr>
                <w:rFonts w:ascii="Trebuchet MS" w:eastAsia="Times New Roman" w:hAnsi="Trebuchet MS" w:cs="Calibri"/>
              </w:rPr>
              <w:t xml:space="preserve">jei reikia </w:t>
            </w:r>
            <w:r w:rsidR="00614741">
              <w:rPr>
                <w:rFonts w:ascii="Trebuchet MS" w:eastAsia="Times New Roman" w:hAnsi="Trebuchet MS" w:cs="Calibri"/>
              </w:rPr>
              <w:t>i</w:t>
            </w:r>
            <w:r w:rsidR="005A3873">
              <w:rPr>
                <w:rFonts w:ascii="Trebuchet MS" w:eastAsia="Times New Roman" w:hAnsi="Trebuchet MS" w:cs="Calibri"/>
              </w:rPr>
              <w:t xml:space="preserve">štaiso </w:t>
            </w:r>
            <w:r w:rsidR="002D1356">
              <w:rPr>
                <w:rFonts w:ascii="Trebuchet MS" w:eastAsia="Times New Roman" w:hAnsi="Trebuchet MS" w:cs="Calibri"/>
              </w:rPr>
              <w:t>Techninio įvertinimo metu nustatytus trūkumus iki Statybos užbaigimo akto gavimo.</w:t>
            </w:r>
          </w:p>
        </w:tc>
        <w:tc>
          <w:tcPr>
            <w:tcW w:w="3119" w:type="dxa"/>
          </w:tcPr>
          <w:p w14:paraId="0DA0035B" w14:textId="01D97ADF" w:rsidR="00CE3781" w:rsidRPr="00CE3781" w:rsidRDefault="003D331A" w:rsidP="00CE3781">
            <w:pPr>
              <w:spacing w:before="240" w:after="240"/>
              <w:jc w:val="both"/>
              <w:rPr>
                <w:rFonts w:ascii="Trebuchet MS" w:eastAsia="Times New Roman" w:hAnsi="Trebuchet MS" w:cs="Calibri"/>
              </w:rPr>
            </w:pPr>
            <w:r>
              <w:rPr>
                <w:rFonts w:ascii="Trebuchet MS" w:eastAsia="Times New Roman" w:hAnsi="Trebuchet MS" w:cs="Calibri"/>
              </w:rPr>
              <w:t>17 mėn.</w:t>
            </w:r>
          </w:p>
        </w:tc>
        <w:tc>
          <w:tcPr>
            <w:tcW w:w="2835" w:type="dxa"/>
          </w:tcPr>
          <w:p w14:paraId="4EAD6B70" w14:textId="2BEDCBCF" w:rsidR="00CE3781" w:rsidRPr="00CE3781" w:rsidRDefault="002C533E" w:rsidP="00CE3781">
            <w:pPr>
              <w:spacing w:before="240" w:after="240"/>
              <w:jc w:val="both"/>
              <w:rPr>
                <w:rFonts w:ascii="Trebuchet MS" w:eastAsia="Times New Roman" w:hAnsi="Trebuchet MS" w:cs="Calibri"/>
              </w:rPr>
            </w:pPr>
            <w:r>
              <w:rPr>
                <w:rFonts w:ascii="Trebuchet MS" w:eastAsia="Times New Roman" w:hAnsi="Trebuchet MS" w:cs="Calibri"/>
              </w:rPr>
              <w:t>0.04</w:t>
            </w:r>
            <w:r w:rsidR="0002752C">
              <w:rPr>
                <w:rFonts w:ascii="Trebuchet MS" w:eastAsia="Times New Roman" w:hAnsi="Trebuchet MS" w:cs="Calibri"/>
              </w:rPr>
              <w:t xml:space="preserve"> procentai už kiekvieną pradelstą dieną</w:t>
            </w:r>
          </w:p>
        </w:tc>
        <w:tc>
          <w:tcPr>
            <w:tcW w:w="2126" w:type="dxa"/>
          </w:tcPr>
          <w:p w14:paraId="6DFF760F" w14:textId="77777777" w:rsidR="00CE3781" w:rsidRPr="00CE3781" w:rsidRDefault="00CE3781" w:rsidP="00CE3781">
            <w:pPr>
              <w:spacing w:before="240" w:after="240"/>
              <w:jc w:val="both"/>
              <w:rPr>
                <w:rFonts w:ascii="Trebuchet MS" w:eastAsia="Times New Roman" w:hAnsi="Trebuchet MS" w:cs="Calibri"/>
              </w:rPr>
            </w:pPr>
          </w:p>
        </w:tc>
      </w:tr>
      <w:tr w:rsidR="00CE3781" w:rsidRPr="00CE3781" w14:paraId="0E073786" w14:textId="77777777" w:rsidTr="006F44BA">
        <w:tc>
          <w:tcPr>
            <w:tcW w:w="1614" w:type="dxa"/>
          </w:tcPr>
          <w:p w14:paraId="34B5A1AD" w14:textId="77777777" w:rsidR="00CE3781" w:rsidRPr="00CE3781" w:rsidRDefault="00CE3781" w:rsidP="00CE3781">
            <w:pPr>
              <w:spacing w:before="240" w:after="240"/>
              <w:jc w:val="both"/>
              <w:rPr>
                <w:rFonts w:ascii="Trebuchet MS" w:eastAsia="Times New Roman" w:hAnsi="Trebuchet MS" w:cs="Calibri"/>
              </w:rPr>
            </w:pPr>
            <w:r w:rsidRPr="00CE3781">
              <w:rPr>
                <w:rFonts w:ascii="Trebuchet MS" w:eastAsia="Times New Roman" w:hAnsi="Trebuchet MS" w:cs="Calibri"/>
              </w:rPr>
              <w:t>II etapas</w:t>
            </w:r>
          </w:p>
        </w:tc>
        <w:tc>
          <w:tcPr>
            <w:tcW w:w="4252" w:type="dxa"/>
          </w:tcPr>
          <w:p w14:paraId="55CC62BA" w14:textId="4E92B9B0" w:rsidR="00E5781A" w:rsidRPr="00E5781A" w:rsidRDefault="00E5781A" w:rsidP="00E5781A">
            <w:pPr>
              <w:spacing w:before="240" w:after="240"/>
              <w:jc w:val="both"/>
              <w:rPr>
                <w:rFonts w:ascii="Trebuchet MS" w:eastAsia="Times New Roman" w:hAnsi="Trebuchet MS" w:cs="Calibri"/>
              </w:rPr>
            </w:pPr>
            <w:r w:rsidRPr="00E5781A">
              <w:rPr>
                <w:rFonts w:ascii="Trebuchet MS" w:eastAsia="Times New Roman" w:hAnsi="Trebuchet MS" w:cs="Calibri"/>
              </w:rPr>
              <w:t xml:space="preserve">Statybos užbaigimo akto gavimas ir statybos užbaigimo procedūros. </w:t>
            </w:r>
          </w:p>
          <w:p w14:paraId="37082C29" w14:textId="1CF46F0F" w:rsidR="00CE3781" w:rsidRPr="00CE3781" w:rsidRDefault="00E5781A" w:rsidP="00E5781A">
            <w:pPr>
              <w:spacing w:before="240" w:after="240"/>
              <w:jc w:val="both"/>
              <w:rPr>
                <w:rFonts w:ascii="Trebuchet MS" w:eastAsia="Times New Roman" w:hAnsi="Trebuchet MS" w:cs="Calibri"/>
              </w:rPr>
            </w:pPr>
            <w:r w:rsidRPr="00E5781A">
              <w:rPr>
                <w:rFonts w:ascii="Trebuchet MS" w:eastAsia="Times New Roman" w:hAnsi="Trebuchet MS" w:cs="Calibri"/>
              </w:rPr>
              <w:t>Užsakovui perduotas statybos darbų žurnalas, jame nurodyti dokumentai, visa dokumentacija susijusi su atliktais Darbais.</w:t>
            </w:r>
          </w:p>
        </w:tc>
        <w:tc>
          <w:tcPr>
            <w:tcW w:w="3119" w:type="dxa"/>
          </w:tcPr>
          <w:p w14:paraId="4F92F138" w14:textId="5F4E4E46" w:rsidR="00CE3781" w:rsidRPr="00CE3781" w:rsidRDefault="00345F25" w:rsidP="00CE3781">
            <w:pPr>
              <w:spacing w:before="240" w:after="240"/>
              <w:jc w:val="both"/>
              <w:rPr>
                <w:rFonts w:ascii="Trebuchet MS" w:eastAsia="Times New Roman" w:hAnsi="Trebuchet MS" w:cs="Calibri"/>
              </w:rPr>
            </w:pPr>
            <w:r>
              <w:rPr>
                <w:rFonts w:ascii="Trebuchet MS" w:eastAsia="Times New Roman" w:hAnsi="Trebuchet MS" w:cs="Calibri"/>
              </w:rPr>
              <w:t>2</w:t>
            </w:r>
            <w:r w:rsidR="003D331A">
              <w:rPr>
                <w:rFonts w:ascii="Trebuchet MS" w:eastAsia="Times New Roman" w:hAnsi="Trebuchet MS" w:cs="Calibri"/>
              </w:rPr>
              <w:t xml:space="preserve"> mėn.</w:t>
            </w:r>
          </w:p>
        </w:tc>
        <w:tc>
          <w:tcPr>
            <w:tcW w:w="2835" w:type="dxa"/>
          </w:tcPr>
          <w:p w14:paraId="533CC064" w14:textId="77777777" w:rsidR="00CE3781" w:rsidRPr="00CE3781" w:rsidRDefault="00CE3781" w:rsidP="00CE3781">
            <w:pPr>
              <w:spacing w:before="240" w:after="240"/>
              <w:jc w:val="both"/>
              <w:rPr>
                <w:rFonts w:ascii="Trebuchet MS" w:eastAsia="Times New Roman" w:hAnsi="Trebuchet MS" w:cs="Calibri"/>
              </w:rPr>
            </w:pPr>
          </w:p>
        </w:tc>
        <w:tc>
          <w:tcPr>
            <w:tcW w:w="2126" w:type="dxa"/>
          </w:tcPr>
          <w:p w14:paraId="5CADAE5E" w14:textId="0E0A42A1" w:rsidR="00CE3781" w:rsidRPr="00CE3781" w:rsidRDefault="00314269" w:rsidP="00CE3781">
            <w:pPr>
              <w:spacing w:before="240" w:after="240"/>
              <w:jc w:val="both"/>
              <w:rPr>
                <w:rFonts w:ascii="Trebuchet MS" w:eastAsia="Times New Roman" w:hAnsi="Trebuchet MS" w:cs="Calibri"/>
              </w:rPr>
            </w:pPr>
            <w:r>
              <w:rPr>
                <w:rFonts w:ascii="Trebuchet MS" w:eastAsia="Times New Roman" w:hAnsi="Trebuchet MS" w:cs="Calibri"/>
              </w:rPr>
              <w:t>2374.68 Eur be PVM,</w:t>
            </w:r>
            <w:r w:rsidR="00187C35">
              <w:rPr>
                <w:rFonts w:ascii="Trebuchet MS" w:eastAsia="Times New Roman" w:hAnsi="Trebuchet MS" w:cs="Calibri"/>
              </w:rPr>
              <w:t xml:space="preserve"> </w:t>
            </w:r>
            <w:r w:rsidR="0002752C">
              <w:rPr>
                <w:rFonts w:ascii="Trebuchet MS" w:eastAsia="Times New Roman" w:hAnsi="Trebuchet MS" w:cs="Calibri"/>
              </w:rPr>
              <w:t>už kiekvieną pradelstą dieną</w:t>
            </w:r>
          </w:p>
        </w:tc>
      </w:tr>
    </w:tbl>
    <w:p w14:paraId="3FB51ECE" w14:textId="77777777" w:rsidR="00CE3781" w:rsidRPr="00CE3781" w:rsidRDefault="00CE3781" w:rsidP="00CE3781">
      <w:pPr>
        <w:spacing w:after="0" w:line="240" w:lineRule="auto"/>
        <w:jc w:val="both"/>
        <w:rPr>
          <w:rFonts w:ascii="Trebuchet MS" w:eastAsia="Times New Roman" w:hAnsi="Trebuchet MS" w:cs="Calibri"/>
          <w:kern w:val="0"/>
          <w:sz w:val="20"/>
          <w:szCs w:val="20"/>
          <w:lang w:val="lt-LT"/>
          <w14:ligatures w14:val="none"/>
        </w:rPr>
      </w:pPr>
    </w:p>
    <w:p w14:paraId="226B9F80" w14:textId="77777777" w:rsidR="00CE3781" w:rsidRPr="00CE3781" w:rsidRDefault="00CE3781" w:rsidP="00CE3781">
      <w:pPr>
        <w:spacing w:after="0" w:line="240" w:lineRule="auto"/>
        <w:jc w:val="center"/>
        <w:rPr>
          <w:rFonts w:ascii="Trebuchet MS" w:eastAsia="Times New Roman" w:hAnsi="Trebuchet MS" w:cs="Calibri"/>
          <w:kern w:val="0"/>
          <w:sz w:val="20"/>
          <w:szCs w:val="20"/>
          <w:lang w:val="lt-LT"/>
          <w14:ligatures w14:val="none"/>
        </w:rPr>
      </w:pPr>
      <w:r w:rsidRPr="00CE3781">
        <w:rPr>
          <w:rFonts w:ascii="Trebuchet MS" w:eastAsia="Times New Roman" w:hAnsi="Trebuchet MS" w:cs="Calibri"/>
          <w:kern w:val="0"/>
          <w:sz w:val="20"/>
          <w:szCs w:val="20"/>
          <w:lang w:val="lt-LT"/>
          <w14:ligatures w14:val="none"/>
        </w:rPr>
        <w:t>_____________________</w:t>
      </w:r>
    </w:p>
    <w:p w14:paraId="15D2C31A" w14:textId="77777777" w:rsidR="00CE3781" w:rsidRPr="00CE3781" w:rsidRDefault="00CE3781" w:rsidP="00CE3781">
      <w:pPr>
        <w:spacing w:after="0" w:line="240" w:lineRule="auto"/>
        <w:jc w:val="both"/>
        <w:rPr>
          <w:rFonts w:ascii="Trebuchet MS" w:eastAsia="Times New Roman" w:hAnsi="Trebuchet MS" w:cs="Calibri"/>
          <w:kern w:val="0"/>
          <w:sz w:val="20"/>
          <w:szCs w:val="20"/>
          <w:lang w:val="lt-LT"/>
          <w14:ligatures w14:val="none"/>
        </w:rPr>
      </w:pPr>
    </w:p>
    <w:p w14:paraId="51936881" w14:textId="77777777" w:rsidR="00CE3781" w:rsidRPr="00CE3781" w:rsidRDefault="00CE3781" w:rsidP="00CE3781">
      <w:pPr>
        <w:spacing w:after="0" w:line="240" w:lineRule="auto"/>
        <w:ind w:left="284"/>
        <w:jc w:val="both"/>
        <w:rPr>
          <w:rFonts w:ascii="Trebuchet MS" w:eastAsia="Times New Roman" w:hAnsi="Trebuchet MS" w:cs="Calibri"/>
          <w:kern w:val="0"/>
          <w:sz w:val="20"/>
          <w:szCs w:val="20"/>
          <w:lang w:val="lt-LT"/>
          <w14:ligatures w14:val="none"/>
        </w:rPr>
      </w:pPr>
      <w:r w:rsidRPr="00CE3781">
        <w:rPr>
          <w:rFonts w:ascii="Trebuchet MS" w:eastAsia="Times New Roman" w:hAnsi="Trebuchet MS" w:cs="Calibri"/>
          <w:kern w:val="0"/>
          <w:sz w:val="20"/>
          <w:szCs w:val="20"/>
          <w:lang w:val="lt-LT"/>
          <w14:ligatures w14:val="none"/>
        </w:rPr>
        <w:t>//Pildymo sąlygos:</w:t>
      </w:r>
    </w:p>
    <w:p w14:paraId="1F1CEF36" w14:textId="77777777" w:rsidR="00CE3781" w:rsidRPr="00CE3781" w:rsidRDefault="00CE3781" w:rsidP="00CE3781">
      <w:pPr>
        <w:numPr>
          <w:ilvl w:val="0"/>
          <w:numId w:val="1"/>
        </w:numPr>
        <w:spacing w:before="120" w:after="0" w:line="240" w:lineRule="auto"/>
        <w:jc w:val="both"/>
        <w:rPr>
          <w:rFonts w:ascii="Trebuchet MS" w:eastAsia="Times New Roman" w:hAnsi="Trebuchet MS" w:cs="Calibri"/>
          <w:kern w:val="0"/>
          <w:sz w:val="20"/>
          <w:szCs w:val="20"/>
          <w:lang w:val="lt-LT"/>
          <w14:ligatures w14:val="none"/>
        </w:rPr>
      </w:pPr>
      <w:r w:rsidRPr="00CE3781">
        <w:rPr>
          <w:rFonts w:ascii="Trebuchet MS" w:eastAsia="Times New Roman" w:hAnsi="Trebuchet MS" w:cs="Calibri"/>
          <w:kern w:val="0"/>
          <w:sz w:val="20"/>
          <w:szCs w:val="20"/>
          <w:lang w:val="lt-LT"/>
          <w14:ligatures w14:val="none"/>
        </w:rPr>
        <w:t>Lentelė pildoma tik tuo atveju, kai pasirenkama, jog netesybos bus skaičiuojamos už Darbų atlikimą etapais. Galima papildomai išskirti etapą, skirtą dokumentacijos sutvarkymui.</w:t>
      </w:r>
    </w:p>
    <w:p w14:paraId="3411B5FF" w14:textId="77777777" w:rsidR="00CE3781" w:rsidRPr="00CE3781" w:rsidRDefault="00CE3781" w:rsidP="00CE3781">
      <w:pPr>
        <w:numPr>
          <w:ilvl w:val="0"/>
          <w:numId w:val="1"/>
        </w:numPr>
        <w:spacing w:before="120" w:after="0" w:line="240" w:lineRule="auto"/>
        <w:jc w:val="both"/>
        <w:rPr>
          <w:rFonts w:ascii="Trebuchet MS" w:eastAsia="Times New Roman" w:hAnsi="Trebuchet MS" w:cs="Calibri"/>
          <w:color w:val="808080"/>
          <w:kern w:val="0"/>
          <w:sz w:val="20"/>
          <w:szCs w:val="20"/>
          <w:lang w:val="lt-LT"/>
          <w14:ligatures w14:val="none"/>
        </w:rPr>
      </w:pPr>
      <w:r w:rsidRPr="00CE3781">
        <w:rPr>
          <w:rFonts w:ascii="Trebuchet MS" w:eastAsia="Times New Roman" w:hAnsi="Trebuchet MS" w:cs="Arial"/>
          <w:color w:val="808080"/>
          <w:kern w:val="0"/>
          <w:sz w:val="20"/>
          <w:szCs w:val="20"/>
          <w:lang w:val="lt-LT"/>
          <w14:ligatures w14:val="none"/>
        </w:rPr>
        <w:t xml:space="preserve">Delspinigių dydis turėtų priklausyti nuo etapo svarbos ir kainos. Galima taikyti tiek procentinį dydį nuo nurodytos Sutarties kainos be PVM, tiek nuo konkretaus etapo kainos, tiek gali būti pasirenkamas fiksuotas delspinigių dydis už dieną </w:t>
      </w:r>
      <w:r w:rsidRPr="005626DD">
        <w:rPr>
          <w:rFonts w:ascii="Trebuchet MS" w:eastAsia="Times New Roman" w:hAnsi="Trebuchet MS" w:cs="Arial"/>
          <w:color w:val="808080"/>
          <w:kern w:val="0"/>
          <w:sz w:val="20"/>
          <w:szCs w:val="20"/>
          <w:lang w:val="lt-LT"/>
          <w14:ligatures w14:val="none"/>
        </w:rPr>
        <w:t xml:space="preserve">(pvz. </w:t>
      </w:r>
      <w:r w:rsidRPr="005626DD">
        <w:rPr>
          <w:rFonts w:ascii="Trebuchet MS" w:eastAsia="Times New Roman" w:hAnsi="Trebuchet MS" w:cs="Arial"/>
          <w:i/>
          <w:color w:val="808080"/>
          <w:kern w:val="0"/>
          <w:sz w:val="20"/>
          <w:szCs w:val="20"/>
          <w:lang w:val="lt-LT"/>
          <w14:ligatures w14:val="none"/>
        </w:rPr>
        <w:t>0,02 proc</w:t>
      </w:r>
      <w:r w:rsidRPr="00CE3781">
        <w:rPr>
          <w:rFonts w:ascii="Trebuchet MS" w:eastAsia="Times New Roman" w:hAnsi="Trebuchet MS" w:cs="Arial"/>
          <w:i/>
          <w:color w:val="808080"/>
          <w:kern w:val="0"/>
          <w:sz w:val="20"/>
          <w:szCs w:val="20"/>
          <w:lang w:val="lt-LT"/>
          <w14:ligatures w14:val="none"/>
        </w:rPr>
        <w:t>. nuo Sutarties kainos (be PVM), 0,02 proc. nuo Darbų etapo kainos arba 50 Eur</w:t>
      </w:r>
      <w:r w:rsidRPr="00CE3781">
        <w:rPr>
          <w:rFonts w:ascii="Trebuchet MS" w:eastAsia="Times New Roman" w:hAnsi="Trebuchet MS" w:cs="Arial"/>
          <w:color w:val="808080"/>
          <w:kern w:val="0"/>
          <w:sz w:val="20"/>
          <w:szCs w:val="20"/>
          <w:lang w:val="lt-LT"/>
          <w14:ligatures w14:val="none"/>
        </w:rPr>
        <w:t xml:space="preserve">). </w:t>
      </w:r>
    </w:p>
    <w:p w14:paraId="267FC723" w14:textId="77777777" w:rsidR="00CE3781" w:rsidRPr="00CE3781" w:rsidRDefault="00CE3781" w:rsidP="00CE3781">
      <w:pPr>
        <w:numPr>
          <w:ilvl w:val="0"/>
          <w:numId w:val="1"/>
        </w:numPr>
        <w:spacing w:before="120" w:after="0" w:line="240" w:lineRule="auto"/>
        <w:jc w:val="both"/>
        <w:rPr>
          <w:rFonts w:ascii="Trebuchet MS" w:eastAsia="Times New Roman" w:hAnsi="Trebuchet MS" w:cs="Calibri"/>
          <w:color w:val="808080"/>
          <w:kern w:val="0"/>
          <w:sz w:val="20"/>
          <w:szCs w:val="20"/>
          <w:lang w:val="lt-LT"/>
          <w14:ligatures w14:val="none"/>
        </w:rPr>
      </w:pPr>
      <w:r w:rsidRPr="00CE3781">
        <w:rPr>
          <w:rFonts w:ascii="Trebuchet MS" w:eastAsia="Times New Roman" w:hAnsi="Trebuchet MS" w:cs="Calibri"/>
          <w:color w:val="808080"/>
          <w:kern w:val="0"/>
          <w:sz w:val="20"/>
          <w:szCs w:val="20"/>
          <w:lang w:val="lt-LT"/>
          <w14:ligatures w14:val="none"/>
        </w:rPr>
        <w:t>Nustatant Sutartyje taikomą netesybų dydį, rekomenduojama įvertinti, kad netesybos atlieka minimalių nuostolių kompensavimo funkciją. Netesybos negali būti pagrindas vienai iš šalių praturtėti ar nubausti sutarties kontrahentą už netinkamą, nesąžiningą sutartinių įsipareigojimų vykdymą.</w:t>
      </w:r>
    </w:p>
    <w:p w14:paraId="0F0758D8" w14:textId="77777777" w:rsidR="00CE3781" w:rsidRPr="00CE3781" w:rsidRDefault="00CE3781" w:rsidP="00CE3781">
      <w:pPr>
        <w:numPr>
          <w:ilvl w:val="0"/>
          <w:numId w:val="1"/>
        </w:numPr>
        <w:spacing w:before="120" w:after="0" w:line="240" w:lineRule="auto"/>
        <w:jc w:val="both"/>
        <w:rPr>
          <w:rFonts w:ascii="Trebuchet MS" w:eastAsia="Times New Roman" w:hAnsi="Trebuchet MS" w:cs="Calibri"/>
          <w:color w:val="808080"/>
          <w:kern w:val="0"/>
          <w:sz w:val="20"/>
          <w:szCs w:val="20"/>
          <w:lang w:val="lt-LT"/>
          <w14:ligatures w14:val="none"/>
        </w:rPr>
      </w:pPr>
      <w:r w:rsidRPr="00CE3781">
        <w:rPr>
          <w:rFonts w:ascii="Trebuchet MS" w:eastAsia="Times New Roman" w:hAnsi="Trebuchet MS" w:cs="Calibri"/>
          <w:color w:val="808080"/>
          <w:kern w:val="0"/>
          <w:sz w:val="20"/>
          <w:szCs w:val="20"/>
          <w:lang w:val="lt-LT"/>
          <w14:ligatures w14:val="none"/>
        </w:rPr>
        <w:t>Jei Sutarties įsipareigojimų vykdymas tiesiogiai susijęs su kitose Užsakovo sutartyse nustatytais įsipareigojimais, Sutartyje nustatomas netesybų dydis turi būti ne mažesnis nei kitoje Užsakovo sutartyje nurodytas Užsakovui taikomas netesybų dydis.</w:t>
      </w:r>
    </w:p>
    <w:p w14:paraId="27E802C1" w14:textId="77777777" w:rsidR="00CE3781" w:rsidRPr="00CE3781" w:rsidRDefault="00CE3781" w:rsidP="00CE3781">
      <w:pPr>
        <w:numPr>
          <w:ilvl w:val="0"/>
          <w:numId w:val="1"/>
        </w:numPr>
        <w:spacing w:before="120" w:after="0" w:line="240" w:lineRule="auto"/>
        <w:jc w:val="both"/>
        <w:rPr>
          <w:rFonts w:ascii="Trebuchet MS" w:eastAsia="Times New Roman" w:hAnsi="Trebuchet MS" w:cs="Calibri"/>
          <w:kern w:val="0"/>
          <w:sz w:val="20"/>
          <w:szCs w:val="20"/>
          <w:lang w:val="lt-LT"/>
          <w14:ligatures w14:val="none"/>
        </w:rPr>
      </w:pPr>
      <w:r w:rsidRPr="00CE3781">
        <w:rPr>
          <w:rFonts w:ascii="Trebuchet MS" w:eastAsia="Times New Roman" w:hAnsi="Trebuchet MS" w:cs="Arial"/>
          <w:color w:val="808080"/>
          <w:kern w:val="0"/>
          <w:sz w:val="20"/>
          <w:szCs w:val="20"/>
          <w:lang w:val="lt-LT"/>
          <w14:ligatures w14:val="none"/>
        </w:rPr>
        <w:lastRenderedPageBreak/>
        <w:t>Mokėtinos sumos stulpelis įrašomas tik tuo atveju, kai tarpiniai mokėjimai atliekami ne pagal Darbų žiniaraštį.</w:t>
      </w:r>
    </w:p>
    <w:p w14:paraId="30F15306" w14:textId="77777777" w:rsidR="00790187" w:rsidRPr="00CE3781" w:rsidRDefault="00790187">
      <w:pPr>
        <w:rPr>
          <w:lang w:val="lt-LT"/>
        </w:rPr>
      </w:pPr>
    </w:p>
    <w:sectPr w:rsidR="00790187" w:rsidRPr="00CE3781" w:rsidSect="006F44BA">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013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A19"/>
    <w:rsid w:val="0002752C"/>
    <w:rsid w:val="000A7A19"/>
    <w:rsid w:val="00127837"/>
    <w:rsid w:val="00187C35"/>
    <w:rsid w:val="001E5ACA"/>
    <w:rsid w:val="00256030"/>
    <w:rsid w:val="002C533E"/>
    <w:rsid w:val="002C6C8D"/>
    <w:rsid w:val="002D1356"/>
    <w:rsid w:val="00314269"/>
    <w:rsid w:val="00345F25"/>
    <w:rsid w:val="003852AC"/>
    <w:rsid w:val="003D14D5"/>
    <w:rsid w:val="003D331A"/>
    <w:rsid w:val="005626DD"/>
    <w:rsid w:val="00573825"/>
    <w:rsid w:val="005A3873"/>
    <w:rsid w:val="00614741"/>
    <w:rsid w:val="006F44BA"/>
    <w:rsid w:val="00710F16"/>
    <w:rsid w:val="007111EA"/>
    <w:rsid w:val="007317C5"/>
    <w:rsid w:val="00790187"/>
    <w:rsid w:val="007E376C"/>
    <w:rsid w:val="00887DE2"/>
    <w:rsid w:val="008E3A74"/>
    <w:rsid w:val="008F221F"/>
    <w:rsid w:val="009D72BE"/>
    <w:rsid w:val="00A03A70"/>
    <w:rsid w:val="00CB6681"/>
    <w:rsid w:val="00CE3781"/>
    <w:rsid w:val="00D55E5E"/>
    <w:rsid w:val="00DE152B"/>
    <w:rsid w:val="00E0097F"/>
    <w:rsid w:val="00E5128C"/>
    <w:rsid w:val="00E5781A"/>
    <w:rsid w:val="00EC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28A5"/>
  <w15:chartTrackingRefBased/>
  <w15:docId w15:val="{C857EBF5-691B-4D23-80D2-82A72266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A7A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A7A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A7A1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A7A1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A7A1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A7A1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7A1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A7A1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7A1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A7A1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A7A1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A7A1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A7A1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A7A1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A7A1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A7A1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A7A1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A7A1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A7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7A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7A1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7A1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A7A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A7A19"/>
    <w:rPr>
      <w:i/>
      <w:iCs/>
      <w:color w:val="404040" w:themeColor="text1" w:themeTint="BF"/>
    </w:rPr>
  </w:style>
  <w:style w:type="paragraph" w:styleId="Sraopastraipa">
    <w:name w:val="List Paragraph"/>
    <w:basedOn w:val="prastasis"/>
    <w:uiPriority w:val="34"/>
    <w:qFormat/>
    <w:rsid w:val="000A7A19"/>
    <w:pPr>
      <w:ind w:left="720"/>
      <w:contextualSpacing/>
    </w:pPr>
  </w:style>
  <w:style w:type="character" w:styleId="Rykuspabraukimas">
    <w:name w:val="Intense Emphasis"/>
    <w:basedOn w:val="Numatytasispastraiposriftas"/>
    <w:uiPriority w:val="21"/>
    <w:qFormat/>
    <w:rsid w:val="000A7A19"/>
    <w:rPr>
      <w:i/>
      <w:iCs/>
      <w:color w:val="2F5496" w:themeColor="accent1" w:themeShade="BF"/>
    </w:rPr>
  </w:style>
  <w:style w:type="paragraph" w:styleId="Iskirtacitata">
    <w:name w:val="Intense Quote"/>
    <w:basedOn w:val="prastasis"/>
    <w:next w:val="prastasis"/>
    <w:link w:val="IskirtacitataDiagrama"/>
    <w:uiPriority w:val="30"/>
    <w:qFormat/>
    <w:rsid w:val="000A7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A7A19"/>
    <w:rPr>
      <w:i/>
      <w:iCs/>
      <w:color w:val="2F5496" w:themeColor="accent1" w:themeShade="BF"/>
    </w:rPr>
  </w:style>
  <w:style w:type="character" w:styleId="Rykinuoroda">
    <w:name w:val="Intense Reference"/>
    <w:basedOn w:val="Numatytasispastraiposriftas"/>
    <w:uiPriority w:val="32"/>
    <w:qFormat/>
    <w:rsid w:val="000A7A19"/>
    <w:rPr>
      <w:b/>
      <w:bCs/>
      <w:smallCaps/>
      <w:color w:val="2F5496" w:themeColor="accent1" w:themeShade="BF"/>
      <w:spacing w:val="5"/>
    </w:rPr>
  </w:style>
  <w:style w:type="table" w:styleId="Lentelstinklelis">
    <w:name w:val="Table Grid"/>
    <w:basedOn w:val="prastojilentel"/>
    <w:uiPriority w:val="99"/>
    <w:rsid w:val="00CE3781"/>
    <w:pPr>
      <w:spacing w:after="0" w:line="240" w:lineRule="auto"/>
    </w:pPr>
    <w:rPr>
      <w:rFonts w:ascii="Calibri" w:eastAsia="Calibri"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Tuinylaitė</dc:creator>
  <cp:keywords/>
  <dc:description/>
  <cp:lastModifiedBy>Ugnė Tuinylaitė</cp:lastModifiedBy>
  <cp:revision>25</cp:revision>
  <dcterms:created xsi:type="dcterms:W3CDTF">2025-05-27T05:21:00Z</dcterms:created>
  <dcterms:modified xsi:type="dcterms:W3CDTF">2025-07-17T11:34:00Z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2025-05-27T05:21:10Z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e25bb11d-81d5-463f-b853-26e815e28d97</vt:lpwstr>
  </property>
  <property fmtid="{D5CDD505-2E9C-101B-9397-08002B2CF9AE}" pid="8" name="MSIP_Label_7058e6ed-1f62-4b3b-a413-1541f2aa482f_ContentBits">
    <vt:lpwstr>0</vt:lpwstr>
  </property>
  <property fmtid="{D5CDD505-2E9C-101B-9397-08002B2CF9AE}" pid="9" name="MSIP_Label_7058e6ed-1f62-4b3b-a413-1541f2aa482f_Tag">
    <vt:lpwstr>10, 0, 1, 1</vt:lpwstr>
  </property>
</Properties>
</file>