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AB" w:rsidRPr="005556BE" w:rsidRDefault="00340CAB" w:rsidP="00340CAB">
      <w:pPr>
        <w:ind w:left="6096"/>
        <w:contextualSpacing/>
        <w:rPr>
          <w:lang w:val="lt-LT"/>
        </w:rPr>
      </w:pPr>
      <w:r w:rsidRPr="005556BE">
        <w:rPr>
          <w:lang w:val="lt-LT"/>
        </w:rPr>
        <w:t xml:space="preserve">2021 m. </w:t>
      </w:r>
      <w:r w:rsidR="00DD6BF0">
        <w:rPr>
          <w:lang w:val="lt-LT"/>
        </w:rPr>
        <w:t>liepos 16</w:t>
      </w:r>
      <w:r w:rsidRPr="005556BE">
        <w:rPr>
          <w:lang w:val="lt-LT"/>
        </w:rPr>
        <w:t xml:space="preserve"> d.</w:t>
      </w:r>
    </w:p>
    <w:p w:rsidR="00340CAB" w:rsidRPr="005556BE" w:rsidRDefault="00340CAB" w:rsidP="00340CAB">
      <w:pPr>
        <w:ind w:left="6096"/>
        <w:contextualSpacing/>
        <w:rPr>
          <w:lang w:val="lt-LT"/>
        </w:rPr>
      </w:pPr>
      <w:r>
        <w:rPr>
          <w:bCs/>
          <w:lang w:val="lt-LT"/>
        </w:rPr>
        <w:t xml:space="preserve">Preliminariosios sutarties </w:t>
      </w:r>
      <w:r w:rsidR="00D95C66">
        <w:rPr>
          <w:bCs/>
          <w:lang w:val="lt-LT"/>
        </w:rPr>
        <w:t>Nr.</w:t>
      </w:r>
      <w:r w:rsidR="00DD6BF0">
        <w:rPr>
          <w:bCs/>
          <w:lang w:val="lt-LT"/>
        </w:rPr>
        <w:t xml:space="preserve"> 15R-176</w:t>
      </w:r>
    </w:p>
    <w:p w:rsidR="00340CAB" w:rsidRPr="005556BE" w:rsidRDefault="00340CAB" w:rsidP="00340CAB">
      <w:pPr>
        <w:ind w:left="6096"/>
        <w:rPr>
          <w:lang w:val="lt-LT"/>
        </w:rPr>
      </w:pPr>
      <w:bookmarkStart w:id="0" w:name="_GoBack"/>
      <w:bookmarkEnd w:id="0"/>
      <w:r>
        <w:rPr>
          <w:lang w:val="lt-LT"/>
        </w:rPr>
        <w:t xml:space="preserve">1 </w:t>
      </w:r>
      <w:r w:rsidRPr="005556BE">
        <w:rPr>
          <w:lang w:val="lt-LT"/>
        </w:rPr>
        <w:t>priedas</w:t>
      </w:r>
    </w:p>
    <w:p w:rsidR="00340CAB" w:rsidRDefault="00340CAB" w:rsidP="00340CAB">
      <w:pPr>
        <w:ind w:firstLine="426"/>
        <w:jc w:val="center"/>
        <w:rPr>
          <w:b/>
          <w:lang w:val="lt-LT"/>
        </w:rPr>
      </w:pPr>
    </w:p>
    <w:p w:rsidR="00340CAB" w:rsidRDefault="00340CAB" w:rsidP="00340CAB">
      <w:pPr>
        <w:jc w:val="center"/>
        <w:rPr>
          <w:b/>
          <w:lang w:val="lt-LT"/>
        </w:rPr>
      </w:pPr>
    </w:p>
    <w:p w:rsidR="00340CAB" w:rsidRDefault="00340CAB" w:rsidP="00340CAB">
      <w:pPr>
        <w:jc w:val="center"/>
        <w:rPr>
          <w:b/>
          <w:lang w:val="lt-LT"/>
        </w:rPr>
      </w:pPr>
      <w:r>
        <w:rPr>
          <w:b/>
          <w:lang w:val="lt-LT"/>
        </w:rPr>
        <w:t>TECHNINĖ SPECIFIKACIJA</w:t>
      </w:r>
    </w:p>
    <w:p w:rsidR="00E2553B" w:rsidRDefault="00E2553B"/>
    <w:p w:rsidR="00340CAB" w:rsidRPr="00340CAB" w:rsidRDefault="00340CAB" w:rsidP="00430F22">
      <w:pPr>
        <w:tabs>
          <w:tab w:val="left" w:pos="567"/>
        </w:tabs>
        <w:ind w:firstLine="709"/>
        <w:jc w:val="both"/>
        <w:rPr>
          <w:rFonts w:eastAsia="Calibri"/>
          <w:lang w:val="lt-LT"/>
        </w:rPr>
      </w:pPr>
      <w:r w:rsidRPr="00340CAB">
        <w:rPr>
          <w:rFonts w:eastAsia="Calibri"/>
          <w:lang w:val="lt-LT"/>
        </w:rPr>
        <w:t>Pirkimo objektas</w:t>
      </w:r>
      <w:r w:rsidRPr="00340CAB">
        <w:rPr>
          <w:rFonts w:eastAsia="Calibri"/>
          <w:b/>
          <w:lang w:val="lt-LT"/>
        </w:rPr>
        <w:t xml:space="preserve"> </w:t>
      </w:r>
      <w:r w:rsidRPr="00340CAB">
        <w:rPr>
          <w:rFonts w:eastAsia="Calibri"/>
          <w:lang w:val="lt-LT"/>
        </w:rPr>
        <w:t xml:space="preserve">– Lietuvos viešojo saugumo ir pagalbos tarnybų skaitmeninio mobiliojo radijo ryšio tinklo (toliau – SMRRT) naujos įrangos talpinimo paslauga. SMRRT naujos įrangos talpinimo paslauga susideda iš SMRRT komponentų komplektų talpinimo objekte, nurodytų techninės specifikacijos priede „Talpinamų SMRRT komponentų komplektų sąrašas“, ir techninėje specifikacijoje nurodytų sąlygų įgyvendinimo. </w:t>
      </w:r>
    </w:p>
    <w:p w:rsidR="00340CAB" w:rsidRPr="00340CAB" w:rsidRDefault="00340CAB" w:rsidP="00430F22">
      <w:pPr>
        <w:tabs>
          <w:tab w:val="left" w:pos="567"/>
        </w:tabs>
        <w:ind w:firstLine="709"/>
        <w:jc w:val="both"/>
        <w:rPr>
          <w:rFonts w:eastAsia="Calibri"/>
          <w:lang w:val="lt-LT"/>
        </w:rPr>
      </w:pPr>
      <w:r w:rsidRPr="00340CAB">
        <w:rPr>
          <w:rFonts w:eastAsia="Calibri"/>
          <w:iCs/>
          <w:lang w:val="lt-LT"/>
        </w:rPr>
        <w:t>Kadangi perkančioji organizacija valdo ypatingos svarbos informacinę infrastruktūrą, vadovaujantis Viešųjų pirkimų įstatymo 37 str. 2 d., siūlomos paslaugos neturi kelti grėsmės nacionaliniam saugumui.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bus atmestas.</w:t>
      </w:r>
    </w:p>
    <w:p w:rsidR="00340CAB" w:rsidRPr="00340CAB" w:rsidRDefault="00BE2CEB" w:rsidP="00BE2CEB">
      <w:pPr>
        <w:ind w:firstLine="709"/>
        <w:jc w:val="both"/>
        <w:rPr>
          <w:rFonts w:eastAsia="Calibri"/>
          <w:lang w:val="lt-LT"/>
        </w:rPr>
      </w:pPr>
      <w:r>
        <w:rPr>
          <w:rFonts w:eastAsia="Calibri"/>
          <w:lang w:val="lt-LT"/>
        </w:rPr>
        <w:t xml:space="preserve">Pirkimo objektas - </w:t>
      </w:r>
      <w:r w:rsidR="00340CAB" w:rsidRPr="00340CAB">
        <w:rPr>
          <w:rFonts w:eastAsia="Calibri"/>
          <w:lang w:val="lt-LT"/>
        </w:rPr>
        <w:t>2 pirkimo objekto dalis. SMRRT komponentų komplektų talpinimo vieta</w:t>
      </w:r>
      <w:r w:rsidR="00340CAB" w:rsidRPr="00340CAB">
        <w:rPr>
          <w:rFonts w:eastAsia="Calibri"/>
          <w:bCs/>
          <w:iCs/>
          <w:lang w:val="lt-LT"/>
        </w:rPr>
        <w:t xml:space="preserve"> – Platelių mstl. Plungės r.</w:t>
      </w:r>
      <w:r w:rsidR="00340CAB" w:rsidRPr="00340CAB">
        <w:rPr>
          <w:rFonts w:eastAsia="Calibri"/>
          <w:iCs/>
          <w:lang w:val="lt-LT"/>
        </w:rPr>
        <w:t xml:space="preserve"> arba </w:t>
      </w:r>
      <w:r w:rsidR="00340CAB" w:rsidRPr="00340CAB">
        <w:rPr>
          <w:rFonts w:eastAsia="Calibri"/>
          <w:lang w:val="lt-LT"/>
        </w:rPr>
        <w:t xml:space="preserve">jo apylinkių teritorijoje, bet ne toliau kaip 6 km nuo jo centro su koordinatėmis </w:t>
      </w:r>
      <w:r w:rsidR="00340CAB" w:rsidRPr="00340CAB">
        <w:rPr>
          <w:rFonts w:eastAsia="Calibri"/>
          <w:color w:val="000000"/>
          <w:shd w:val="clear" w:color="auto" w:fill="FFFFFF"/>
          <w:lang w:val="lt-LT"/>
        </w:rPr>
        <w:t>56.043018, 21.816003 (WGS)</w:t>
      </w:r>
      <w:r>
        <w:rPr>
          <w:rFonts w:eastAsia="Calibri"/>
          <w:lang w:val="lt-LT"/>
        </w:rPr>
        <w:t>.</w:t>
      </w:r>
    </w:p>
    <w:p w:rsidR="00340CAB" w:rsidRPr="00340CAB" w:rsidRDefault="00340CAB" w:rsidP="00430F22">
      <w:pPr>
        <w:jc w:val="both"/>
        <w:rPr>
          <w:lang w:val="lt-LT" w:eastAsia="lt-LT"/>
        </w:rPr>
      </w:pPr>
    </w:p>
    <w:p w:rsidR="00340CAB" w:rsidRPr="00340CAB" w:rsidRDefault="00340CAB" w:rsidP="00430F22">
      <w:pPr>
        <w:tabs>
          <w:tab w:val="left" w:pos="993"/>
          <w:tab w:val="left" w:pos="1560"/>
          <w:tab w:val="left" w:pos="1843"/>
        </w:tabs>
        <w:ind w:left="927" w:hanging="218"/>
        <w:contextualSpacing/>
        <w:jc w:val="both"/>
        <w:rPr>
          <w:lang w:val="lt-LT" w:eastAsia="lt-LT"/>
        </w:rPr>
      </w:pPr>
      <w:r w:rsidRPr="00340CAB">
        <w:rPr>
          <w:lang w:val="lt-LT" w:eastAsia="lt-LT"/>
        </w:rPr>
        <w:t>Reikalavimai  tiekėjo  teikiamoms  paslaugoms  (tiekėjo įsipareigojimai):</w:t>
      </w:r>
    </w:p>
    <w:p w:rsidR="00340CAB" w:rsidRPr="00340CAB" w:rsidRDefault="00340CAB" w:rsidP="00340CAB">
      <w:pPr>
        <w:tabs>
          <w:tab w:val="left" w:pos="993"/>
          <w:tab w:val="left" w:pos="1560"/>
          <w:tab w:val="left" w:pos="1843"/>
        </w:tabs>
        <w:ind w:firstLine="567"/>
        <w:rPr>
          <w:lang w:val="lt-LT" w:eastAsia="lt-LT"/>
        </w:rPr>
      </w:pPr>
    </w:p>
    <w:tbl>
      <w:tblPr>
        <w:tblStyle w:val="Lentelstinklelis1"/>
        <w:tblW w:w="10207" w:type="dxa"/>
        <w:tblInd w:w="-289" w:type="dxa"/>
        <w:tblLayout w:type="fixed"/>
        <w:tblLook w:val="04A0" w:firstRow="1" w:lastRow="0" w:firstColumn="1" w:lastColumn="0" w:noHBand="0" w:noVBand="1"/>
      </w:tblPr>
      <w:tblGrid>
        <w:gridCol w:w="993"/>
        <w:gridCol w:w="9214"/>
      </w:tblGrid>
      <w:tr w:rsidR="00340CAB" w:rsidRPr="00340CAB" w:rsidTr="00430F22">
        <w:tc>
          <w:tcPr>
            <w:tcW w:w="993"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Eil. Nr.</w:t>
            </w:r>
          </w:p>
        </w:tc>
        <w:tc>
          <w:tcPr>
            <w:tcW w:w="9214"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Reikalavimas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1.</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2.</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kad visą sutarties laikotarpį Teikėjas neblogins SMRRT</w:t>
            </w:r>
            <w:r w:rsidRPr="00340CAB" w:rsidDel="00067D8D">
              <w:rPr>
                <w:lang w:val="lt-LT" w:eastAsia="lt-LT"/>
              </w:rPr>
              <w:t xml:space="preserve"> </w:t>
            </w:r>
            <w:r w:rsidRPr="00340CAB">
              <w:rPr>
                <w:lang w:val="lt-LT" w:eastAsia="lt-LT"/>
              </w:rPr>
              <w:t>įrangos eksploatavimo sąlygų (nekeis komponentų komplektų montavimo aukščio, antenų krypties nesuderinus su Perkančiąja organizacija, nesudarys kitų kliūčių SMRRT</w:t>
            </w:r>
            <w:r w:rsidRPr="00340CAB" w:rsidDel="00067D8D">
              <w:rPr>
                <w:lang w:val="lt-LT" w:eastAsia="lt-LT"/>
              </w:rPr>
              <w:t xml:space="preserve"> </w:t>
            </w:r>
            <w:r w:rsidRPr="00340CAB">
              <w:rPr>
                <w:lang w:val="lt-LT" w:eastAsia="lt-LT"/>
              </w:rPr>
              <w:t>komponentams eksploatuoti).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3.</w:t>
            </w:r>
          </w:p>
        </w:tc>
        <w:tc>
          <w:tcPr>
            <w:tcW w:w="9214" w:type="dxa"/>
          </w:tcPr>
          <w:p w:rsidR="00340CAB" w:rsidRPr="00340CAB" w:rsidRDefault="00340CAB" w:rsidP="00BE415E">
            <w:pPr>
              <w:tabs>
                <w:tab w:val="left" w:pos="993"/>
              </w:tabs>
              <w:jc w:val="both"/>
              <w:rPr>
                <w:lang w:val="lt-LT" w:eastAsia="x-none"/>
              </w:rPr>
            </w:pPr>
            <w:r w:rsidRPr="00340CAB">
              <w:rPr>
                <w:lang w:val="lt-LT" w:eastAsia="x-none"/>
              </w:rPr>
              <w:t>Užtikrinti, kad SMRRT įranga bus aprūpinama elektros energija, kurios patikimumo kategorija ne žemesnė kaip 3-ia.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4.</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iš anksto, bet ne vėliau kaip prieš 15 (penkiolika) dienų Perkančiosios organizacijos informavimą apie planuojamus Tiekėjo infrastruktūros objektų remonto darbus, galinčius trukdyti perkančiajai organizacijai naudotis SMRRT</w:t>
            </w:r>
            <w:r w:rsidRPr="00340CAB" w:rsidDel="00067D8D">
              <w:rPr>
                <w:lang w:val="lt-LT" w:eastAsia="lt-LT"/>
              </w:rPr>
              <w:t xml:space="preserve"> </w:t>
            </w:r>
            <w:r w:rsidRPr="00340CAB">
              <w:rPr>
                <w:lang w:val="lt-LT" w:eastAsia="lt-LT"/>
              </w:rPr>
              <w:t>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5.</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Nustačius incidentą, avariją arba tikėtiną galimybę jiems įvykti vietoje, kur patalpinta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6.</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Neatlygintinai ir netrukdomai užtikrinti Perkančiosios organizacijos atstovų ir trečiųjų asmenų, su kuriais perkančioji organizacija yra sudariusi sutartis dėl SMRRT</w:t>
            </w:r>
            <w:r w:rsidRPr="00340CAB" w:rsidDel="00067D8D">
              <w:rPr>
                <w:lang w:val="lt-LT" w:eastAsia="lt-LT"/>
              </w:rPr>
              <w:t xml:space="preserve"> </w:t>
            </w:r>
            <w:r w:rsidRPr="00340CAB">
              <w:rPr>
                <w:lang w:val="lt-LT" w:eastAsia="lt-LT"/>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7.</w:t>
            </w:r>
          </w:p>
        </w:tc>
        <w:tc>
          <w:tcPr>
            <w:tcW w:w="9214" w:type="dxa"/>
          </w:tcPr>
          <w:p w:rsidR="00340CAB" w:rsidRPr="00340CAB" w:rsidRDefault="00340CAB" w:rsidP="00BE415E">
            <w:pPr>
              <w:tabs>
                <w:tab w:val="left" w:pos="630"/>
              </w:tabs>
              <w:jc w:val="both"/>
              <w:rPr>
                <w:lang w:val="lt-LT" w:eastAsia="lt-LT"/>
              </w:rPr>
            </w:pPr>
            <w:r w:rsidRPr="00340CAB">
              <w:rPr>
                <w:lang w:val="lt-LT" w:eastAsia="lt-LT"/>
              </w:rPr>
              <w:t xml:space="preserve">Dėl Tiekėjo arba tiekėjo interesais veikiančių trečiųjų asmenų kaltės visiškai (nepataisomai) sugadinus, sunaikinus ar praradus objekte patalpintą ir naudojamą SMRRT įrangą, teisės aktų </w:t>
            </w:r>
            <w:r w:rsidRPr="00340CAB">
              <w:rPr>
                <w:lang w:val="lt-LT" w:eastAsia="lt-LT"/>
              </w:rPr>
              <w:lastRenderedPageBreak/>
              <w:t>nustatyta tvarka atlyginti Perkančiajai organizacijai sugadintos, sunaikintos ar prarastos SMRRT įrangos likutinę vertę, o jeigu sugadintą SMRRT</w:t>
            </w:r>
            <w:r w:rsidRPr="00340CAB" w:rsidDel="00067D8D">
              <w:rPr>
                <w:lang w:val="lt-LT" w:eastAsia="lt-LT"/>
              </w:rPr>
              <w:t xml:space="preserve"> </w:t>
            </w:r>
            <w:r w:rsidRPr="00340CAB">
              <w:rPr>
                <w:lang w:val="lt-LT" w:eastAsia="lt-LT"/>
              </w:rPr>
              <w:t>įrangą įmanoma suremontuoti – atlyginti Perkančiajai organizacijai visas protingas su sugadintos SMRRT įrangos remontu susijusias išlaidas.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lastRenderedPageBreak/>
              <w:t>8.</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Bendradarbiauti ir tarpininkauti Perkančiajai organizacijai vykdant veiklą, susijusią su leidimų, sutikimų suderinimų ar kitos formos dokumentų gavimu SMRRT įrangos veiklai užtikrinti.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 xml:space="preserve">9. </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rPr>
              <w:t>Paslaugų teikėjas, visą sutarties galiojimo laikotarpį, privalo užtikrinti teikiamų paslaugų atitiktį organizaciniams ir techniniams kibernetinio saugumo reikalavimams.</w:t>
            </w:r>
          </w:p>
        </w:tc>
      </w:tr>
    </w:tbl>
    <w:p w:rsidR="00340CAB" w:rsidRDefault="00340CAB"/>
    <w:p w:rsidR="00340CAB" w:rsidRDefault="00430F22" w:rsidP="000A4B27">
      <w:pPr>
        <w:jc w:val="both"/>
        <w:rPr>
          <w:bCs/>
          <w:lang w:val="lt-LT"/>
        </w:rPr>
      </w:pPr>
      <w:r w:rsidRPr="00430F22">
        <w:rPr>
          <w:lang w:val="lt-LT"/>
        </w:rPr>
        <w:t xml:space="preserve">PRIDEDAMA. Preliminariosios sutarties techninės specifikacijos </w:t>
      </w:r>
      <w:r>
        <w:rPr>
          <w:bCs/>
          <w:lang w:val="lt-LT"/>
        </w:rPr>
        <w:t>talpinamų SMRRT</w:t>
      </w:r>
      <w:r w:rsidRPr="00430F22">
        <w:rPr>
          <w:bCs/>
          <w:lang w:val="lt-LT"/>
        </w:rPr>
        <w:t xml:space="preserve"> komponentų komplektų sąrašas</w:t>
      </w:r>
      <w:r w:rsidR="000B5CFF">
        <w:rPr>
          <w:bCs/>
          <w:lang w:val="lt-LT"/>
        </w:rPr>
        <w:t>, 2 lapai</w:t>
      </w:r>
      <w:r>
        <w:rPr>
          <w:bCs/>
          <w:lang w:val="lt-LT"/>
        </w:rPr>
        <w:t>.</w:t>
      </w:r>
    </w:p>
    <w:p w:rsidR="00430F22" w:rsidRDefault="00430F22" w:rsidP="000A4B27">
      <w:pPr>
        <w:jc w:val="both"/>
        <w:rPr>
          <w:bCs/>
          <w:lang w:val="lt-LT"/>
        </w:rPr>
      </w:pPr>
    </w:p>
    <w:tbl>
      <w:tblPr>
        <w:tblpPr w:leftFromText="180" w:rightFromText="180" w:bottomFromText="160" w:vertAnchor="text" w:horzAnchor="margin" w:tblpY="18"/>
        <w:tblW w:w="10035" w:type="dxa"/>
        <w:tblLook w:val="04A0" w:firstRow="1" w:lastRow="0" w:firstColumn="1" w:lastColumn="0" w:noHBand="0" w:noVBand="1"/>
      </w:tblPr>
      <w:tblGrid>
        <w:gridCol w:w="5162"/>
        <w:gridCol w:w="4873"/>
      </w:tblGrid>
      <w:tr w:rsidR="00430F22" w:rsidTr="00430F22">
        <w:trPr>
          <w:trHeight w:val="2601"/>
        </w:trPr>
        <w:tc>
          <w:tcPr>
            <w:tcW w:w="5162" w:type="dxa"/>
          </w:tcPr>
          <w:p w:rsidR="00430F22" w:rsidRPr="00136B98" w:rsidRDefault="00430F22" w:rsidP="000A4B27">
            <w:pPr>
              <w:tabs>
                <w:tab w:val="left" w:pos="720"/>
                <w:tab w:val="left" w:pos="1008"/>
                <w:tab w:val="left" w:pos="9630"/>
              </w:tabs>
              <w:rPr>
                <w:b/>
                <w:lang w:val="lt-LT"/>
              </w:rPr>
            </w:pPr>
            <w:r w:rsidRPr="00136B98">
              <w:rPr>
                <w:b/>
                <w:lang w:val="lt-LT"/>
              </w:rPr>
              <w:t>UŽSAKOVAS</w:t>
            </w:r>
          </w:p>
          <w:p w:rsidR="00430F22" w:rsidRDefault="00430F22" w:rsidP="000A4B27">
            <w:pPr>
              <w:ind w:left="420" w:hanging="420"/>
              <w:contextualSpacing/>
              <w:jc w:val="both"/>
              <w:rPr>
                <w:rFonts w:eastAsiaTheme="minorHAnsi"/>
                <w:b/>
                <w:lang w:val="lt-LT" w:bidi="en-US"/>
              </w:rPr>
            </w:pPr>
          </w:p>
          <w:p w:rsidR="00430F22" w:rsidRPr="00136B98" w:rsidRDefault="00430F22" w:rsidP="000A4B27">
            <w:pPr>
              <w:rPr>
                <w:b/>
                <w:bCs/>
                <w:lang w:val="lt-LT"/>
              </w:rPr>
            </w:pPr>
            <w:r w:rsidRPr="00136B98">
              <w:rPr>
                <w:b/>
                <w:bCs/>
                <w:lang w:val="lt-LT"/>
              </w:rPr>
              <w:t xml:space="preserve">Informatikos ir ryšių departamentas </w:t>
            </w:r>
          </w:p>
          <w:p w:rsidR="00430F22" w:rsidRPr="00136B98" w:rsidRDefault="00430F22" w:rsidP="000A4B27">
            <w:pPr>
              <w:rPr>
                <w:b/>
                <w:bCs/>
                <w:lang w:val="lt-LT"/>
              </w:rPr>
            </w:pPr>
            <w:r w:rsidRPr="00136B98">
              <w:rPr>
                <w:b/>
                <w:bCs/>
                <w:lang w:val="lt-LT"/>
              </w:rPr>
              <w:t xml:space="preserve">prie Lietuvos Respublikos vidaus </w:t>
            </w:r>
          </w:p>
          <w:p w:rsidR="00430F22" w:rsidRPr="00136B98" w:rsidRDefault="00430F22" w:rsidP="000A4B27">
            <w:pPr>
              <w:rPr>
                <w:b/>
                <w:bCs/>
                <w:lang w:val="lt-LT"/>
              </w:rPr>
            </w:pPr>
            <w:r w:rsidRPr="00136B98">
              <w:rPr>
                <w:b/>
                <w:bCs/>
                <w:lang w:val="lt-LT"/>
              </w:rPr>
              <w:t>reikalų ministerijos</w:t>
            </w:r>
          </w:p>
          <w:p w:rsidR="00430F22" w:rsidRDefault="00430F22" w:rsidP="000A4B27">
            <w:pPr>
              <w:ind w:left="420" w:hanging="386"/>
              <w:contextualSpacing/>
              <w:jc w:val="both"/>
              <w:rPr>
                <w:rFonts w:eastAsiaTheme="minorHAnsi"/>
                <w:lang w:val="lt-LT" w:bidi="en-US"/>
              </w:rPr>
            </w:pPr>
          </w:p>
          <w:p w:rsidR="000A4B27" w:rsidRDefault="000A4B27" w:rsidP="000A4B27">
            <w:pPr>
              <w:ind w:left="420" w:hanging="386"/>
              <w:contextualSpacing/>
              <w:jc w:val="both"/>
              <w:rPr>
                <w:rFonts w:eastAsiaTheme="minorHAnsi"/>
                <w:lang w:val="lt-LT" w:bidi="en-US"/>
              </w:rPr>
            </w:pPr>
          </w:p>
          <w:p w:rsidR="00430F22" w:rsidRDefault="00430F22" w:rsidP="000A4B27">
            <w:pPr>
              <w:rPr>
                <w:lang w:val="lt-LT"/>
              </w:rPr>
            </w:pPr>
            <w:r>
              <w:rPr>
                <w:lang w:val="lt-LT"/>
              </w:rPr>
              <w:t xml:space="preserve">Direktorius </w:t>
            </w:r>
          </w:p>
          <w:p w:rsidR="00430F22" w:rsidRDefault="00430F22" w:rsidP="000A4B27">
            <w:pPr>
              <w:rPr>
                <w:lang w:val="lt-LT"/>
              </w:rPr>
            </w:pPr>
          </w:p>
          <w:p w:rsidR="00430F22" w:rsidRDefault="00430F22" w:rsidP="000A4B27">
            <w:pPr>
              <w:jc w:val="center"/>
              <w:rPr>
                <w:lang w:val="lt-LT"/>
              </w:rPr>
            </w:pPr>
            <w:r>
              <w:rPr>
                <w:lang w:val="lt-LT"/>
              </w:rPr>
              <w:t xml:space="preserve">                               A. V.</w:t>
            </w:r>
          </w:p>
          <w:p w:rsidR="00430F22" w:rsidRDefault="00430F22" w:rsidP="000A4B27">
            <w:pPr>
              <w:ind w:left="420" w:hanging="386"/>
              <w:contextualSpacing/>
              <w:jc w:val="both"/>
              <w:rPr>
                <w:lang w:val="lt-LT"/>
              </w:rPr>
            </w:pPr>
          </w:p>
          <w:p w:rsidR="00430F22" w:rsidRDefault="000A4B27" w:rsidP="000A4B27">
            <w:pPr>
              <w:rPr>
                <w:lang w:val="lt-LT"/>
              </w:rPr>
            </w:pPr>
            <w:r>
              <w:rPr>
                <w:lang w:val="lt-LT"/>
              </w:rPr>
              <w:t>Tomas Stankevičius</w:t>
            </w:r>
          </w:p>
          <w:p w:rsidR="00430F22" w:rsidRDefault="00430F22" w:rsidP="000A4B27">
            <w:pPr>
              <w:ind w:left="420" w:hanging="386"/>
              <w:contextualSpacing/>
              <w:jc w:val="both"/>
              <w:rPr>
                <w:rFonts w:eastAsiaTheme="minorHAnsi"/>
                <w:b/>
                <w:lang w:val="lt-LT" w:bidi="en-US"/>
              </w:rPr>
            </w:pPr>
          </w:p>
        </w:tc>
        <w:tc>
          <w:tcPr>
            <w:tcW w:w="4873" w:type="dxa"/>
          </w:tcPr>
          <w:p w:rsidR="00430F22" w:rsidRPr="00136B98" w:rsidRDefault="00430F22" w:rsidP="000A4B27">
            <w:pPr>
              <w:keepNext/>
              <w:tabs>
                <w:tab w:val="left" w:pos="9630"/>
              </w:tabs>
              <w:outlineLvl w:val="0"/>
              <w:rPr>
                <w:rFonts w:eastAsia="Arial Unicode MS"/>
                <w:b/>
                <w:bCs/>
                <w:lang w:val="lt-LT"/>
              </w:rPr>
            </w:pPr>
            <w:r w:rsidRPr="00136B98">
              <w:rPr>
                <w:rFonts w:eastAsia="Arial Unicode MS"/>
                <w:b/>
                <w:bCs/>
                <w:lang w:val="lt-LT"/>
              </w:rPr>
              <w:t>PASLAUGŲ TEIKĖJAS</w:t>
            </w:r>
          </w:p>
          <w:p w:rsidR="00430F22" w:rsidRDefault="00430F22" w:rsidP="000A4B27">
            <w:pPr>
              <w:ind w:left="420" w:hanging="420"/>
              <w:contextualSpacing/>
              <w:jc w:val="both"/>
              <w:rPr>
                <w:rFonts w:eastAsiaTheme="minorHAnsi"/>
                <w:b/>
                <w:lang w:val="lt-LT" w:bidi="en-US"/>
              </w:rPr>
            </w:pPr>
          </w:p>
          <w:p w:rsidR="00430F22" w:rsidRDefault="000A4B27" w:rsidP="000A4B27">
            <w:pPr>
              <w:keepNext/>
              <w:tabs>
                <w:tab w:val="left" w:pos="83"/>
                <w:tab w:val="left" w:pos="9360"/>
              </w:tabs>
              <w:outlineLvl w:val="0"/>
              <w:rPr>
                <w:rFonts w:eastAsia="Calibri"/>
                <w:b/>
                <w:lang w:val="lt-LT"/>
              </w:rPr>
            </w:pPr>
            <w:r w:rsidRPr="00136B98">
              <w:rPr>
                <w:rFonts w:eastAsia="Calibri"/>
                <w:b/>
                <w:lang w:val="lt-LT"/>
              </w:rPr>
              <w:t>UAB „</w:t>
            </w:r>
            <w:proofErr w:type="spellStart"/>
            <w:r w:rsidRPr="00136B98">
              <w:rPr>
                <w:rFonts w:eastAsia="Calibri"/>
                <w:b/>
                <w:lang w:val="lt-LT"/>
              </w:rPr>
              <w:t>Teletower</w:t>
            </w:r>
            <w:proofErr w:type="spellEnd"/>
            <w:r w:rsidRPr="00136B98">
              <w:rPr>
                <w:rFonts w:eastAsia="Calibri"/>
                <w:b/>
                <w:lang w:val="lt-LT"/>
              </w:rPr>
              <w:t>“</w:t>
            </w:r>
          </w:p>
          <w:p w:rsidR="000A4B27" w:rsidRDefault="000A4B27" w:rsidP="000A4B27">
            <w:pPr>
              <w:keepNext/>
              <w:tabs>
                <w:tab w:val="left" w:pos="83"/>
                <w:tab w:val="left" w:pos="9360"/>
              </w:tabs>
              <w:outlineLvl w:val="0"/>
              <w:rPr>
                <w:rFonts w:eastAsia="Calibri"/>
                <w:b/>
                <w:lang w:val="lt-LT"/>
              </w:rPr>
            </w:pPr>
          </w:p>
          <w:p w:rsidR="000A4B27" w:rsidRDefault="000A4B27" w:rsidP="000A4B27">
            <w:pPr>
              <w:keepNext/>
              <w:tabs>
                <w:tab w:val="left" w:pos="83"/>
                <w:tab w:val="left" w:pos="9360"/>
              </w:tabs>
              <w:outlineLvl w:val="0"/>
              <w:rPr>
                <w:b/>
                <w:bCs/>
                <w:lang w:val="lt-LT"/>
              </w:rPr>
            </w:pPr>
          </w:p>
          <w:p w:rsidR="00430F22" w:rsidRDefault="00430F22" w:rsidP="000A4B27">
            <w:pPr>
              <w:keepNext/>
              <w:tabs>
                <w:tab w:val="left" w:pos="83"/>
                <w:tab w:val="left" w:pos="9360"/>
              </w:tabs>
              <w:outlineLvl w:val="0"/>
              <w:rPr>
                <w:b/>
                <w:bCs/>
                <w:lang w:val="lt-LT"/>
              </w:rPr>
            </w:pPr>
          </w:p>
          <w:p w:rsidR="00430F22" w:rsidRDefault="00430F22" w:rsidP="000A4B27">
            <w:pPr>
              <w:jc w:val="both"/>
              <w:rPr>
                <w:lang w:val="lt-LT"/>
              </w:rPr>
            </w:pPr>
          </w:p>
          <w:p w:rsidR="00430F22" w:rsidRDefault="000A4B27" w:rsidP="000A4B27">
            <w:pPr>
              <w:rPr>
                <w:lang w:val="lt-LT"/>
              </w:rPr>
            </w:pPr>
            <w:r>
              <w:rPr>
                <w:lang w:val="lt-LT"/>
              </w:rPr>
              <w:t>Generalinis direktorius</w:t>
            </w:r>
          </w:p>
          <w:p w:rsidR="00430F22" w:rsidRDefault="00430F22" w:rsidP="000A4B27">
            <w:pPr>
              <w:rPr>
                <w:color w:val="000000"/>
                <w:lang w:val="lt-LT"/>
              </w:rPr>
            </w:pPr>
          </w:p>
          <w:p w:rsidR="00430F22" w:rsidRDefault="00430F22" w:rsidP="000A4B27">
            <w:pPr>
              <w:ind w:left="720"/>
              <w:contextualSpacing/>
              <w:jc w:val="center"/>
              <w:rPr>
                <w:color w:val="000000"/>
                <w:lang w:val="lt-LT"/>
              </w:rPr>
            </w:pPr>
            <w:r>
              <w:rPr>
                <w:color w:val="000000"/>
                <w:lang w:val="lt-LT"/>
              </w:rPr>
              <w:t>A. V.</w:t>
            </w:r>
          </w:p>
          <w:p w:rsidR="00430F22" w:rsidRDefault="00430F22" w:rsidP="000A4B27">
            <w:pPr>
              <w:ind w:left="83" w:hanging="83"/>
              <w:contextualSpacing/>
              <w:jc w:val="both"/>
              <w:rPr>
                <w:lang w:val="lt-LT"/>
              </w:rPr>
            </w:pPr>
          </w:p>
          <w:p w:rsidR="00430F22" w:rsidRDefault="000A4B27" w:rsidP="000A4B27">
            <w:pPr>
              <w:ind w:left="83" w:hanging="83"/>
              <w:contextualSpacing/>
              <w:jc w:val="both"/>
              <w:rPr>
                <w:rFonts w:eastAsiaTheme="minorHAnsi"/>
                <w:lang w:val="lt-LT" w:bidi="en-US"/>
              </w:rPr>
            </w:pPr>
            <w:r>
              <w:rPr>
                <w:lang w:val="lt-LT"/>
              </w:rPr>
              <w:t xml:space="preserve">Marius </w:t>
            </w:r>
            <w:proofErr w:type="spellStart"/>
            <w:r>
              <w:rPr>
                <w:lang w:val="lt-LT"/>
              </w:rPr>
              <w:t>Pilinka</w:t>
            </w:r>
            <w:proofErr w:type="spellEnd"/>
          </w:p>
        </w:tc>
      </w:tr>
    </w:tbl>
    <w:p w:rsidR="00430F22" w:rsidRPr="00430F22" w:rsidRDefault="00430F22" w:rsidP="00430F22">
      <w:pPr>
        <w:jc w:val="both"/>
        <w:rPr>
          <w:bCs/>
          <w:caps/>
          <w:lang w:val="lt-LT"/>
        </w:rPr>
      </w:pPr>
    </w:p>
    <w:sectPr w:rsidR="00430F22" w:rsidRPr="00430F22" w:rsidSect="00340CAB">
      <w:headerReference w:type="default" r:id="rId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B15" w:rsidRDefault="00B90B15" w:rsidP="00E94969">
      <w:r>
        <w:separator/>
      </w:r>
    </w:p>
  </w:endnote>
  <w:endnote w:type="continuationSeparator" w:id="0">
    <w:p w:rsidR="00B90B15" w:rsidRDefault="00B90B15" w:rsidP="00E9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B15" w:rsidRDefault="00B90B15" w:rsidP="00E94969">
      <w:r>
        <w:separator/>
      </w:r>
    </w:p>
  </w:footnote>
  <w:footnote w:type="continuationSeparator" w:id="0">
    <w:p w:rsidR="00B90B15" w:rsidRDefault="00B90B15" w:rsidP="00E94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69" w:rsidRPr="00E94969" w:rsidRDefault="00E94969" w:rsidP="00E94969">
    <w:pPr>
      <w:pStyle w:val="Antrats"/>
      <w:jc w:val="right"/>
      <w:rPr>
        <w:lang w:val="lt-LT"/>
      </w:rPr>
    </w:pPr>
    <w:r>
      <w:rPr>
        <w:lang w:val="lt-LT"/>
      </w:rP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B"/>
    <w:rsid w:val="000A4B27"/>
    <w:rsid w:val="000B5CFF"/>
    <w:rsid w:val="00340CAB"/>
    <w:rsid w:val="00430F22"/>
    <w:rsid w:val="00B90B15"/>
    <w:rsid w:val="00BD0270"/>
    <w:rsid w:val="00BE2CEB"/>
    <w:rsid w:val="00D95C66"/>
    <w:rsid w:val="00DD6BF0"/>
    <w:rsid w:val="00E2553B"/>
    <w:rsid w:val="00E54C93"/>
    <w:rsid w:val="00E9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3944-1DF1-4E88-A3FB-E725705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A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340C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4969"/>
    <w:pPr>
      <w:tabs>
        <w:tab w:val="center" w:pos="4819"/>
        <w:tab w:val="right" w:pos="9638"/>
      </w:tabs>
    </w:pPr>
  </w:style>
  <w:style w:type="character" w:customStyle="1" w:styleId="AntratsDiagrama">
    <w:name w:val="Antraštės Diagrama"/>
    <w:basedOn w:val="Numatytasispastraiposriftas"/>
    <w:link w:val="Antrats"/>
    <w:uiPriority w:val="99"/>
    <w:rsid w:val="00E94969"/>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94969"/>
    <w:pPr>
      <w:tabs>
        <w:tab w:val="center" w:pos="4819"/>
        <w:tab w:val="right" w:pos="9638"/>
      </w:tabs>
    </w:pPr>
  </w:style>
  <w:style w:type="character" w:customStyle="1" w:styleId="PoratDiagrama">
    <w:name w:val="Poraštė Diagrama"/>
    <w:basedOn w:val="Numatytasispastraiposriftas"/>
    <w:link w:val="Porat"/>
    <w:uiPriority w:val="99"/>
    <w:rsid w:val="00E9496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5631">
      <w:bodyDiv w:val="1"/>
      <w:marLeft w:val="0"/>
      <w:marRight w:val="0"/>
      <w:marTop w:val="0"/>
      <w:marBottom w:val="0"/>
      <w:divBdr>
        <w:top w:val="none" w:sz="0" w:space="0" w:color="auto"/>
        <w:left w:val="none" w:sz="0" w:space="0" w:color="auto"/>
        <w:bottom w:val="none" w:sz="0" w:space="0" w:color="auto"/>
        <w:right w:val="none" w:sz="0" w:space="0" w:color="auto"/>
      </w:divBdr>
    </w:div>
    <w:div w:id="1304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3159</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4</cp:revision>
  <dcterms:created xsi:type="dcterms:W3CDTF">2021-07-27T05:14:00Z</dcterms:created>
  <dcterms:modified xsi:type="dcterms:W3CDTF">2021-07-27T09:23:00Z</dcterms:modified>
</cp:coreProperties>
</file>