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1C911186" w:rsidR="00BF5740" w:rsidRPr="00FD4DA8" w:rsidRDefault="001162F6"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w:t>
      </w:r>
      <w:r w:rsidRPr="00FD4DA8">
        <w:rPr>
          <w:rFonts w:ascii="Arial" w:hAnsi="Arial" w:cs="Arial"/>
          <w:b/>
        </w:rPr>
        <w:t xml:space="preserve"> </w:t>
      </w:r>
      <w:r w:rsidR="00BF5740" w:rsidRPr="00FD4DA8">
        <w:rPr>
          <w:rFonts w:ascii="Arial" w:hAnsi="Arial" w:cs="Arial"/>
          <w:b/>
        </w:rPr>
        <w:t xml:space="preserve">grupė </w:t>
      </w:r>
      <w:r w:rsidR="00BF5740" w:rsidRPr="00FD4DA8">
        <w:rPr>
          <w:rFonts w:ascii="Arial" w:hAnsi="Arial" w:cs="Arial"/>
        </w:rPr>
        <w:t>– „</w:t>
      </w:r>
      <w:r>
        <w:rPr>
          <w:rFonts w:ascii="Arial" w:hAnsi="Arial" w:cs="Arial"/>
        </w:rPr>
        <w:t>Ignitis grupė</w:t>
      </w:r>
      <w:r w:rsidR="00BF5740" w:rsidRPr="00FD4DA8">
        <w:rPr>
          <w:rFonts w:ascii="Arial" w:hAnsi="Arial" w:cs="Arial"/>
        </w:rPr>
        <w:t>“, UAB, jos tiesiogiai valdomi juridiniai asmenys ir kiti juridiniai asmenys, kurių dalininkė yra „</w:t>
      </w:r>
      <w:r>
        <w:rPr>
          <w:rFonts w:ascii="Arial" w:hAnsi="Arial" w:cs="Arial"/>
        </w:rPr>
        <w:t>Ignitis grupė</w:t>
      </w:r>
      <w:r w:rsidR="00BF5740" w:rsidRPr="00FD4DA8">
        <w:rPr>
          <w:rFonts w:ascii="Arial" w:hAnsi="Arial" w:cs="Arial"/>
        </w:rPr>
        <w:t>“, UAB.</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0" w:name="_Ref339018765"/>
      <w:r w:rsidRPr="00FD4DA8">
        <w:rPr>
          <w:rFonts w:ascii="Arial" w:hAnsi="Arial" w:cs="Arial"/>
        </w:rPr>
        <w:t>Pirkimo</w:t>
      </w:r>
      <w:r w:rsidR="00062C6E" w:rsidRPr="00FD4DA8">
        <w:rPr>
          <w:rFonts w:ascii="Arial" w:hAnsi="Arial" w:cs="Arial"/>
        </w:rPr>
        <w:t xml:space="preserve"> sąlygos;</w:t>
      </w:r>
      <w:bookmarkEnd w:id="0"/>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1"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1"/>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2" w:name="_Ref339018767"/>
      <w:r w:rsidRPr="00FD4DA8">
        <w:rPr>
          <w:rFonts w:ascii="Arial" w:hAnsi="Arial" w:cs="Arial"/>
        </w:rPr>
        <w:t>Paslaugų teikėjo pirminis Pasiūlymas;</w:t>
      </w:r>
      <w:bookmarkEnd w:id="2"/>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3" w:name="_Ref339018791"/>
      <w:bookmarkStart w:id="4"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3"/>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4"/>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5"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5"/>
    <w:p w14:paraId="52A12ECB" w14:textId="0D690B50"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1162F6">
        <w:rPr>
          <w:rFonts w:ascii="Arial" w:hAnsi="Arial" w:cs="Arial"/>
        </w:rPr>
        <w:t>Ignitis</w:t>
      </w:r>
      <w:r w:rsidR="001162F6" w:rsidRPr="00FD4DA8">
        <w:rPr>
          <w:rFonts w:ascii="Arial" w:hAnsi="Arial" w:cs="Arial"/>
        </w:rPr>
        <w:t xml:space="preserve"> </w:t>
      </w:r>
      <w:r w:rsidR="00A64ABC" w:rsidRPr="00FD4DA8">
        <w:rPr>
          <w:rFonts w:ascii="Arial" w:hAnsi="Arial" w:cs="Arial"/>
        </w:rPr>
        <w:t>grupės</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6"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6"/>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7"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7"/>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6E7F0B78" w:rsidR="005B2A13" w:rsidRPr="00FD4DA8" w:rsidRDefault="005B2A13" w:rsidP="004E0D93">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953D44">
        <w:rPr>
          <w:rFonts w:ascii="Arial" w:hAnsi="Arial" w:cs="Arial"/>
        </w:rPr>
        <w:t xml:space="preserve">UAB </w:t>
      </w:r>
      <w:r w:rsidR="00953D44" w:rsidRPr="00C17BA4">
        <w:rPr>
          <w:rFonts w:ascii="Arial" w:hAnsi="Arial" w:cs="Arial"/>
        </w:rPr>
        <w:t>„</w:t>
      </w:r>
      <w:r w:rsidR="00953D44">
        <w:rPr>
          <w:rFonts w:ascii="Arial" w:hAnsi="Arial" w:cs="Arial"/>
        </w:rPr>
        <w:t>Ignitis grupė</w:t>
      </w:r>
      <w:r w:rsidR="00953D44" w:rsidRPr="00C17BA4">
        <w:rPr>
          <w:rFonts w:ascii="Arial" w:hAnsi="Arial" w:cs="Arial"/>
        </w:rPr>
        <w:t xml:space="preserve">“ </w:t>
      </w:r>
      <w:r w:rsidR="00953D44">
        <w:rPr>
          <w:rFonts w:ascii="Arial" w:hAnsi="Arial" w:cs="Arial"/>
        </w:rPr>
        <w:t>Anti</w:t>
      </w:r>
      <w:r w:rsidR="00953D44" w:rsidRPr="00C17BA4">
        <w:rPr>
          <w:rFonts w:ascii="Arial" w:hAnsi="Arial" w:cs="Arial"/>
        </w:rPr>
        <w:t>korupci</w:t>
      </w:r>
      <w:r w:rsidR="00953D44">
        <w:rPr>
          <w:rFonts w:ascii="Arial" w:hAnsi="Arial" w:cs="Arial"/>
        </w:rPr>
        <w:t>nės</w:t>
      </w:r>
      <w:r w:rsidR="00953D44" w:rsidRPr="00C17BA4">
        <w:rPr>
          <w:rFonts w:ascii="Arial" w:hAnsi="Arial" w:cs="Arial"/>
        </w:rPr>
        <w:t xml:space="preserve"> politikos </w:t>
      </w:r>
      <w:r w:rsidR="00553D8A">
        <w:rPr>
          <w:rFonts w:ascii="Arial" w:hAnsi="Arial" w:cs="Arial"/>
        </w:rPr>
        <w:t xml:space="preserve">(toliau – Politika) </w:t>
      </w:r>
      <w:r w:rsidRPr="00FD4DA8">
        <w:rPr>
          <w:rFonts w:ascii="Arial" w:hAnsi="Arial" w:cs="Arial"/>
        </w:rPr>
        <w:t>(politika yra vieša ir skelbiama interneto svetainėje www.</w:t>
      </w:r>
      <w:r w:rsidR="00B24C83">
        <w:rPr>
          <w:rFonts w:ascii="Arial" w:hAnsi="Arial" w:cs="Arial"/>
        </w:rPr>
        <w:t>ignitisgrupe</w:t>
      </w:r>
      <w:r w:rsidRPr="00FD4DA8">
        <w:rPr>
          <w:rFonts w:ascii="Arial" w:hAnsi="Arial" w:cs="Arial"/>
        </w:rPr>
        <w:t xml:space="preserve">.lt) reikalavimų bei korupcijos rizikos valdymo priemonių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3D1AEC30" w14:textId="5CEC6C07" w:rsidR="00AA5A41" w:rsidRPr="00FD4DA8" w:rsidRDefault="00AA5A41" w:rsidP="004E0D93">
      <w:pPr>
        <w:pStyle w:val="BodyText"/>
        <w:numPr>
          <w:ilvl w:val="2"/>
          <w:numId w:val="1"/>
        </w:numPr>
        <w:tabs>
          <w:tab w:val="left" w:pos="851"/>
        </w:tabs>
        <w:ind w:left="0" w:firstLine="0"/>
        <w:rPr>
          <w:rFonts w:ascii="Arial" w:hAnsi="Arial" w:cs="Arial"/>
          <w:sz w:val="20"/>
        </w:rPr>
      </w:pPr>
      <w:r w:rsidRPr="00E51CC8">
        <w:rPr>
          <w:rFonts w:ascii="Arial" w:hAnsi="Arial" w:cs="Arial"/>
          <w:sz w:val="20"/>
        </w:rPr>
        <w:t xml:space="preserve">susipažinti ir santykiuose su </w:t>
      </w:r>
      <w:r>
        <w:rPr>
          <w:rFonts w:ascii="Arial" w:hAnsi="Arial" w:cs="Arial"/>
          <w:sz w:val="20"/>
        </w:rPr>
        <w:t>Užsakovu</w:t>
      </w:r>
      <w:r w:rsidRPr="00E51CC8">
        <w:rPr>
          <w:rFonts w:ascii="Arial" w:hAnsi="Arial" w:cs="Arial"/>
          <w:sz w:val="20"/>
        </w:rPr>
        <w:t xml:space="preserve"> ir Sutarties vykdymui pasitelkiamomis trečiosiomis šalimis laikytis UAB „Ignitis grupė“ valdybos sprendimu patvirtintos </w:t>
      </w:r>
      <w:r>
        <w:rPr>
          <w:rFonts w:ascii="Arial" w:hAnsi="Arial" w:cs="Arial"/>
          <w:sz w:val="20"/>
        </w:rPr>
        <w:t>P</w:t>
      </w:r>
      <w:r w:rsidRPr="00E51CC8">
        <w:rPr>
          <w:rFonts w:ascii="Arial" w:hAnsi="Arial" w:cs="Arial"/>
          <w:sz w:val="20"/>
        </w:rPr>
        <w:t>oliti</w:t>
      </w:r>
      <w:r>
        <w:rPr>
          <w:rFonts w:ascii="Arial" w:hAnsi="Arial" w:cs="Arial"/>
          <w:sz w:val="20"/>
        </w:rPr>
        <w:t>kos</w:t>
      </w:r>
      <w:r w:rsidRPr="00E51CC8">
        <w:rPr>
          <w:rFonts w:ascii="Arial" w:hAnsi="Arial" w:cs="Arial"/>
          <w:sz w:val="20"/>
        </w:rPr>
        <w:t xml:space="preserve">. Susipažinti su </w:t>
      </w:r>
      <w:r>
        <w:rPr>
          <w:rFonts w:ascii="Arial" w:hAnsi="Arial" w:cs="Arial"/>
          <w:sz w:val="20"/>
        </w:rPr>
        <w:t>P</w:t>
      </w:r>
      <w:r w:rsidRPr="00E51CC8">
        <w:rPr>
          <w:rFonts w:ascii="Arial" w:hAnsi="Arial" w:cs="Arial"/>
          <w:sz w:val="20"/>
        </w:rPr>
        <w:t xml:space="preserve">olitika ir/ar jos pakeitimais galima adresu http://www.ignitisgrupe.lt. </w:t>
      </w:r>
    </w:p>
    <w:p w14:paraId="24D99F1F"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lastRenderedPageBreak/>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lastRenderedPageBreak/>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74F91F3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bookmarkStart w:id="8" w:name="_GoBack"/>
      <w:r w:rsidR="00722ED4">
        <w:rPr>
          <w:rFonts w:ascii="Arial" w:hAnsi="Arial" w:cs="Arial"/>
        </w:rPr>
        <w:t>Ignitis</w:t>
      </w:r>
      <w:r w:rsidR="00722ED4" w:rsidRPr="00FD4DA8">
        <w:rPr>
          <w:rFonts w:ascii="Arial" w:hAnsi="Arial" w:cs="Arial"/>
        </w:rPr>
        <w:t xml:space="preserve"> </w:t>
      </w:r>
      <w:bookmarkEnd w:id="8"/>
      <w:r w:rsidR="005E2ECD" w:rsidRPr="00FD4DA8">
        <w:rPr>
          <w:rFonts w:ascii="Arial" w:hAnsi="Arial" w:cs="Arial"/>
        </w:rPr>
        <w:t xml:space="preserve">grupės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01F41164"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w:t>
      </w:r>
    </w:p>
    <w:p w14:paraId="0D3F9B72" w14:textId="0B4BD29E" w:rsidR="003E612A" w:rsidRPr="00FD4DA8" w:rsidRDefault="00A11538"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Pr>
          <w:rFonts w:ascii="Arial" w:hAnsi="Arial" w:cs="Arial"/>
          <w:sz w:val="20"/>
          <w:szCs w:val="20"/>
        </w:rPr>
        <w:lastRenderedPageBreak/>
        <w:t>Kai</w:t>
      </w:r>
      <w:r w:rsidRPr="00FD4DA8">
        <w:rPr>
          <w:rFonts w:ascii="Arial" w:hAnsi="Arial" w:cs="Arial"/>
          <w:sz w:val="20"/>
          <w:szCs w:val="20"/>
        </w:rPr>
        <w:t xml:space="preserve"> </w:t>
      </w:r>
      <w:r w:rsidR="00D74AED" w:rsidRPr="00FD4DA8">
        <w:rPr>
          <w:rFonts w:ascii="Arial" w:hAnsi="Arial" w:cs="Arial"/>
          <w:sz w:val="20"/>
          <w:szCs w:val="20"/>
        </w:rPr>
        <w:t xml:space="preserve">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30451D64" w14:textId="66AF091F" w:rsidR="009C56B9" w:rsidRPr="009C56B9" w:rsidRDefault="009C56B9" w:rsidP="009C56B9">
      <w:pPr>
        <w:pStyle w:val="BodyTextIndent"/>
        <w:numPr>
          <w:ilvl w:val="2"/>
          <w:numId w:val="1"/>
        </w:numPr>
        <w:ind w:left="0" w:firstLine="0"/>
        <w:rPr>
          <w:rFonts w:ascii="Arial" w:hAnsi="Arial" w:cs="Arial"/>
          <w:sz w:val="20"/>
        </w:rPr>
      </w:pPr>
      <w:r w:rsidRPr="009C56B9">
        <w:rPr>
          <w:rFonts w:ascii="Arial" w:hAnsi="Arial" w:cs="Arial"/>
          <w:sz w:val="20"/>
        </w:rPr>
        <w:t xml:space="preserve">Paslaugų teikėjas </w:t>
      </w:r>
      <w:r>
        <w:rPr>
          <w:rFonts w:ascii="Arial" w:hAnsi="Arial" w:cs="Arial"/>
          <w:sz w:val="20"/>
        </w:rPr>
        <w:t xml:space="preserve">neįvykdo savo sutartinių pareigų susijusių su </w:t>
      </w:r>
      <w:r w:rsidRPr="009C56B9">
        <w:rPr>
          <w:rFonts w:ascii="Arial" w:hAnsi="Arial" w:cs="Arial"/>
          <w:sz w:val="20"/>
        </w:rPr>
        <w:t xml:space="preserve">statybos užbaigimo </w:t>
      </w:r>
      <w:r>
        <w:rPr>
          <w:rFonts w:ascii="Arial" w:hAnsi="Arial" w:cs="Arial"/>
          <w:sz w:val="20"/>
        </w:rPr>
        <w:t>procesu</w:t>
      </w:r>
      <w:r w:rsidRPr="009C56B9">
        <w:rPr>
          <w:rFonts w:ascii="Arial" w:hAnsi="Arial" w:cs="Arial"/>
          <w:sz w:val="20"/>
        </w:rPr>
        <w:t xml:space="preserve"> (</w:t>
      </w:r>
      <w:r>
        <w:rPr>
          <w:rFonts w:ascii="Arial" w:hAnsi="Arial" w:cs="Arial"/>
          <w:sz w:val="20"/>
        </w:rPr>
        <w:t xml:space="preserve">t. .y. </w:t>
      </w:r>
      <w:r w:rsidRPr="009C56B9">
        <w:rPr>
          <w:rFonts w:ascii="Arial" w:hAnsi="Arial" w:cs="Arial"/>
          <w:sz w:val="20"/>
        </w:rPr>
        <w:t>organizavimas, dalyvavimas</w:t>
      </w:r>
      <w:r>
        <w:rPr>
          <w:rFonts w:ascii="Arial" w:hAnsi="Arial" w:cs="Arial"/>
          <w:sz w:val="20"/>
        </w:rPr>
        <w:t xml:space="preserve"> ir</w:t>
      </w:r>
      <w:r w:rsidRPr="009C56B9">
        <w:rPr>
          <w:rFonts w:ascii="Arial" w:hAnsi="Arial" w:cs="Arial"/>
          <w:sz w:val="20"/>
        </w:rPr>
        <w:t xml:space="preserve"> kontrolė </w:t>
      </w:r>
      <w:r w:rsidR="00277931">
        <w:rPr>
          <w:rFonts w:ascii="Arial" w:hAnsi="Arial" w:cs="Arial"/>
          <w:sz w:val="20"/>
        </w:rPr>
        <w:t>proceso</w:t>
      </w:r>
      <w:r>
        <w:rPr>
          <w:rFonts w:ascii="Arial" w:hAnsi="Arial" w:cs="Arial"/>
          <w:sz w:val="20"/>
        </w:rPr>
        <w:t xml:space="preserve">, kurio pagrindu vyksta </w:t>
      </w:r>
      <w:r w:rsidRPr="009C56B9">
        <w:rPr>
          <w:rFonts w:ascii="Arial" w:hAnsi="Arial" w:cs="Arial"/>
          <w:sz w:val="20"/>
        </w:rPr>
        <w:t>pridavimas Valstybinei energetikos inspekcijai, elektros perdavimo sistemos operatoriui, valstybinei komisijai ir kitom</w:t>
      </w:r>
      <w:r w:rsidR="00B12E76">
        <w:rPr>
          <w:rFonts w:ascii="Arial" w:hAnsi="Arial" w:cs="Arial"/>
          <w:sz w:val="20"/>
        </w:rPr>
        <w:t>s</w:t>
      </w:r>
      <w:r w:rsidRPr="009C56B9">
        <w:rPr>
          <w:rFonts w:ascii="Arial" w:hAnsi="Arial" w:cs="Arial"/>
          <w:sz w:val="20"/>
        </w:rPr>
        <w:t xml:space="preserve"> institucijom</w:t>
      </w:r>
      <w:r w:rsidR="00B12E76">
        <w:rPr>
          <w:rFonts w:ascii="Arial" w:hAnsi="Arial" w:cs="Arial"/>
          <w:sz w:val="20"/>
        </w:rPr>
        <w:t>s</w:t>
      </w:r>
      <w:r w:rsidRPr="009C56B9">
        <w:rPr>
          <w:rFonts w:ascii="Arial" w:hAnsi="Arial" w:cs="Arial"/>
          <w:sz w:val="20"/>
        </w:rPr>
        <w:t>)</w:t>
      </w:r>
      <w:r>
        <w:rPr>
          <w:rFonts w:ascii="Arial" w:hAnsi="Arial" w:cs="Arial"/>
          <w:sz w:val="20"/>
        </w:rPr>
        <w:t>;</w:t>
      </w:r>
      <w:r w:rsidRPr="009C56B9">
        <w:rPr>
          <w:rFonts w:ascii="Arial" w:hAnsi="Arial" w:cs="Arial"/>
          <w:sz w:val="20"/>
        </w:rPr>
        <w:t xml:space="preserve"> </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48B68CB4"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w:t>
      </w:r>
      <w:r w:rsidRPr="00FD4DA8">
        <w:rPr>
          <w:rFonts w:ascii="Arial" w:hAnsi="Arial" w:cs="Arial"/>
          <w:sz w:val="20"/>
        </w:rPr>
        <w:lastRenderedPageBreak/>
        <w:t xml:space="preserve">nustatyta tvarka, Paslaugų teikėjas įsipareigoja sumokėti Klientui </w:t>
      </w:r>
      <w:r w:rsidR="00D27D32">
        <w:rPr>
          <w:rFonts w:ascii="Arial" w:hAnsi="Arial" w:cs="Arial"/>
          <w:sz w:val="20"/>
        </w:rPr>
        <w:t>20</w:t>
      </w:r>
      <w:r w:rsidR="00D27D32" w:rsidRPr="00FD4DA8">
        <w:rPr>
          <w:rFonts w:ascii="Arial" w:hAnsi="Arial" w:cs="Arial"/>
          <w:sz w:val="20"/>
        </w:rPr>
        <w:t xml:space="preserve"> </w:t>
      </w:r>
      <w:r w:rsidRPr="00FD4DA8">
        <w:rPr>
          <w:rFonts w:ascii="Arial" w:hAnsi="Arial" w:cs="Arial"/>
          <w:sz w:val="20"/>
        </w:rPr>
        <w:t>(</w:t>
      </w:r>
      <w:r w:rsidR="00D27D32">
        <w:rPr>
          <w:rFonts w:ascii="Arial" w:hAnsi="Arial" w:cs="Arial"/>
          <w:sz w:val="20"/>
        </w:rPr>
        <w:t>dvidešimties</w:t>
      </w:r>
      <w:r w:rsidRPr="00FD4DA8">
        <w:rPr>
          <w:rFonts w:ascii="Arial" w:hAnsi="Arial" w:cs="Arial"/>
          <w:sz w:val="20"/>
        </w:rPr>
        <w:t xml:space="preserve">)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 xml:space="preserve">bendros Sutarties kainos, </w:t>
      </w:r>
      <w:r w:rsidR="0066709D">
        <w:rPr>
          <w:rFonts w:ascii="Arial" w:hAnsi="Arial" w:cs="Arial"/>
          <w:sz w:val="20"/>
        </w:rPr>
        <w:t xml:space="preserve">tačiau </w:t>
      </w:r>
      <w:r w:rsidR="005001B7">
        <w:rPr>
          <w:rFonts w:ascii="Arial" w:hAnsi="Arial" w:cs="Arial"/>
          <w:sz w:val="20"/>
        </w:rPr>
        <w:t xml:space="preserve">bet kuriuo atveju </w:t>
      </w:r>
      <w:r w:rsidR="0066709D">
        <w:rPr>
          <w:rFonts w:ascii="Arial" w:hAnsi="Arial" w:cs="Arial"/>
          <w:sz w:val="20"/>
        </w:rPr>
        <w:t xml:space="preserve">ne mažiau kaip </w:t>
      </w:r>
      <w:r w:rsidR="0066709D">
        <w:rPr>
          <w:rFonts w:ascii="Arial" w:hAnsi="Arial" w:cs="Arial"/>
          <w:sz w:val="20"/>
          <w:lang w:val="en-US"/>
        </w:rPr>
        <w:t>10 (</w:t>
      </w:r>
      <w:r w:rsidR="0066709D">
        <w:rPr>
          <w:rFonts w:ascii="Arial" w:hAnsi="Arial" w:cs="Arial"/>
          <w:sz w:val="20"/>
        </w:rPr>
        <w:t xml:space="preserve">dešimties) procentų nuo Sutarties kainos, </w:t>
      </w:r>
      <w:r w:rsidRPr="00FD4DA8">
        <w:rPr>
          <w:rFonts w:ascii="Arial" w:hAnsi="Arial" w:cs="Arial"/>
          <w:sz w:val="20"/>
        </w:rPr>
        <w:t>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r w:rsidR="003F56B1">
        <w:rPr>
          <w:rFonts w:ascii="Arial" w:hAnsi="Arial" w:cs="Arial"/>
          <w:sz w:val="20"/>
        </w:rPr>
        <w:t>Paslaugų teikėjas supranta, kad t</w:t>
      </w:r>
      <w:r w:rsidR="0066709D">
        <w:rPr>
          <w:rFonts w:ascii="Arial" w:hAnsi="Arial" w:cs="Arial"/>
          <w:sz w:val="20"/>
        </w:rPr>
        <w:t xml:space="preserve">iesioginiai nuostoliai apims, bet neapsiribos, Kliento patirtais sutartiniais nuostoliais mokėtinais Projekto vėjo jėgainių </w:t>
      </w:r>
      <w:r w:rsidR="00006A53">
        <w:rPr>
          <w:rFonts w:ascii="Arial" w:hAnsi="Arial" w:cs="Arial"/>
          <w:sz w:val="20"/>
        </w:rPr>
        <w:t>statybos rangovui</w:t>
      </w:r>
      <w:r w:rsidR="0066709D">
        <w:rPr>
          <w:rFonts w:ascii="Arial" w:hAnsi="Arial" w:cs="Arial"/>
          <w:sz w:val="20"/>
        </w:rPr>
        <w:t>, kelių statybos ir elektros dalies darbų rangovams ir mokėjimais</w:t>
      </w:r>
      <w:r w:rsidR="003F56B1">
        <w:rPr>
          <w:rFonts w:ascii="Arial" w:hAnsi="Arial" w:cs="Arial"/>
          <w:sz w:val="20"/>
        </w:rPr>
        <w:t>,</w:t>
      </w:r>
      <w:r w:rsidR="0066709D">
        <w:rPr>
          <w:rFonts w:ascii="Arial" w:hAnsi="Arial" w:cs="Arial"/>
          <w:sz w:val="20"/>
        </w:rPr>
        <w:t xml:space="preserve"> </w:t>
      </w:r>
      <w:r w:rsidR="003F56B1">
        <w:rPr>
          <w:rFonts w:ascii="Arial" w:hAnsi="Arial" w:cs="Arial"/>
          <w:sz w:val="20"/>
        </w:rPr>
        <w:t xml:space="preserve">taip pat </w:t>
      </w:r>
      <w:r w:rsidR="0066709D">
        <w:rPr>
          <w:rFonts w:ascii="Arial" w:hAnsi="Arial" w:cs="Arial"/>
          <w:sz w:val="20"/>
        </w:rPr>
        <w:t>negaut</w:t>
      </w:r>
      <w:r w:rsidR="003F56B1">
        <w:rPr>
          <w:rFonts w:ascii="Arial" w:hAnsi="Arial" w:cs="Arial"/>
          <w:sz w:val="20"/>
        </w:rPr>
        <w:t>us sutaupymu</w:t>
      </w:r>
      <w:r w:rsidR="0066709D">
        <w:rPr>
          <w:rFonts w:ascii="Arial" w:hAnsi="Arial" w:cs="Arial"/>
          <w:sz w:val="20"/>
        </w:rPr>
        <w:t>s pagal susitarimus su Valstybine energeti</w:t>
      </w:r>
      <w:r w:rsidR="003F56B1">
        <w:rPr>
          <w:rFonts w:ascii="Arial" w:hAnsi="Arial" w:cs="Arial"/>
          <w:sz w:val="20"/>
        </w:rPr>
        <w:t>kos reguliavimo tarnyba bei kitas Kliento patirtas išlaidas, skirtas</w:t>
      </w:r>
      <w:r w:rsidR="0066709D">
        <w:rPr>
          <w:rFonts w:ascii="Arial" w:hAnsi="Arial" w:cs="Arial"/>
          <w:sz w:val="20"/>
        </w:rPr>
        <w:t xml:space="preserve"> paden</w:t>
      </w:r>
      <w:r w:rsidR="003F56B1">
        <w:rPr>
          <w:rFonts w:ascii="Arial" w:hAnsi="Arial" w:cs="Arial"/>
          <w:sz w:val="20"/>
        </w:rPr>
        <w:t>ti</w:t>
      </w:r>
      <w:r w:rsidR="0066709D">
        <w:rPr>
          <w:rFonts w:ascii="Arial" w:hAnsi="Arial" w:cs="Arial"/>
          <w:sz w:val="20"/>
        </w:rPr>
        <w:t xml:space="preserve"> Paslaugų teikėjo sukeltą </w:t>
      </w:r>
      <w:r w:rsidR="0066709D" w:rsidRPr="0066709D">
        <w:rPr>
          <w:rFonts w:ascii="Arial" w:hAnsi="Arial" w:cs="Arial"/>
          <w:sz w:val="20"/>
        </w:rPr>
        <w:t>esmin</w:t>
      </w:r>
      <w:r w:rsidR="0066709D">
        <w:rPr>
          <w:rFonts w:ascii="Arial" w:hAnsi="Arial" w:cs="Arial"/>
          <w:sz w:val="20"/>
        </w:rPr>
        <w:t>ę</w:t>
      </w:r>
      <w:r w:rsidR="0066709D" w:rsidRPr="0066709D">
        <w:rPr>
          <w:rFonts w:ascii="Arial" w:hAnsi="Arial" w:cs="Arial"/>
          <w:sz w:val="20"/>
        </w:rPr>
        <w:t xml:space="preserve"> </w:t>
      </w:r>
      <w:r w:rsidR="0066709D">
        <w:rPr>
          <w:rFonts w:ascii="Arial" w:hAnsi="Arial" w:cs="Arial"/>
          <w:sz w:val="20"/>
        </w:rPr>
        <w:t>neigiamą įtaką</w:t>
      </w:r>
      <w:r w:rsidR="0066709D" w:rsidRPr="0066709D">
        <w:rPr>
          <w:rFonts w:ascii="Arial" w:hAnsi="Arial" w:cs="Arial"/>
          <w:sz w:val="20"/>
        </w:rPr>
        <w:t xml:space="preserve"> Projekto įgyvendinimo etapams ir/ar terminams</w:t>
      </w:r>
      <w:r w:rsidR="0066709D">
        <w:rPr>
          <w:rFonts w:ascii="Arial" w:hAnsi="Arial" w:cs="Arial"/>
          <w:sz w:val="20"/>
        </w:rPr>
        <w:t>.</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0BE9F1FA"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„Lietuvos energija“, UAB įmonių grupei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 ar bet kurios „Lietuvos energija“, UAB, įmonių grupei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w:t>
      </w:r>
      <w:r w:rsidRPr="00FD4DA8">
        <w:rPr>
          <w:rFonts w:ascii="Arial" w:hAnsi="Arial" w:cs="Arial"/>
        </w:rPr>
        <w:lastRenderedPageBreak/>
        <w:t xml:space="preserve">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6695" w14:textId="77777777" w:rsidR="009A15C4" w:rsidRDefault="009A15C4">
      <w:r>
        <w:separator/>
      </w:r>
    </w:p>
  </w:endnote>
  <w:endnote w:type="continuationSeparator" w:id="0">
    <w:p w14:paraId="449C4EE8" w14:textId="77777777" w:rsidR="009A15C4" w:rsidRDefault="009A15C4">
      <w:r>
        <w:continuationSeparator/>
      </w:r>
    </w:p>
  </w:endnote>
  <w:endnote w:type="continuationNotice" w:id="1">
    <w:p w14:paraId="02F03D23" w14:textId="77777777" w:rsidR="009A15C4" w:rsidRDefault="009A1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866A" w14:textId="77777777" w:rsidR="007B653C" w:rsidRDefault="007B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D2BEE">
          <w:rPr>
            <w:rFonts w:ascii="Arial" w:hAnsi="Arial" w:cs="Arial"/>
            <w:noProof/>
          </w:rPr>
          <w:t>13</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7934" w14:textId="77777777" w:rsidR="007B653C" w:rsidRDefault="007B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60057" w14:textId="77777777" w:rsidR="009A15C4" w:rsidRDefault="009A15C4">
      <w:r>
        <w:separator/>
      </w:r>
    </w:p>
  </w:footnote>
  <w:footnote w:type="continuationSeparator" w:id="0">
    <w:p w14:paraId="0BEA2D5A" w14:textId="77777777" w:rsidR="009A15C4" w:rsidRDefault="009A15C4">
      <w:r>
        <w:continuationSeparator/>
      </w:r>
    </w:p>
  </w:footnote>
  <w:footnote w:type="continuationNotice" w:id="1">
    <w:p w14:paraId="25DEC4E7" w14:textId="77777777" w:rsidR="009A15C4" w:rsidRDefault="009A1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9504" behindDoc="0" locked="0" layoutInCell="0" allowOverlap="1" wp14:anchorId="504D9139" wp14:editId="08D7DE9A">
              <wp:simplePos x="0" y="0"/>
              <wp:positionH relativeFrom="page">
                <wp:posOffset>0</wp:posOffset>
              </wp:positionH>
              <wp:positionV relativeFrom="page">
                <wp:posOffset>190500</wp:posOffset>
              </wp:positionV>
              <wp:extent cx="7560310" cy="266700"/>
              <wp:effectExtent l="0" t="0" r="0" b="0"/>
              <wp:wrapNone/>
              <wp:docPr id="1" name="MSIPCM9e1d4adf90a0bf91187c6890"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58803689" w:rsidR="00DD4D1D" w:rsidRPr="0007002A" w:rsidRDefault="00DD4D1D" w:rsidP="0007002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9e1d4adf90a0bf91187c6890" o:spid="_x0000_s1026" type="#_x0000_t202" alt="{&quot;HashCode&quot;:-703152319,&quot;Height&quot;:841.0,&quot;Width&quot;:595.0,&quot;Placement&quot;:&quot;Header&quot;,&quot;Index&quot;:&quot;Primary&quot;,&quot;Section&quot;:1,&quot;Top&quot;:0.0,&quot;Left&quot;:0.0}" style="position:absolute;margin-left:0;margin-top:15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GbClR9tAwAASAcAAA4AAAAAAAAAAAAAAAAALgIAAGRycy9lMm9Eb2MueG1sUEsBAi0AFAAGAAgA&#10;AAAhADekejrcAAAABwEAAA8AAAAAAAAAAAAAAAAAxwUAAGRycy9kb3ducmV2LnhtbFBLBQYAAAAA&#10;BAAEAPMAAADQBgAAAAA=&#10;" o:allowincell="f" filled="f" stroked="f" strokeweight=".5pt">
              <v:textbox inset=",0,20pt,0">
                <w:txbxContent>
                  <w:p w14:paraId="38C720AE" w14:textId="58803689" w:rsidR="00DD4D1D" w:rsidRPr="0007002A" w:rsidRDefault="00DD4D1D" w:rsidP="0007002A">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70528" behindDoc="0" locked="0" layoutInCell="0" allowOverlap="1" wp14:anchorId="43E967DD" wp14:editId="1A0BC623">
              <wp:simplePos x="0" y="0"/>
              <wp:positionH relativeFrom="page">
                <wp:posOffset>0</wp:posOffset>
              </wp:positionH>
              <wp:positionV relativeFrom="page">
                <wp:posOffset>190500</wp:posOffset>
              </wp:positionV>
              <wp:extent cx="7560310" cy="266700"/>
              <wp:effectExtent l="0" t="0" r="0" b="0"/>
              <wp:wrapNone/>
              <wp:docPr id="2" name="MSIPCM8cbc4b6688fda9da98609def"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49B8F917" w:rsidR="00DD4D1D" w:rsidRPr="0007002A" w:rsidRDefault="00DD4D1D" w:rsidP="0007002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cbc4b6688fda9da98609def" o:spid="_x0000_s1027" type="#_x0000_t202" alt="{&quot;HashCode&quot;:-703152319,&quot;Height&quot;:841.0,&quot;Width&quot;:595.0,&quot;Placement&quot;:&quot;Header&quot;,&quot;Index&quot;:&quot;FirstPage&quot;,&quot;Section&quot;:1,&quot;Top&quot;:0.0,&quot;Left&quot;:0.0}" style="position:absolute;margin-left:0;margin-top:15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E4bC3hwAwAAUQcAAA4AAAAAAAAAAAAAAAAALgIAAGRycy9lMm9Eb2MueG1sUEsBAi0AFAAG&#10;AAgAAAAhADekejrcAAAABwEAAA8AAAAAAAAAAAAAAAAAygUAAGRycy9kb3ducmV2LnhtbFBLBQYA&#10;AAAABAAEAPMAAADTBgAAAAA=&#10;" o:allowincell="f" filled="f" stroked="f" strokeweight=".5pt">
              <v:textbox inset=",0,20pt,0">
                <w:txbxContent>
                  <w:p w14:paraId="666770E4" w14:textId="49B8F917" w:rsidR="00DD4D1D" w:rsidRPr="0007002A" w:rsidRDefault="00DD4D1D" w:rsidP="0007002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E511D"/>
    <w:multiLevelType w:val="multilevel"/>
    <w:tmpl w:val="22A67EE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2"/>
  </w:num>
  <w:num w:numId="15">
    <w:abstractNumId w:val="17"/>
  </w:num>
  <w:num w:numId="16">
    <w:abstractNumId w:val="6"/>
  </w:num>
  <w:num w:numId="17">
    <w:abstractNumId w:val="18"/>
  </w:num>
  <w:num w:numId="18">
    <w:abstractNumId w:val="16"/>
  </w:num>
  <w:num w:numId="19">
    <w:abstractNumId w:val="23"/>
  </w:num>
  <w:num w:numId="20">
    <w:abstractNumId w:val="10"/>
  </w:num>
  <w:num w:numId="21">
    <w:abstractNumId w:val="4"/>
  </w:num>
  <w:num w:numId="22">
    <w:abstractNumId w:val="12"/>
  </w:num>
  <w:num w:numId="23">
    <w:abstractNumId w:val="9"/>
  </w:num>
  <w:num w:numId="24">
    <w:abstractNumId w:val="3"/>
  </w:num>
  <w:num w:numId="25">
    <w:abstractNumId w:val="21"/>
  </w:num>
  <w:num w:numId="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A53"/>
    <w:rsid w:val="00006F32"/>
    <w:rsid w:val="00011E9A"/>
    <w:rsid w:val="00012539"/>
    <w:rsid w:val="00012E99"/>
    <w:rsid w:val="00012F62"/>
    <w:rsid w:val="0001465E"/>
    <w:rsid w:val="000149E7"/>
    <w:rsid w:val="00014C7B"/>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002A"/>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62F6"/>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3D4"/>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77931"/>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6B1"/>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1B7"/>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D8A"/>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2C34"/>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09D"/>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50FF"/>
    <w:rsid w:val="006B5632"/>
    <w:rsid w:val="006B5BAB"/>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ED4"/>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406"/>
    <w:rsid w:val="00744891"/>
    <w:rsid w:val="007462F4"/>
    <w:rsid w:val="00746DEA"/>
    <w:rsid w:val="0074720F"/>
    <w:rsid w:val="00747D2C"/>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65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6B2F"/>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44D"/>
    <w:rsid w:val="008C3CBD"/>
    <w:rsid w:val="008C48A4"/>
    <w:rsid w:val="008C6082"/>
    <w:rsid w:val="008C683F"/>
    <w:rsid w:val="008C704D"/>
    <w:rsid w:val="008C73B9"/>
    <w:rsid w:val="008C7788"/>
    <w:rsid w:val="008D1C0F"/>
    <w:rsid w:val="008D1C6F"/>
    <w:rsid w:val="008D2BEE"/>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3D44"/>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5C4"/>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46C2"/>
    <w:rsid w:val="009C4DE4"/>
    <w:rsid w:val="009C56B9"/>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5D25"/>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1538"/>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A046B"/>
    <w:rsid w:val="00AA21AC"/>
    <w:rsid w:val="00AA578A"/>
    <w:rsid w:val="00AA5A41"/>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2E76"/>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4C83"/>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1C65"/>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CE7"/>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B4D"/>
    <w:rsid w:val="00C73100"/>
    <w:rsid w:val="00C739DE"/>
    <w:rsid w:val="00C74193"/>
    <w:rsid w:val="00C7456E"/>
    <w:rsid w:val="00C74A86"/>
    <w:rsid w:val="00C74B71"/>
    <w:rsid w:val="00C75073"/>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D32"/>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1A79"/>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3DDF"/>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DB6C-8A30-48D7-9278-43A921AE877B}">
  <ds:schemaRefs>
    <ds:schemaRef ds:uri="http://schemas.openxmlformats.org/officeDocument/2006/bibliography"/>
  </ds:schemaRefs>
</ds:datastoreItem>
</file>

<file path=customXml/itemProps2.xml><?xml version="1.0" encoding="utf-8"?>
<ds:datastoreItem xmlns:ds="http://schemas.openxmlformats.org/officeDocument/2006/customXml" ds:itemID="{B340337E-D93C-43C6-BF49-D6213DCE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54757</Words>
  <Characters>31213</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2020-03-31T10:17:00Z</dcterms:created>
  <dcterms:modified xsi:type="dcterms:W3CDTF">2020-04-07T11:52:00Z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Lina.Jocenkaite@ignitis.lt</vt:lpwstr>
  </property>
  <property fmtid="{D5CDD505-2E9C-101B-9397-08002B2CF9AE}" pid="5" name="MSIP_Label_320c693d-44b7-4e16-b3dd-4fcd87401cf5_SetDate">
    <vt:lpwstr>2020-03-31T10:17:50.5271379Z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cbe79597-1a26-44c5-9d99-f8b7f7019162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Lina.Jocenkaite@ignitis.lt</vt:lpwstr>
  </property>
  <property fmtid="{D5CDD505-2E9C-101B-9397-08002B2CF9AE}" pid="13" name="MSIP_Label_190751af-2442-49a7-b7b9-9f0bcce858c9_SetDate">
    <vt:lpwstr>2020-03-31T10:17:50.5271379Z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cbe79597-1a26-44c5-9d99-f8b7f7019162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