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TP/_layouts/15/DocIdRedir.aspx?ID=PVIS-1996228316-380</Url>
      <Description>PVIS-1996228316-380</Description>
    </_dlc_DocIdUrl>
    <Nuoseklūs xmlns="58896280-883f-49e1-8f2c-86b01e3ff616">
      <UserInfo>
        <DisplayName/>
        <AccountId xsi:nil="true"/>
        <AccountType/>
      </UserInfo>
    </Nuoseklūs>
    <_dlc_DocId xmlns="58896280-883f-49e1-8f2c-86b01e3ff616">PVIS-1996228316-380</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4BC97769-DB69-44F7-A415-B1C529EC456D}"/>
</file>

<file path=customXml/itemProps3.xml><?xml version="1.0" encoding="utf-8"?>
<ds:datastoreItem xmlns:ds="http://schemas.openxmlformats.org/officeDocument/2006/customXml" ds:itemID="{61B5AF1F-AFEB-4A32-A44E-57687D21F55B}"/>
</file>

<file path=customXml/itemProps4.xml><?xml version="1.0" encoding="utf-8"?>
<ds:datastoreItem xmlns:ds="http://schemas.openxmlformats.org/officeDocument/2006/customXml" ds:itemID="{95ED63C8-8F39-4F93-815A-42B0C6C10E71}"/>
</file>

<file path=customXml/itemProps5.xml><?xml version="1.0" encoding="utf-8"?>
<ds:datastoreItem xmlns:ds="http://schemas.openxmlformats.org/officeDocument/2006/customXml" ds:itemID="{FE786536-B7CA-46CA-9EB5-57AD695A89D7}"/>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0x01010066872F3CC8F7D84995438B893169A0800200E576020E950EE5489EEFB4BBF4C6CF2F</vt:lpwstr>
  </property>
  <property fmtid="{D5CDD505-2E9C-101B-9397-08002B2CF9AE}" pid="10" name="_dlc_DocIdItemGuid">
    <vt:lpwstr>62520385-075f-4cfd-b14c-08e9da4ea2c1</vt:lpwstr>
  </property>
</Properties>
</file>