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73D10892" w:rsidR="003C1024" w:rsidRPr="00CB38F4" w:rsidRDefault="00E80F10" w:rsidP="00CB38F4">
      <w:pPr>
        <w:pStyle w:val="BodyTextIndent"/>
        <w:spacing w:after="60"/>
        <w:ind w:firstLine="0"/>
        <w:jc w:val="center"/>
        <w:rPr>
          <w:rFonts w:ascii="Arial" w:hAnsi="Arial" w:cs="Arial"/>
          <w:b/>
          <w:sz w:val="20"/>
        </w:rPr>
      </w:pPr>
      <w:r>
        <w:rPr>
          <w:rFonts w:ascii="Arial" w:hAnsi="Arial" w:cs="Arial"/>
          <w:b/>
          <w:sz w:val="20"/>
        </w:rPr>
        <w:t xml:space="preserve">FINANSIONIO AUDITO </w:t>
      </w:r>
      <w:r w:rsidR="003C22EA">
        <w:rPr>
          <w:rFonts w:ascii="Arial" w:hAnsi="Arial" w:cs="Arial"/>
          <w:b/>
          <w:sz w:val="20"/>
        </w:rPr>
        <w:t xml:space="preserve">PASLAUGŲ TEIKIMO </w:t>
      </w:r>
      <w:r w:rsidR="003F5F11" w:rsidRPr="00CB38F4">
        <w:rPr>
          <w:rFonts w:ascii="Arial" w:hAnsi="Arial" w:cs="Arial"/>
          <w:b/>
          <w:sz w:val="20"/>
        </w:rPr>
        <w:t>SUTARTIES SPECIALIOJI DALIS</w:t>
      </w:r>
    </w:p>
    <w:p w14:paraId="49045664" w14:textId="6302C777"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00A615B1" w:rsidRPr="00A615B1">
        <w:rPr>
          <w:rFonts w:ascii="Arial" w:hAnsi="Arial" w:cs="Arial"/>
          <w:sz w:val="20"/>
        </w:rPr>
        <w:t>1.4.1.20200117-1</w:t>
      </w:r>
    </w:p>
    <w:p w14:paraId="46731F08" w14:textId="77777777" w:rsidR="003C1024" w:rsidRPr="00CB38F4" w:rsidRDefault="003C1024" w:rsidP="00CB38F4">
      <w:pPr>
        <w:pStyle w:val="BodyTextIndent"/>
        <w:spacing w:after="60"/>
        <w:ind w:firstLine="0"/>
        <w:rPr>
          <w:rFonts w:ascii="Arial" w:hAnsi="Arial" w:cs="Arial"/>
          <w:sz w:val="20"/>
        </w:rPr>
      </w:pPr>
    </w:p>
    <w:p w14:paraId="689083BD" w14:textId="77777777" w:rsidR="00271883" w:rsidRDefault="00271883" w:rsidP="00271883">
      <w:pPr>
        <w:widowControl w:val="0"/>
        <w:autoSpaceDE w:val="0"/>
        <w:autoSpaceDN w:val="0"/>
        <w:adjustRightInd w:val="0"/>
        <w:spacing w:before="60" w:after="60"/>
        <w:jc w:val="both"/>
        <w:rPr>
          <w:rFonts w:ascii="Arial" w:hAnsi="Arial" w:cs="Arial"/>
          <w:lang w:eastAsia="lt-LT"/>
        </w:rPr>
      </w:pPr>
    </w:p>
    <w:p w14:paraId="0B1ADB68" w14:textId="2E610E4E" w:rsidR="00271883" w:rsidRPr="00325D73" w:rsidRDefault="00830EE8" w:rsidP="00271883">
      <w:pPr>
        <w:widowControl w:val="0"/>
        <w:autoSpaceDE w:val="0"/>
        <w:autoSpaceDN w:val="0"/>
        <w:adjustRightInd w:val="0"/>
        <w:spacing w:before="60" w:after="60"/>
        <w:jc w:val="both"/>
        <w:rPr>
          <w:rFonts w:ascii="Arial" w:hAnsi="Arial" w:cs="Arial"/>
        </w:rPr>
      </w:pPr>
      <w:r w:rsidRPr="00830EE8">
        <w:rPr>
          <w:rFonts w:ascii="Arial" w:hAnsi="Arial" w:cs="Arial"/>
          <w:b/>
        </w:rPr>
        <w:t xml:space="preserve">UAB „VVP </w:t>
      </w:r>
      <w:proofErr w:type="spellStart"/>
      <w:r w:rsidRPr="00830EE8">
        <w:rPr>
          <w:rFonts w:ascii="Arial" w:hAnsi="Arial" w:cs="Arial"/>
          <w:b/>
        </w:rPr>
        <w:t>Investment</w:t>
      </w:r>
      <w:proofErr w:type="spellEnd"/>
      <w:r w:rsidRPr="00830EE8">
        <w:rPr>
          <w:rFonts w:ascii="Arial" w:hAnsi="Arial" w:cs="Arial"/>
          <w:b/>
        </w:rPr>
        <w:t>“</w:t>
      </w:r>
      <w:r w:rsidRPr="00325D73">
        <w:rPr>
          <w:rFonts w:ascii="Arial" w:hAnsi="Arial" w:cs="Arial"/>
        </w:rPr>
        <w:t xml:space="preserve"> </w:t>
      </w:r>
      <w:r w:rsidR="00271883" w:rsidRPr="00325D73">
        <w:rPr>
          <w:rFonts w:ascii="Arial" w:hAnsi="Arial" w:cs="Arial"/>
        </w:rPr>
        <w:t xml:space="preserve">pagal </w:t>
      </w:r>
      <w:r w:rsidR="00271883" w:rsidRPr="00830EE8">
        <w:rPr>
          <w:rFonts w:ascii="Arial" w:hAnsi="Arial" w:cs="Arial"/>
        </w:rPr>
        <w:t>L</w:t>
      </w:r>
      <w:r w:rsidR="00271883" w:rsidRPr="00325D73">
        <w:rPr>
          <w:rFonts w:ascii="Arial" w:hAnsi="Arial" w:cs="Arial"/>
        </w:rPr>
        <w:t xml:space="preserve">ietuvos Respublikos teisės aktus įsteigta ir veikianti bendrovė, kodas juridinių asmenų registre </w:t>
      </w:r>
      <w:r w:rsidRPr="00830EE8">
        <w:rPr>
          <w:rFonts w:ascii="Arial" w:hAnsi="Arial" w:cs="Arial"/>
        </w:rPr>
        <w:t>302661590</w:t>
      </w:r>
      <w:r>
        <w:rPr>
          <w:rFonts w:ascii="Arial" w:hAnsi="Arial" w:cs="Arial"/>
        </w:rPr>
        <w:t xml:space="preserve">, </w:t>
      </w:r>
      <w:r w:rsidR="00271883" w:rsidRPr="00325D73">
        <w:rPr>
          <w:rFonts w:ascii="Arial" w:hAnsi="Arial" w:cs="Arial"/>
        </w:rPr>
        <w:t xml:space="preserve">buveinės adresas </w:t>
      </w:r>
      <w:r w:rsidRPr="00830EE8">
        <w:rPr>
          <w:rFonts w:ascii="Arial" w:hAnsi="Arial" w:cs="Arial"/>
        </w:rPr>
        <w:t>Žvejų g. 14</w:t>
      </w:r>
      <w:r w:rsidRPr="00325D73">
        <w:rPr>
          <w:rFonts w:ascii="Arial" w:hAnsi="Arial" w:cs="Arial"/>
        </w:rPr>
        <w:t xml:space="preserve"> </w:t>
      </w:r>
      <w:r>
        <w:rPr>
          <w:rFonts w:ascii="Arial" w:hAnsi="Arial" w:cs="Arial"/>
        </w:rPr>
        <w:t xml:space="preserve">Vilnius, </w:t>
      </w:r>
      <w:r w:rsidR="00271883" w:rsidRPr="00325D73">
        <w:rPr>
          <w:rFonts w:ascii="Arial" w:hAnsi="Arial" w:cs="Arial"/>
        </w:rPr>
        <w:t xml:space="preserve">atstovaujama (toliau – </w:t>
      </w:r>
      <w:r w:rsidR="00271883" w:rsidRPr="00325D73">
        <w:rPr>
          <w:rFonts w:ascii="Arial" w:hAnsi="Arial" w:cs="Arial"/>
          <w:b/>
        </w:rPr>
        <w:t>„</w:t>
      </w:r>
      <w:r w:rsidR="00271883" w:rsidRPr="00325D73">
        <w:rPr>
          <w:rFonts w:ascii="Arial" w:hAnsi="Arial" w:cs="Arial"/>
          <w:b/>
          <w:bCs/>
        </w:rPr>
        <w:t>Užsakovas</w:t>
      </w:r>
      <w:r w:rsidR="00271883" w:rsidRPr="00325D73">
        <w:rPr>
          <w:rFonts w:ascii="Arial" w:hAnsi="Arial" w:cs="Arial"/>
          <w:b/>
        </w:rPr>
        <w:t>“</w:t>
      </w:r>
      <w:r w:rsidR="00271883" w:rsidRPr="00325D73">
        <w:rPr>
          <w:rFonts w:ascii="Arial" w:hAnsi="Arial" w:cs="Arial"/>
        </w:rPr>
        <w:t>),</w:t>
      </w:r>
    </w:p>
    <w:p w14:paraId="205FCDEB" w14:textId="77777777" w:rsidR="00271883" w:rsidRPr="00325D73" w:rsidRDefault="00271883" w:rsidP="00271883">
      <w:pPr>
        <w:widowControl w:val="0"/>
        <w:autoSpaceDE w:val="0"/>
        <w:autoSpaceDN w:val="0"/>
        <w:adjustRightInd w:val="0"/>
        <w:spacing w:before="60" w:after="60"/>
        <w:jc w:val="both"/>
        <w:rPr>
          <w:rFonts w:ascii="Arial" w:hAnsi="Arial" w:cs="Arial"/>
        </w:rPr>
      </w:pPr>
      <w:r w:rsidRPr="00325D73">
        <w:rPr>
          <w:rFonts w:ascii="Arial" w:hAnsi="Arial" w:cs="Arial"/>
        </w:rPr>
        <w:t>ir</w:t>
      </w:r>
    </w:p>
    <w:p w14:paraId="166B7F80" w14:textId="1948F917" w:rsidR="00271883" w:rsidRPr="00325D73" w:rsidRDefault="003A7AF4" w:rsidP="00271883">
      <w:pPr>
        <w:widowControl w:val="0"/>
        <w:autoSpaceDE w:val="0"/>
        <w:autoSpaceDN w:val="0"/>
        <w:adjustRightInd w:val="0"/>
        <w:spacing w:before="60" w:after="60"/>
        <w:jc w:val="both"/>
        <w:rPr>
          <w:rFonts w:ascii="Arial" w:hAnsi="Arial" w:cs="Arial"/>
        </w:rPr>
      </w:pPr>
      <w:r w:rsidRPr="003A7AF4">
        <w:rPr>
          <w:rFonts w:ascii="Arial" w:hAnsi="Arial" w:cs="Arial"/>
          <w:b/>
        </w:rPr>
        <w:t>UŽDAROJI AKCINĖ BENDROVĖ „ERNST &amp; YOUNG BALTIC“</w:t>
      </w:r>
      <w:r w:rsidR="00271883" w:rsidRPr="003A7AF4">
        <w:rPr>
          <w:rFonts w:ascii="Arial" w:hAnsi="Arial" w:cs="Arial"/>
          <w:b/>
        </w:rPr>
        <w:t xml:space="preserve"> </w:t>
      </w:r>
      <w:r w:rsidR="00271883" w:rsidRPr="003A7AF4">
        <w:rPr>
          <w:rFonts w:ascii="Arial" w:hAnsi="Arial" w:cs="Arial"/>
        </w:rPr>
        <w:t>pagal</w:t>
      </w:r>
      <w:r w:rsidR="00271883" w:rsidRPr="00325D73">
        <w:rPr>
          <w:rFonts w:ascii="Arial" w:hAnsi="Arial" w:cs="Arial"/>
        </w:rPr>
        <w:t xml:space="preserve"> </w:t>
      </w:r>
      <w:r w:rsidR="00271883" w:rsidRPr="003A7AF4">
        <w:rPr>
          <w:rFonts w:ascii="Arial" w:hAnsi="Arial" w:cs="Arial"/>
        </w:rPr>
        <w:t>L</w:t>
      </w:r>
      <w:r w:rsidR="00271883" w:rsidRPr="00325D73">
        <w:rPr>
          <w:rFonts w:ascii="Arial" w:hAnsi="Arial" w:cs="Arial"/>
        </w:rPr>
        <w:t xml:space="preserve">ietuvos Respublikos teisės aktus įsteigta ir veikianti </w:t>
      </w:r>
      <w:r>
        <w:rPr>
          <w:rFonts w:ascii="Arial" w:hAnsi="Arial" w:cs="Arial"/>
        </w:rPr>
        <w:t>uždaroji akcinė bendrovė</w:t>
      </w:r>
      <w:r w:rsidR="00271883" w:rsidRPr="00325D73">
        <w:rPr>
          <w:rFonts w:ascii="Arial" w:hAnsi="Arial" w:cs="Arial"/>
        </w:rPr>
        <w:t xml:space="preserve">, kodas juridinių asmenų registre </w:t>
      </w:r>
      <w:r w:rsidRPr="003A7AF4">
        <w:rPr>
          <w:rFonts w:ascii="Arial" w:hAnsi="Arial" w:cs="Arial"/>
        </w:rPr>
        <w:t>110878442</w:t>
      </w:r>
      <w:r w:rsidR="00271883" w:rsidRPr="00325D73">
        <w:rPr>
          <w:rFonts w:ascii="Arial" w:hAnsi="Arial" w:cs="Arial"/>
        </w:rPr>
        <w:t xml:space="preserve">, buveinės adresas </w:t>
      </w:r>
      <w:r w:rsidRPr="003A7AF4">
        <w:rPr>
          <w:rFonts w:ascii="Arial" w:hAnsi="Arial" w:cs="Arial"/>
        </w:rPr>
        <w:t xml:space="preserve">Subačiaus g. 7, </w:t>
      </w:r>
      <w:r>
        <w:rPr>
          <w:rFonts w:ascii="Arial" w:hAnsi="Arial" w:cs="Arial"/>
        </w:rPr>
        <w:t xml:space="preserve">LT-01302 </w:t>
      </w:r>
      <w:r w:rsidRPr="003A7AF4">
        <w:rPr>
          <w:rFonts w:ascii="Arial" w:hAnsi="Arial" w:cs="Arial"/>
        </w:rPr>
        <w:t xml:space="preserve">Vilnius </w:t>
      </w:r>
      <w:r w:rsidR="00271883" w:rsidRPr="00325D73">
        <w:rPr>
          <w:rFonts w:ascii="Arial" w:hAnsi="Arial" w:cs="Arial"/>
        </w:rPr>
        <w:t xml:space="preserve">atstovaujama (toliau – </w:t>
      </w:r>
      <w:r w:rsidR="00271883" w:rsidRPr="00325D73">
        <w:rPr>
          <w:rFonts w:ascii="Arial" w:hAnsi="Arial" w:cs="Arial"/>
          <w:b/>
        </w:rPr>
        <w:t>„Paslaugų teikėjas“</w:t>
      </w:r>
      <w:r w:rsidR="00271883" w:rsidRPr="00325D73">
        <w:rPr>
          <w:rFonts w:ascii="Arial" w:hAnsi="Arial" w:cs="Arial"/>
        </w:rPr>
        <w:t xml:space="preserve">) </w:t>
      </w:r>
    </w:p>
    <w:p w14:paraId="3506FDC9" w14:textId="77777777" w:rsidR="00271883" w:rsidRDefault="00271883" w:rsidP="00271883">
      <w:pPr>
        <w:widowControl w:val="0"/>
        <w:autoSpaceDE w:val="0"/>
        <w:autoSpaceDN w:val="0"/>
        <w:adjustRightInd w:val="0"/>
        <w:spacing w:before="60" w:after="60"/>
        <w:jc w:val="both"/>
        <w:rPr>
          <w:rFonts w:ascii="Arial" w:hAnsi="Arial" w:cs="Arial"/>
        </w:rPr>
      </w:pPr>
    </w:p>
    <w:p w14:paraId="6842C8E8" w14:textId="77777777" w:rsidR="00271883" w:rsidRDefault="00271883" w:rsidP="00271883">
      <w:pPr>
        <w:widowControl w:val="0"/>
        <w:autoSpaceDE w:val="0"/>
        <w:autoSpaceDN w:val="0"/>
        <w:adjustRightInd w:val="0"/>
        <w:spacing w:before="60" w:after="60"/>
        <w:jc w:val="both"/>
        <w:rPr>
          <w:rFonts w:ascii="Arial" w:hAnsi="Arial" w:cs="Arial"/>
          <w:lang w:eastAsia="lt-LT"/>
        </w:rPr>
      </w:pPr>
      <w:r>
        <w:rPr>
          <w:rFonts w:ascii="Arial" w:hAnsi="Arial" w:cs="Arial"/>
          <w:lang w:eastAsia="lt-LT"/>
        </w:rPr>
        <w:t xml:space="preserve">toliau kartu vadinami </w:t>
      </w:r>
      <w:r>
        <w:rPr>
          <w:rFonts w:ascii="Arial" w:hAnsi="Arial" w:cs="Arial"/>
          <w:b/>
          <w:lang w:eastAsia="lt-LT"/>
        </w:rPr>
        <w:t>„</w:t>
      </w:r>
      <w:r>
        <w:rPr>
          <w:rFonts w:ascii="Arial" w:hAnsi="Arial" w:cs="Arial"/>
          <w:b/>
          <w:bCs/>
          <w:lang w:eastAsia="lt-LT"/>
        </w:rPr>
        <w:t>Šalimis</w:t>
      </w:r>
      <w:r>
        <w:rPr>
          <w:rFonts w:ascii="Arial" w:hAnsi="Arial" w:cs="Arial"/>
          <w:b/>
          <w:lang w:eastAsia="lt-LT"/>
        </w:rPr>
        <w:t>“</w:t>
      </w:r>
      <w:r>
        <w:rPr>
          <w:rFonts w:ascii="Arial" w:hAnsi="Arial" w:cs="Arial"/>
          <w:lang w:eastAsia="lt-LT"/>
        </w:rPr>
        <w:t xml:space="preserve">, o kiekvienas atskirai – </w:t>
      </w:r>
      <w:r>
        <w:rPr>
          <w:rFonts w:ascii="Arial" w:hAnsi="Arial" w:cs="Arial"/>
          <w:b/>
          <w:lang w:eastAsia="lt-LT"/>
        </w:rPr>
        <w:t>„</w:t>
      </w:r>
      <w:r>
        <w:rPr>
          <w:rFonts w:ascii="Arial" w:hAnsi="Arial" w:cs="Arial"/>
          <w:b/>
          <w:bCs/>
          <w:lang w:eastAsia="lt-LT"/>
        </w:rPr>
        <w:t>Šalimi</w:t>
      </w:r>
      <w:r>
        <w:rPr>
          <w:rFonts w:ascii="Arial" w:hAnsi="Arial" w:cs="Arial"/>
          <w:b/>
          <w:lang w:eastAsia="lt-LT"/>
        </w:rPr>
        <w:t>“</w:t>
      </w:r>
      <w:r>
        <w:rPr>
          <w:rFonts w:ascii="Arial" w:hAnsi="Arial" w:cs="Arial"/>
          <w:lang w:eastAsia="lt-LT"/>
        </w:rPr>
        <w:t>,</w:t>
      </w:r>
    </w:p>
    <w:p w14:paraId="652251A8" w14:textId="77777777" w:rsidR="00271883" w:rsidRDefault="00271883" w:rsidP="00271883">
      <w:pPr>
        <w:widowControl w:val="0"/>
        <w:autoSpaceDE w:val="0"/>
        <w:autoSpaceDN w:val="0"/>
        <w:adjustRightInd w:val="0"/>
        <w:spacing w:before="60" w:after="60"/>
        <w:jc w:val="both"/>
        <w:rPr>
          <w:rFonts w:ascii="Arial" w:hAnsi="Arial" w:cs="Arial"/>
          <w:lang w:eastAsia="lt-LT"/>
        </w:rPr>
      </w:pPr>
    </w:p>
    <w:p w14:paraId="70A39104" w14:textId="77777777" w:rsidR="00271883" w:rsidRDefault="00271883" w:rsidP="0025678E">
      <w:pPr>
        <w:widowControl w:val="0"/>
        <w:autoSpaceDE w:val="0"/>
        <w:autoSpaceDN w:val="0"/>
        <w:adjustRightInd w:val="0"/>
        <w:spacing w:before="60" w:after="60"/>
        <w:jc w:val="both"/>
        <w:outlineLvl w:val="0"/>
        <w:rPr>
          <w:rFonts w:ascii="Arial" w:hAnsi="Arial" w:cs="Arial"/>
          <w:b/>
          <w:bCs/>
          <w:caps/>
          <w:lang w:eastAsia="lt-LT"/>
        </w:rPr>
      </w:pPr>
      <w:bookmarkStart w:id="0" w:name="_Ref165800140"/>
      <w:r>
        <w:rPr>
          <w:rFonts w:ascii="Arial" w:hAnsi="Arial" w:cs="Arial"/>
          <w:b/>
          <w:bCs/>
          <w:caps/>
          <w:lang w:eastAsia="lt-LT"/>
        </w:rPr>
        <w:t>KADANGI:</w:t>
      </w:r>
    </w:p>
    <w:p w14:paraId="4DFF3160" w14:textId="77777777" w:rsidR="00271883" w:rsidRPr="005E5F5F" w:rsidRDefault="00271883" w:rsidP="00271883">
      <w:pPr>
        <w:widowControl w:val="0"/>
        <w:numPr>
          <w:ilvl w:val="0"/>
          <w:numId w:val="23"/>
        </w:numPr>
        <w:autoSpaceDE w:val="0"/>
        <w:autoSpaceDN w:val="0"/>
        <w:adjustRightInd w:val="0"/>
        <w:spacing w:before="120" w:after="60"/>
        <w:jc w:val="both"/>
        <w:rPr>
          <w:rFonts w:ascii="Arial" w:hAnsi="Arial" w:cs="Arial"/>
          <w:lang w:eastAsia="lt-LT"/>
        </w:rPr>
      </w:pPr>
      <w:bookmarkStart w:id="1" w:name="OLE_LINK10"/>
      <w:r w:rsidRPr="005E5F5F">
        <w:rPr>
          <w:rFonts w:ascii="Arial" w:hAnsi="Arial" w:cs="Arial"/>
        </w:rPr>
        <w:t xml:space="preserve">Užsakovui yra reikalingos </w:t>
      </w:r>
      <w:bookmarkEnd w:id="1"/>
      <w:r w:rsidRPr="005E5F5F">
        <w:rPr>
          <w:rFonts w:ascii="Arial" w:hAnsi="Arial" w:cs="Arial"/>
        </w:rPr>
        <w:t xml:space="preserve">finansinių ataskaitų, paruoštų pagal Tarptautinius finansinės atskaitomybės standartus, priimtus taikyti Europos Sąjungoje, audito, atliekamo pagal Tarptautinius audito standartus ir peržvalgos, atliekamos pagal </w:t>
      </w:r>
      <w:r w:rsidRPr="00DF1158">
        <w:rPr>
          <w:rFonts w:ascii="Arial" w:hAnsi="Arial" w:cs="Arial"/>
        </w:rPr>
        <w:t>Tarptautinį standartą, taikomą peržvalgų užduotims Nr. 2410 „Įmonės tarpinės finansinės informacijos peržvalga, atliekama nepriklausomo auditoriaus“ paslaugas</w:t>
      </w:r>
      <w:r>
        <w:rPr>
          <w:rFonts w:ascii="Arial" w:hAnsi="Arial" w:cs="Arial"/>
        </w:rPr>
        <w:t xml:space="preserve"> </w:t>
      </w:r>
      <w:r w:rsidRPr="005E5F5F">
        <w:rPr>
          <w:rFonts w:ascii="Arial" w:hAnsi="Arial" w:cs="Arial"/>
        </w:rPr>
        <w:t>ir kitos šioje sutartyje nurodytos Paslaugos</w:t>
      </w:r>
      <w:r w:rsidRPr="005E5F5F">
        <w:rPr>
          <w:rFonts w:ascii="Arial" w:hAnsi="Arial" w:cs="Arial"/>
          <w:lang w:eastAsia="lt-LT"/>
        </w:rPr>
        <w:t xml:space="preserve"> (toliau – </w:t>
      </w:r>
      <w:r w:rsidRPr="005E5F5F">
        <w:rPr>
          <w:rFonts w:ascii="Arial" w:hAnsi="Arial" w:cs="Arial"/>
          <w:b/>
          <w:lang w:eastAsia="lt-LT"/>
        </w:rPr>
        <w:t>„</w:t>
      </w:r>
      <w:r w:rsidRPr="005E5F5F">
        <w:rPr>
          <w:rFonts w:ascii="Arial" w:hAnsi="Arial" w:cs="Arial"/>
          <w:b/>
          <w:bCs/>
          <w:lang w:eastAsia="lt-LT"/>
        </w:rPr>
        <w:t>Paslaugos“ arba „Auditas“</w:t>
      </w:r>
      <w:r>
        <w:rPr>
          <w:rFonts w:ascii="Arial" w:hAnsi="Arial" w:cs="Arial"/>
          <w:b/>
          <w:bCs/>
          <w:lang w:eastAsia="lt-LT"/>
        </w:rPr>
        <w:t>, arba ,,Peržvalga“</w:t>
      </w:r>
      <w:r w:rsidRPr="005E5F5F">
        <w:rPr>
          <w:rFonts w:ascii="Arial" w:hAnsi="Arial" w:cs="Arial"/>
          <w:lang w:eastAsia="lt-LT"/>
        </w:rPr>
        <w:t>);</w:t>
      </w:r>
    </w:p>
    <w:p w14:paraId="52161181" w14:textId="6BCB44D9" w:rsidR="00271883" w:rsidRDefault="00271883" w:rsidP="00271883">
      <w:pPr>
        <w:widowControl w:val="0"/>
        <w:numPr>
          <w:ilvl w:val="0"/>
          <w:numId w:val="23"/>
        </w:numPr>
        <w:autoSpaceDE w:val="0"/>
        <w:autoSpaceDN w:val="0"/>
        <w:adjustRightInd w:val="0"/>
        <w:spacing w:before="120" w:after="60"/>
        <w:jc w:val="both"/>
        <w:rPr>
          <w:rFonts w:ascii="Arial" w:hAnsi="Arial" w:cs="Arial"/>
          <w:lang w:eastAsia="lt-LT"/>
        </w:rPr>
      </w:pPr>
      <w:r w:rsidRPr="008763D4">
        <w:rPr>
          <w:rFonts w:ascii="Arial" w:hAnsi="Arial" w:cs="Arial"/>
        </w:rPr>
        <w:t>Užsakovo įgaliotoji perkančioji organizacija UAB Verslo aptarnavimo centras</w:t>
      </w:r>
      <w:r>
        <w:rPr>
          <w:rFonts w:ascii="Arial" w:hAnsi="Arial" w:cs="Arial"/>
        </w:rPr>
        <w:t xml:space="preserve"> atliko šioje sutartyje numatytų Paslaugų pirkimą </w:t>
      </w:r>
      <w:r>
        <w:rPr>
          <w:rFonts w:ascii="Arial" w:hAnsi="Arial" w:cs="Arial"/>
          <w:lang w:eastAsia="lt-LT"/>
        </w:rPr>
        <w:t>(toliau – „</w:t>
      </w:r>
      <w:r>
        <w:rPr>
          <w:rFonts w:ascii="Arial" w:hAnsi="Arial" w:cs="Arial"/>
          <w:b/>
          <w:bCs/>
          <w:lang w:eastAsia="lt-LT"/>
        </w:rPr>
        <w:t>Pirkimas“</w:t>
      </w:r>
      <w:r>
        <w:rPr>
          <w:rFonts w:ascii="Arial" w:hAnsi="Arial" w:cs="Arial"/>
          <w:lang w:eastAsia="lt-LT"/>
        </w:rPr>
        <w:t>), o Paslaugų teikėjo pateiktas pasiūlymas, perkant Paslaugas  buvo pripažintas laimėjusiu;</w:t>
      </w:r>
    </w:p>
    <w:p w14:paraId="33AA75B4" w14:textId="77777777" w:rsidR="00271883" w:rsidRDefault="00271883" w:rsidP="00271883">
      <w:pPr>
        <w:widowControl w:val="0"/>
        <w:numPr>
          <w:ilvl w:val="0"/>
          <w:numId w:val="23"/>
        </w:numPr>
        <w:autoSpaceDE w:val="0"/>
        <w:autoSpaceDN w:val="0"/>
        <w:adjustRightInd w:val="0"/>
        <w:spacing w:before="120" w:after="60"/>
        <w:jc w:val="both"/>
        <w:rPr>
          <w:rFonts w:ascii="Arial" w:hAnsi="Arial" w:cs="Arial"/>
          <w:lang w:eastAsia="lt-LT"/>
        </w:rPr>
      </w:pPr>
      <w:r>
        <w:rPr>
          <w:rFonts w:ascii="Arial" w:hAnsi="Arial" w:cs="Arial"/>
          <w:lang w:eastAsia="lt-LT"/>
        </w:rPr>
        <w:t>Šalys susitarė sudaryti šią Paslaugų pirkimo sutartį (toliau – „</w:t>
      </w:r>
      <w:r>
        <w:rPr>
          <w:rFonts w:ascii="Arial" w:hAnsi="Arial" w:cs="Arial"/>
          <w:b/>
          <w:bCs/>
          <w:lang w:eastAsia="lt-LT"/>
        </w:rPr>
        <w:t>Sutartis“</w:t>
      </w:r>
      <w:r>
        <w:rPr>
          <w:rFonts w:ascii="Arial" w:hAnsi="Arial" w:cs="Arial"/>
          <w:lang w:eastAsia="lt-LT"/>
        </w:rPr>
        <w:t>), vadovaudamosi Pirkimo dokumentų reikalavimais ir Paslaugų teikėjo pateiktu pasiūlymu;</w:t>
      </w:r>
    </w:p>
    <w:p w14:paraId="2D724D30" w14:textId="77777777" w:rsidR="00271883" w:rsidRDefault="00271883" w:rsidP="00271883">
      <w:pPr>
        <w:spacing w:before="120"/>
        <w:ind w:left="709"/>
        <w:jc w:val="both"/>
        <w:rPr>
          <w:rFonts w:ascii="Arial" w:hAnsi="Arial" w:cs="Arial"/>
          <w:lang w:eastAsia="lt-LT"/>
        </w:rPr>
      </w:pPr>
    </w:p>
    <w:p w14:paraId="1507F944" w14:textId="77777777" w:rsidR="00271883" w:rsidRDefault="00271883" w:rsidP="00271883">
      <w:pPr>
        <w:widowControl w:val="0"/>
        <w:autoSpaceDE w:val="0"/>
        <w:autoSpaceDN w:val="0"/>
        <w:adjustRightInd w:val="0"/>
        <w:spacing w:before="120" w:after="120"/>
        <w:jc w:val="both"/>
        <w:rPr>
          <w:rFonts w:ascii="Arial" w:hAnsi="Arial" w:cs="Arial"/>
          <w:lang w:eastAsia="lt-LT"/>
        </w:rPr>
      </w:pPr>
      <w:r>
        <w:rPr>
          <w:rFonts w:ascii="Arial" w:hAnsi="Arial" w:cs="Arial"/>
          <w:b/>
          <w:bCs/>
          <w:lang w:eastAsia="lt-LT"/>
        </w:rPr>
        <w:t xml:space="preserve">TODĖL </w:t>
      </w:r>
      <w:r>
        <w:rPr>
          <w:rFonts w:ascii="Arial" w:hAnsi="Arial" w:cs="Arial"/>
          <w:lang w:eastAsia="lt-LT"/>
        </w:rPr>
        <w:t xml:space="preserve">Šalys, norėdamos įgyti atitinkamas sutartines teises ir prisiimti atitinkamus sutartinius įsipareigojimus, susitarė taip: </w:t>
      </w:r>
    </w:p>
    <w:bookmarkEnd w:id="0"/>
    <w:p w14:paraId="6DF25C79" w14:textId="77777777" w:rsidR="00271883" w:rsidRDefault="00271883" w:rsidP="00271883">
      <w:pPr>
        <w:widowControl w:val="0"/>
        <w:autoSpaceDE w:val="0"/>
        <w:autoSpaceDN w:val="0"/>
        <w:adjustRightInd w:val="0"/>
        <w:snapToGrid w:val="0"/>
        <w:spacing w:before="60" w:after="60"/>
        <w:jc w:val="both"/>
        <w:rPr>
          <w:rFonts w:ascii="Arial" w:hAnsi="Arial" w:cs="Arial"/>
          <w:bCs/>
        </w:rPr>
      </w:pPr>
    </w:p>
    <w:p w14:paraId="05D285B2" w14:textId="232C6462" w:rsidR="00271883" w:rsidRDefault="004B1657" w:rsidP="004B1657">
      <w:pPr>
        <w:widowControl w:val="0"/>
        <w:numPr>
          <w:ilvl w:val="0"/>
          <w:numId w:val="17"/>
        </w:numPr>
        <w:autoSpaceDE w:val="0"/>
        <w:autoSpaceDN w:val="0"/>
        <w:adjustRightInd w:val="0"/>
        <w:snapToGrid w:val="0"/>
        <w:spacing w:before="60" w:after="60"/>
        <w:jc w:val="center"/>
        <w:rPr>
          <w:rFonts w:ascii="Arial" w:hAnsi="Arial" w:cs="Arial"/>
          <w:b/>
          <w:bCs/>
        </w:rPr>
      </w:pPr>
      <w:r>
        <w:rPr>
          <w:rFonts w:ascii="Arial" w:hAnsi="Arial" w:cs="Arial"/>
          <w:b/>
          <w:bCs/>
        </w:rPr>
        <w:t xml:space="preserve">SUTARTIES </w:t>
      </w:r>
      <w:bookmarkStart w:id="2" w:name="OLE_LINK2"/>
      <w:bookmarkStart w:id="3" w:name="OLE_LINK1"/>
      <w:r>
        <w:rPr>
          <w:rFonts w:ascii="Arial" w:hAnsi="Arial" w:cs="Arial"/>
          <w:b/>
          <w:bCs/>
        </w:rPr>
        <w:t>DALYKAS</w:t>
      </w:r>
    </w:p>
    <w:bookmarkEnd w:id="2"/>
    <w:bookmarkEnd w:id="3"/>
    <w:p w14:paraId="69AD352B" w14:textId="01257B6C" w:rsidR="00F16628" w:rsidRDefault="00F16628" w:rsidP="00F16628">
      <w:pPr>
        <w:widowControl w:val="0"/>
        <w:numPr>
          <w:ilvl w:val="1"/>
          <w:numId w:val="17"/>
        </w:numPr>
        <w:autoSpaceDE w:val="0"/>
        <w:autoSpaceDN w:val="0"/>
        <w:adjustRightInd w:val="0"/>
        <w:spacing w:before="60" w:after="60"/>
        <w:contextualSpacing/>
        <w:jc w:val="both"/>
        <w:rPr>
          <w:rFonts w:ascii="Arial" w:hAnsi="Arial" w:cs="Arial"/>
          <w:lang w:eastAsia="lt-LT"/>
        </w:rPr>
      </w:pPr>
      <w:r>
        <w:rPr>
          <w:rFonts w:ascii="Arial" w:hAnsi="Arial" w:cs="Arial"/>
        </w:rPr>
        <w:t xml:space="preserve">Užsakovo visuotinis akcininkų </w:t>
      </w:r>
      <w:r w:rsidRPr="00F16628">
        <w:rPr>
          <w:rFonts w:ascii="Arial" w:hAnsi="Arial" w:cs="Arial"/>
        </w:rPr>
        <w:t xml:space="preserve">susirinkimas </w:t>
      </w:r>
      <w:r w:rsidR="0036218B">
        <w:rPr>
          <w:rFonts w:ascii="Arial" w:hAnsi="Arial" w:cs="Arial"/>
        </w:rPr>
        <w:t>20</w:t>
      </w:r>
      <w:r w:rsidR="00E02F53">
        <w:rPr>
          <w:rFonts w:ascii="Arial" w:hAnsi="Arial" w:cs="Arial"/>
        </w:rPr>
        <w:t>20</w:t>
      </w:r>
      <w:r w:rsidR="0036218B">
        <w:rPr>
          <w:rFonts w:ascii="Arial" w:hAnsi="Arial" w:cs="Arial"/>
        </w:rPr>
        <w:t xml:space="preserve"> m. </w:t>
      </w:r>
      <w:r w:rsidR="00E02F53">
        <w:rPr>
          <w:rFonts w:ascii="Arial" w:hAnsi="Arial" w:cs="Arial"/>
        </w:rPr>
        <w:t>sausio 14</w:t>
      </w:r>
      <w:r w:rsidR="0036218B">
        <w:rPr>
          <w:rFonts w:ascii="Arial" w:hAnsi="Arial" w:cs="Arial"/>
        </w:rPr>
        <w:t xml:space="preserve"> d. </w:t>
      </w:r>
      <w:r>
        <w:rPr>
          <w:rFonts w:ascii="Arial" w:hAnsi="Arial" w:cs="Arial"/>
        </w:rPr>
        <w:t xml:space="preserve">patvirtino Paslaugų teikėją Užsakovo audito įmone. </w:t>
      </w:r>
      <w:r>
        <w:rPr>
          <w:rFonts w:ascii="Arial" w:hAnsi="Arial" w:cs="Arial"/>
          <w:lang w:eastAsia="lt-LT"/>
        </w:rPr>
        <w:t xml:space="preserve">Pagal šią Sutartį Paslaugų teikėjas įsipareigoja atlikti Užsakovui šios Sutarties 2 priede numatytas audito ir peržvalgos paslaugas ir kitas šioje Sutartyje nurodytas Paslaugas, laikydamasis šia Sutartimi nustatytų sąlygų ir teisės aktų reikalavimų, o Užsakovas </w:t>
      </w:r>
      <w:r w:rsidRPr="00F16628">
        <w:rPr>
          <w:rFonts w:ascii="Arial" w:hAnsi="Arial" w:cs="Arial"/>
          <w:lang w:eastAsia="lt-LT"/>
        </w:rPr>
        <w:t>įsipareigoja už laiku ir kokybiškai</w:t>
      </w:r>
      <w:r w:rsidRPr="00B01213">
        <w:rPr>
          <w:rFonts w:ascii="Arial" w:hAnsi="Arial" w:cs="Arial"/>
          <w:color w:val="FF0000"/>
          <w:lang w:eastAsia="lt-LT"/>
        </w:rPr>
        <w:t xml:space="preserve"> </w:t>
      </w:r>
      <w:r>
        <w:rPr>
          <w:rFonts w:ascii="Arial" w:hAnsi="Arial" w:cs="Arial"/>
          <w:lang w:eastAsia="lt-LT"/>
        </w:rPr>
        <w:t>suteiktas Paslaugas apmokėti Sutartyje nurodytomis sąlygomis ir tvarka.</w:t>
      </w:r>
    </w:p>
    <w:p w14:paraId="34DDA5A3" w14:textId="77777777" w:rsidR="00F16628" w:rsidRDefault="00F16628" w:rsidP="00F16628">
      <w:pPr>
        <w:widowControl w:val="0"/>
        <w:tabs>
          <w:tab w:val="num" w:pos="567"/>
          <w:tab w:val="left" w:pos="851"/>
        </w:tabs>
        <w:autoSpaceDE w:val="0"/>
        <w:autoSpaceDN w:val="0"/>
        <w:adjustRightInd w:val="0"/>
        <w:spacing w:before="60" w:after="60"/>
        <w:ind w:left="709" w:hanging="709"/>
        <w:jc w:val="both"/>
        <w:rPr>
          <w:rFonts w:ascii="Arial" w:hAnsi="Arial" w:cs="Arial"/>
        </w:rPr>
      </w:pPr>
      <w:r>
        <w:rPr>
          <w:rFonts w:ascii="Arial" w:hAnsi="Arial" w:cs="Arial"/>
        </w:rPr>
        <w:t xml:space="preserve">1.2.      Paslaugų teikėjas turės teikti Techninėje specifikacijoje nurodytas Paslaugas pagal Užsakovo poreikį ir jo teikiamus atskirus užsakymus. Atskiri užsakymai Paslaugoms įsigyti pateikiami el. paštu, nurodant įsigyjamas Paslaugas ir tikslų jų kiekį. Užsakymai Sutartyje nurodytoms Paslaugoms,  pateikiami per Šalių suderintą terminą. </w:t>
      </w:r>
    </w:p>
    <w:p w14:paraId="36283116" w14:textId="77777777" w:rsidR="00F16628" w:rsidRDefault="00F16628" w:rsidP="00F16628">
      <w:pPr>
        <w:widowControl w:val="0"/>
        <w:tabs>
          <w:tab w:val="num" w:pos="709"/>
        </w:tabs>
        <w:autoSpaceDE w:val="0"/>
        <w:autoSpaceDN w:val="0"/>
        <w:adjustRightInd w:val="0"/>
        <w:spacing w:before="60" w:after="60"/>
        <w:ind w:left="709" w:hanging="709"/>
        <w:jc w:val="both"/>
        <w:rPr>
          <w:rFonts w:ascii="Arial" w:hAnsi="Arial" w:cs="Arial"/>
        </w:rPr>
      </w:pPr>
      <w:r>
        <w:rPr>
          <w:rFonts w:ascii="Arial" w:hAnsi="Arial" w:cs="Arial"/>
        </w:rPr>
        <w:t>1.3.   Užsakovas pagal poreikį neįsipareigoja įsigyti visų išvardintų Paslaugų, kaip nurodyta Techninėje specifikacijoje (2 priedas).</w:t>
      </w:r>
    </w:p>
    <w:p w14:paraId="3EEFEEC9" w14:textId="77777777" w:rsidR="00F16628" w:rsidRPr="005810A2" w:rsidRDefault="00F16628" w:rsidP="00F16628">
      <w:pPr>
        <w:widowControl w:val="0"/>
        <w:tabs>
          <w:tab w:val="num" w:pos="709"/>
        </w:tabs>
        <w:autoSpaceDE w:val="0"/>
        <w:autoSpaceDN w:val="0"/>
        <w:adjustRightInd w:val="0"/>
        <w:spacing w:before="60" w:after="60"/>
        <w:ind w:left="709" w:hanging="709"/>
        <w:jc w:val="both"/>
        <w:rPr>
          <w:rFonts w:ascii="Arial" w:hAnsi="Arial" w:cs="Arial"/>
        </w:rPr>
      </w:pPr>
      <w:r>
        <w:rPr>
          <w:rFonts w:ascii="Arial" w:hAnsi="Arial" w:cs="Arial"/>
        </w:rPr>
        <w:t xml:space="preserve">1.4.    Sutarties galiojimo laikotarpiu Užsakovas turi teisę koreguoti perkamų Paslaugų apimtį, neviršijant Techninėje specifikacijoje (Sutarties 2 priedas) nurodyto Paslaugų kiekio ir Sutartyje nurodytos Paslaugų kainos. Techninėje specifikacijoje nurodytas maksimalus Paslaugų kiekis, kuris nėra </w:t>
      </w:r>
      <w:r w:rsidRPr="005810A2">
        <w:rPr>
          <w:rFonts w:ascii="Arial" w:hAnsi="Arial" w:cs="Arial"/>
        </w:rPr>
        <w:t xml:space="preserve">Užsakovo įsipareigojimas Sutarties galiojimo laikotarpiu nupirkti visą Paslaugų kiekį.  </w:t>
      </w:r>
    </w:p>
    <w:p w14:paraId="15A86E0A" w14:textId="77777777" w:rsidR="00F16628" w:rsidRPr="005810A2" w:rsidRDefault="00F16628" w:rsidP="00F16628">
      <w:pPr>
        <w:pStyle w:val="S2lygis"/>
        <w:numPr>
          <w:ilvl w:val="1"/>
          <w:numId w:val="25"/>
        </w:numPr>
        <w:tabs>
          <w:tab w:val="num" w:pos="709"/>
        </w:tabs>
        <w:spacing w:before="60" w:after="60"/>
        <w:ind w:left="709" w:hanging="709"/>
        <w:rPr>
          <w:rFonts w:ascii="Arial" w:hAnsi="Arial" w:cs="Arial"/>
          <w:i/>
          <w:iCs/>
          <w:sz w:val="20"/>
          <w:szCs w:val="20"/>
          <w:u w:val="single"/>
          <w:lang w:eastAsia="lt-LT"/>
        </w:rPr>
      </w:pPr>
      <w:bookmarkStart w:id="4" w:name="_Ref349719914"/>
      <w:bookmarkStart w:id="5" w:name="_Ref349119600"/>
      <w:r w:rsidRPr="005810A2">
        <w:rPr>
          <w:rFonts w:ascii="Arial" w:hAnsi="Arial" w:cs="Arial"/>
          <w:sz w:val="20"/>
          <w:szCs w:val="20"/>
        </w:rPr>
        <w:t xml:space="preserve">Sutarties galiojimo laikotarpiu </w:t>
      </w:r>
      <w:r w:rsidRPr="005810A2">
        <w:rPr>
          <w:rFonts w:ascii="Arial" w:hAnsi="Arial" w:cs="Arial"/>
          <w:sz w:val="20"/>
          <w:szCs w:val="20"/>
          <w:lang w:eastAsia="lt-LT"/>
        </w:rPr>
        <w:t>teisės aktų nustatyta tvark</w:t>
      </w:r>
      <w:r w:rsidRPr="005810A2">
        <w:rPr>
          <w:rFonts w:ascii="Arial" w:hAnsi="Arial" w:cs="Arial"/>
          <w:sz w:val="20"/>
          <w:szCs w:val="20"/>
        </w:rPr>
        <w:t>a reorganizavus Užsakovo įmonę ar pasikeitus Užsakovo teisiniam statusui galimas Paslaugų įkainių perskaičiavimas (</w:t>
      </w:r>
      <w:r w:rsidRPr="00F16628">
        <w:rPr>
          <w:rFonts w:ascii="Arial" w:hAnsi="Arial" w:cs="Arial"/>
          <w:sz w:val="20"/>
          <w:szCs w:val="20"/>
        </w:rPr>
        <w:t xml:space="preserve">toliau – Įkainių </w:t>
      </w:r>
      <w:r w:rsidRPr="005810A2">
        <w:rPr>
          <w:rFonts w:ascii="Arial" w:hAnsi="Arial" w:cs="Arial"/>
          <w:sz w:val="20"/>
          <w:szCs w:val="20"/>
        </w:rPr>
        <w:t>perskaičiavimas</w:t>
      </w:r>
      <w:r w:rsidRPr="005810A2">
        <w:rPr>
          <w:rFonts w:ascii="Arial" w:hAnsi="Arial" w:cs="Arial"/>
          <w:sz w:val="20"/>
          <w:szCs w:val="20"/>
          <w:lang w:eastAsia="lt-LT"/>
        </w:rPr>
        <w:t>) pagal šiuos koeficientus:</w:t>
      </w:r>
      <w:bookmarkEnd w:id="4"/>
    </w:p>
    <w:p w14:paraId="79922103" w14:textId="36A72CCB" w:rsidR="00F16628" w:rsidRPr="00F16628" w:rsidRDefault="00F16628" w:rsidP="00F16628">
      <w:pPr>
        <w:pStyle w:val="S2lygis"/>
        <w:numPr>
          <w:ilvl w:val="2"/>
          <w:numId w:val="25"/>
        </w:numPr>
        <w:tabs>
          <w:tab w:val="left" w:pos="709"/>
        </w:tabs>
        <w:spacing w:before="60" w:after="60"/>
        <w:ind w:left="709" w:hanging="709"/>
        <w:rPr>
          <w:rFonts w:ascii="Arial" w:hAnsi="Arial" w:cs="Arial"/>
          <w:sz w:val="20"/>
          <w:szCs w:val="20"/>
        </w:rPr>
      </w:pPr>
      <w:bookmarkStart w:id="6" w:name="_Ref349722119"/>
      <w:r>
        <w:rPr>
          <w:rFonts w:ascii="Arial" w:hAnsi="Arial" w:cs="Arial"/>
          <w:sz w:val="20"/>
          <w:szCs w:val="20"/>
        </w:rPr>
        <w:t>S</w:t>
      </w:r>
      <w:r w:rsidRPr="00F16628">
        <w:rPr>
          <w:rFonts w:ascii="Arial" w:hAnsi="Arial" w:cs="Arial"/>
          <w:sz w:val="20"/>
          <w:szCs w:val="20"/>
        </w:rPr>
        <w:t>usijungus Užsakovo įmonei su kita UAB „</w:t>
      </w:r>
      <w:proofErr w:type="spellStart"/>
      <w:r w:rsidRPr="00F16628">
        <w:rPr>
          <w:rFonts w:ascii="Arial" w:hAnsi="Arial" w:cs="Arial"/>
          <w:sz w:val="20"/>
          <w:szCs w:val="20"/>
        </w:rPr>
        <w:t>Ignitis</w:t>
      </w:r>
      <w:proofErr w:type="spellEnd"/>
      <w:r w:rsidRPr="00F16628">
        <w:rPr>
          <w:rFonts w:ascii="Arial" w:hAnsi="Arial" w:cs="Arial"/>
          <w:sz w:val="20"/>
          <w:szCs w:val="20"/>
        </w:rPr>
        <w:t xml:space="preserve"> grupė“ grupės įmone, kuri yra įsigijusi analogiškas Paslaugas, naujos įmonės Paslaugų kaina apskaičiuojama kaip 70% nuo susumuotų abiejų įmonių įkainių toms pačioms Paslaugoms.</w:t>
      </w:r>
    </w:p>
    <w:p w14:paraId="760976CF" w14:textId="77777777" w:rsidR="00F16628" w:rsidRPr="005810A2" w:rsidRDefault="00F16628" w:rsidP="00F16628">
      <w:pPr>
        <w:pStyle w:val="S2lygis"/>
        <w:numPr>
          <w:ilvl w:val="2"/>
          <w:numId w:val="25"/>
        </w:numPr>
        <w:tabs>
          <w:tab w:val="left" w:pos="709"/>
        </w:tabs>
        <w:spacing w:before="60" w:after="60"/>
        <w:ind w:left="709" w:hanging="709"/>
        <w:rPr>
          <w:rFonts w:ascii="Arial" w:hAnsi="Arial" w:cs="Arial"/>
          <w:sz w:val="20"/>
          <w:szCs w:val="20"/>
          <w:lang w:eastAsia="lt-LT"/>
        </w:rPr>
      </w:pPr>
      <w:r w:rsidRPr="005810A2">
        <w:rPr>
          <w:rFonts w:ascii="Arial" w:hAnsi="Arial" w:cs="Arial"/>
          <w:sz w:val="20"/>
          <w:szCs w:val="20"/>
          <w:lang w:eastAsia="lt-LT"/>
        </w:rPr>
        <w:t>reorganizavus Užsakovo įmonę į dvi atskiras įmones –</w:t>
      </w:r>
      <w:bookmarkEnd w:id="6"/>
      <w:r w:rsidRPr="005810A2">
        <w:rPr>
          <w:rFonts w:ascii="Arial" w:hAnsi="Arial" w:cs="Arial"/>
          <w:sz w:val="20"/>
          <w:szCs w:val="20"/>
          <w:lang w:eastAsia="lt-LT"/>
        </w:rPr>
        <w:t xml:space="preserve">  naujų įmonių įkainiai (Y) apskaičiuojami pagal formulę Y </w:t>
      </w:r>
      <w:r w:rsidRPr="005810A2">
        <w:rPr>
          <w:rFonts w:ascii="Arial" w:hAnsi="Arial" w:cs="Arial"/>
          <w:sz w:val="20"/>
          <w:szCs w:val="20"/>
          <w:lang w:val="en-US" w:eastAsia="lt-LT"/>
        </w:rPr>
        <w:t>=</w:t>
      </w:r>
      <w:r w:rsidRPr="005810A2">
        <w:rPr>
          <w:rFonts w:ascii="Arial" w:hAnsi="Arial" w:cs="Arial"/>
          <w:sz w:val="20"/>
          <w:szCs w:val="20"/>
          <w:lang w:eastAsia="lt-LT"/>
        </w:rPr>
        <w:t xml:space="preserve"> atskiros įmonės įkain</w:t>
      </w:r>
      <w:r>
        <w:rPr>
          <w:rFonts w:ascii="Arial" w:hAnsi="Arial" w:cs="Arial"/>
          <w:sz w:val="20"/>
          <w:szCs w:val="20"/>
          <w:lang w:eastAsia="lt-LT"/>
        </w:rPr>
        <w:t>iai</w:t>
      </w:r>
      <w:r w:rsidRPr="005810A2">
        <w:rPr>
          <w:rFonts w:ascii="Arial" w:hAnsi="Arial" w:cs="Arial"/>
          <w:sz w:val="20"/>
          <w:szCs w:val="20"/>
          <w:lang w:eastAsia="lt-LT"/>
        </w:rPr>
        <w:t xml:space="preserve"> * </w:t>
      </w:r>
      <w:r>
        <w:rPr>
          <w:rFonts w:ascii="Arial" w:hAnsi="Arial" w:cs="Arial"/>
          <w:sz w:val="20"/>
          <w:szCs w:val="20"/>
          <w:lang w:eastAsia="lt-LT"/>
        </w:rPr>
        <w:t>g</w:t>
      </w:r>
      <w:r w:rsidRPr="005810A2">
        <w:rPr>
          <w:rFonts w:ascii="Arial" w:hAnsi="Arial" w:cs="Arial"/>
          <w:sz w:val="20"/>
          <w:szCs w:val="20"/>
          <w:lang w:eastAsia="lt-LT"/>
        </w:rPr>
        <w:t>rynojo turto, tenkančio naujai įmonei %, bendra atskirų įmonių Paslaugų vertė neturi viršyti reorganizuotos įmonės Paslaugų vertės;</w:t>
      </w:r>
    </w:p>
    <w:p w14:paraId="641FD3D1" w14:textId="77777777" w:rsidR="00F16628" w:rsidRPr="00170E35" w:rsidRDefault="00F16628" w:rsidP="00F16628">
      <w:pPr>
        <w:pStyle w:val="S2lygis"/>
        <w:numPr>
          <w:ilvl w:val="1"/>
          <w:numId w:val="25"/>
        </w:numPr>
        <w:spacing w:before="60" w:after="60"/>
        <w:ind w:left="709" w:hanging="709"/>
        <w:rPr>
          <w:rFonts w:ascii="Arial" w:hAnsi="Arial" w:cs="Arial"/>
          <w:sz w:val="20"/>
          <w:szCs w:val="20"/>
          <w:lang w:eastAsia="lt-LT"/>
        </w:rPr>
      </w:pPr>
      <w:r w:rsidRPr="00170E35">
        <w:rPr>
          <w:rFonts w:ascii="Arial" w:hAnsi="Arial" w:cs="Arial"/>
          <w:sz w:val="20"/>
          <w:szCs w:val="20"/>
          <w:lang w:eastAsia="lt-LT"/>
        </w:rPr>
        <w:lastRenderedPageBreak/>
        <w:t>Įkainių perskaičiavimas įforminamas Sutarties pakeitimu, pasirašomu tarp Užsakovo ir Paslaugų teikėjo. Atitinkamai pakeičiamas Sutarties 3 priedas</w:t>
      </w:r>
      <w:bookmarkEnd w:id="5"/>
      <w:r w:rsidRPr="00170E35">
        <w:rPr>
          <w:rFonts w:ascii="Arial" w:hAnsi="Arial" w:cs="Arial"/>
          <w:sz w:val="20"/>
          <w:szCs w:val="20"/>
          <w:lang w:eastAsia="lt-LT"/>
        </w:rPr>
        <w:t>.</w:t>
      </w:r>
    </w:p>
    <w:p w14:paraId="0B6A4F6C" w14:textId="77777777" w:rsidR="00271883" w:rsidRDefault="00271883" w:rsidP="00271883">
      <w:pPr>
        <w:widowControl w:val="0"/>
        <w:autoSpaceDE w:val="0"/>
        <w:autoSpaceDN w:val="0"/>
        <w:adjustRightInd w:val="0"/>
        <w:spacing w:before="60" w:after="60"/>
        <w:ind w:left="992"/>
        <w:jc w:val="both"/>
        <w:rPr>
          <w:rFonts w:ascii="Arial" w:hAnsi="Arial" w:cs="Arial"/>
        </w:rPr>
      </w:pPr>
    </w:p>
    <w:p w14:paraId="0875A2E7" w14:textId="30CFF562" w:rsidR="00271883" w:rsidRDefault="00ED0A18" w:rsidP="00ED0A18">
      <w:pPr>
        <w:widowControl w:val="0"/>
        <w:numPr>
          <w:ilvl w:val="0"/>
          <w:numId w:val="25"/>
        </w:numPr>
        <w:autoSpaceDE w:val="0"/>
        <w:autoSpaceDN w:val="0"/>
        <w:adjustRightInd w:val="0"/>
        <w:snapToGrid w:val="0"/>
        <w:spacing w:before="60" w:after="60"/>
        <w:jc w:val="center"/>
        <w:rPr>
          <w:rFonts w:ascii="Arial" w:hAnsi="Arial" w:cs="Arial"/>
          <w:b/>
          <w:bCs/>
        </w:rPr>
      </w:pPr>
      <w:r>
        <w:rPr>
          <w:rFonts w:ascii="Arial" w:hAnsi="Arial" w:cs="Arial"/>
          <w:b/>
        </w:rPr>
        <w:t>UŽSAKOVO PAREIGOS, PATVIRTINIMAI IR PAREIŠKIMAI</w:t>
      </w:r>
    </w:p>
    <w:p w14:paraId="23F72208" w14:textId="0F300529" w:rsidR="00271883" w:rsidRPr="00803556" w:rsidRDefault="00271883" w:rsidP="00271883">
      <w:pPr>
        <w:pStyle w:val="ListParagraph"/>
        <w:widowControl w:val="0"/>
        <w:numPr>
          <w:ilvl w:val="1"/>
          <w:numId w:val="26"/>
        </w:numPr>
        <w:autoSpaceDE w:val="0"/>
        <w:autoSpaceDN w:val="0"/>
        <w:adjustRightInd w:val="0"/>
        <w:snapToGrid w:val="0"/>
        <w:spacing w:before="60" w:after="60"/>
        <w:ind w:hanging="644"/>
        <w:jc w:val="both"/>
        <w:rPr>
          <w:rFonts w:ascii="Arial" w:hAnsi="Arial" w:cs="Arial"/>
          <w:b/>
          <w:bCs/>
        </w:rPr>
      </w:pPr>
      <w:r w:rsidRPr="00803556">
        <w:rPr>
          <w:rFonts w:ascii="Arial" w:hAnsi="Arial" w:cs="Arial"/>
        </w:rPr>
        <w:t>Užsakovas ir žemiau nurodytus dokumentus parengęs asmuo (jei žemiau nurodytus dokumentus rengė jo įgaliotas asmuo) atsako už Finansines ataskaitas bei tinkamą apskaitos įrašų, pakankamai tiksliai bet kokiu laikotarpiu atskleidžiančių Užsakovo finansinę padėtį, tvarkymą, jų tikslumą, išbaigtumą bei pagrįstumą, o taip pat atsako už tinkamų apskaitos principų pasirinkimą ir taikymą bei tinkamų tam tikromis aplinkybėmis apskaitinių vertinimų atlikimą, ir galutinė atsakomybė už bet kokius sprendimus tenka Užsakovui. Užsakovas atsako už pakankamos vidaus kontrolės sistemos sukūrimą, įdiegimą ir tolesnį palaikymą, kuri įgalintų parengti Finansines ataskaitas, kuriose nebūtų klaidų, galinčių atsirasti dėl apgaulės ar klaidų. Finansinių ataskaitų Auditas neatleidžia vadovybės nuo šių pareigų. Užsakovas taip pat atsako už metinio pranešimo</w:t>
      </w:r>
      <w:r>
        <w:rPr>
          <w:rFonts w:ascii="Arial" w:hAnsi="Arial" w:cs="Arial"/>
        </w:rPr>
        <w:t xml:space="preserve"> (toliau -  </w:t>
      </w:r>
      <w:r w:rsidR="00F16628">
        <w:rPr>
          <w:rFonts w:ascii="Arial" w:hAnsi="Arial" w:cs="Arial"/>
        </w:rPr>
        <w:t>„</w:t>
      </w:r>
      <w:r>
        <w:rPr>
          <w:rFonts w:ascii="Arial" w:hAnsi="Arial" w:cs="Arial"/>
        </w:rPr>
        <w:t>Metinis pranešimas</w:t>
      </w:r>
      <w:r w:rsidR="00F16628">
        <w:rPr>
          <w:rFonts w:ascii="Arial" w:hAnsi="Arial" w:cs="Arial"/>
        </w:rPr>
        <w:t>“</w:t>
      </w:r>
      <w:r>
        <w:rPr>
          <w:rFonts w:ascii="Arial" w:hAnsi="Arial" w:cs="Arial"/>
        </w:rPr>
        <w:t>)</w:t>
      </w:r>
      <w:r w:rsidRPr="00803556">
        <w:rPr>
          <w:rFonts w:ascii="Arial" w:hAnsi="Arial" w:cs="Arial"/>
        </w:rPr>
        <w:t xml:space="preserve"> parengimą, jeigu pagal Lietuvos Respublikos įstatymus Užsakovas privalo jį parengti.</w:t>
      </w:r>
    </w:p>
    <w:p w14:paraId="5AE14387"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bookmarkStart w:id="7" w:name="_Ref391041204"/>
      <w:r>
        <w:rPr>
          <w:rFonts w:ascii="Arial" w:hAnsi="Arial" w:cs="Arial"/>
        </w:rPr>
        <w:t>Užsakovas atsako už tai, kad prireikus, Paslaugų teikėjas galėtų gauti visus Užsakovo apskaitos dokumentus, apskaičiavimus bei kitus dokumentus ir duomenis Užsakovo turima forma, būtinus Paslaugoms tinkamai suteikti, įskaitant, bet neapsiribojant, visų Užsakovo Stebėtojų tarybos, valdybos bei akcininkų susirinkimų protokolus bei tokią informaciją ir paaiškinimus, kurie, Paslaugų teikėjo nuomone, yra būtini, kad jis galėtų įvykdyti šioje Sutartyje numatytus savo įsipareigojimus.</w:t>
      </w:r>
      <w:bookmarkEnd w:id="7"/>
    </w:p>
    <w:p w14:paraId="0EE87BD8" w14:textId="40429C42"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r>
        <w:rPr>
          <w:rFonts w:ascii="Arial" w:hAnsi="Arial" w:cs="Arial"/>
        </w:rPr>
        <w:t xml:space="preserve">Užsakovas sutinka suteikti Paslaugų teikėjui galimybę kreiptis į Užsakovo vadovus ir kitus atitinkamus atsakingus asmenis, suteiksiančius praktinę pagalbą ir pakankamus paaiškinimus atliekant Paslaugas ir rengiant auditoriaus išvadą ar peržvalgos ataskaitą (toliau – </w:t>
      </w:r>
      <w:r>
        <w:rPr>
          <w:rFonts w:ascii="Arial" w:hAnsi="Arial" w:cs="Arial"/>
          <w:b/>
        </w:rPr>
        <w:t>„Išvados“</w:t>
      </w:r>
      <w:r>
        <w:rPr>
          <w:rFonts w:ascii="Arial" w:hAnsi="Arial" w:cs="Arial"/>
        </w:rPr>
        <w:t>).</w:t>
      </w:r>
    </w:p>
    <w:p w14:paraId="07E3D33B"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bookmarkStart w:id="8" w:name="_Ref391041221"/>
      <w:r>
        <w:rPr>
          <w:rFonts w:ascii="Arial" w:hAnsi="Arial" w:cs="Arial"/>
        </w:rPr>
        <w:t>Informacijoje, kuria Užsakovas naudojasi rengdamas Finansines ataskaitas ir Metinį pranešimą (jei pastarasis dokumentas yra rengiamas), neišvengiamai bus faktų ar sprendimų, kurie nėra atspindėti apskaitos įrašuose. Dėl to, Užsakovas įsipareigoja raštu patvirtinti šiuos faktus ar sprendimus bei kitus žodinius pareiškimus, padarytus teikiant Paslaugas apie dalykus, turinčius esminės reikšmės vertinant Finansines ataskaitas ir Metinį pranešimą (jei pastarasis dokumentas yra rengiamas), pateikdamas Užsakovo vadovybės patvirtinimų laišką. Užsakovas taip pat įsipareigoja pateikti rašytinį patvirtinimą, kad Paslaugų teikėjui buvo pateikta visa svarbi ir reikalinga informacija. Užsakovo atsakymai į Paslaugų teikėjo užklausimus ir Užsakovo vadovybės rašytiniai patvirtinimai yra pagrįsti įrodymai, kuriais ketina remtis Paslaugų teikėjas, formuluodamas savo nuomonę apie Finansines ataskaitas</w:t>
      </w:r>
      <w:bookmarkEnd w:id="8"/>
    </w:p>
    <w:p w14:paraId="4A2B3608"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Cs/>
        </w:rPr>
      </w:pPr>
      <w:r>
        <w:rPr>
          <w:rFonts w:ascii="Arial" w:hAnsi="Arial" w:cs="Arial"/>
          <w:bCs/>
        </w:rPr>
        <w:t>Tuo atveju, jei atliekamas šioje Sutartyje ir (ar) Techninėje specifikacijoje (2 priedas) nurodytų dokumentų vertimas į anglų kalbą, nekokybiškas vertimas vertintinas kaip nekokybiškas Paslaugų suteikimas šios Sutarties prasme ir Paslaugų teikėjas už nekokybišką vertimą atsako pagal šios Sutarties nuostatas.</w:t>
      </w:r>
    </w:p>
    <w:p w14:paraId="76C4A233"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Cs/>
        </w:rPr>
      </w:pPr>
      <w:r>
        <w:rPr>
          <w:rFonts w:ascii="Arial" w:hAnsi="Arial" w:cs="Arial"/>
          <w:color w:val="000000"/>
        </w:rPr>
        <w:t>Paslaugų teikėjas ir Užsakovas, pasirašydami šią Sutartį, patvirtina, jog Paslaugų teikėjas, vadovaujantis šia Sutartimi, atsako tik už šioje Sutartyje ir (ar) Techninėje specifikacijoje (2 priedas) nurodytų dokumentų vertimo į anglų kalbą atitikimą dokumentų turiniui lietuvių kalba. Jokiais atvejais Paslaugų teikėjas neatsako už Užsakovo parengtų dokumentų pirminį turinį lietuvių kalba, kuris bus pateiktas vertimui į anglų kalbą atlikti. Už dokumentų, kurie bus pateikti Paslaugų teikėjo  vertimui į anglų kalbą atliktį, turinį lietuvių kalba atsako pats Užsakovas. Užsakovas taip pat patvirtina, kad jis nereikalaus formalaus vertimo patvirtinimo.</w:t>
      </w:r>
    </w:p>
    <w:p w14:paraId="708F81CD"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Cs/>
        </w:rPr>
      </w:pPr>
      <w:r>
        <w:rPr>
          <w:rFonts w:ascii="Arial" w:hAnsi="Arial" w:cs="Arial"/>
        </w:rPr>
        <w:t xml:space="preserve">Paslaugų teikimo metu Užsakovas įsipareigoja savo patalpose ir (ar) UAB Verslo aptarnavimo centro patalpose sudaryti </w:t>
      </w:r>
      <w:r w:rsidRPr="00803556">
        <w:rPr>
          <w:rFonts w:ascii="Arial" w:hAnsi="Arial" w:cs="Arial"/>
        </w:rPr>
        <w:t>Paslaugų teikėjo</w:t>
      </w:r>
      <w:r>
        <w:rPr>
          <w:rFonts w:ascii="Arial" w:hAnsi="Arial" w:cs="Arial"/>
        </w:rPr>
        <w:t xml:space="preserve"> darbuotojams tinkamas darbo sąlygas (</w:t>
      </w:r>
      <w:proofErr w:type="spellStart"/>
      <w:r>
        <w:rPr>
          <w:rFonts w:ascii="Arial" w:hAnsi="Arial" w:cs="Arial"/>
        </w:rPr>
        <w:t>t.y</w:t>
      </w:r>
      <w:proofErr w:type="spellEnd"/>
      <w:r>
        <w:rPr>
          <w:rFonts w:ascii="Arial" w:hAnsi="Arial" w:cs="Arial"/>
        </w:rPr>
        <w:t xml:space="preserve">. skirti tinkamą kabinetą, elektrą, apšviestas darbo vietas, saugią vietą dokumentams laikyti, galimybę naudotis kopijavimo aparatu, bevieliu internetiniu ryšiu ir telefonu), reikalingas tinkamam Paslaugų atlikimui. </w:t>
      </w:r>
    </w:p>
    <w:p w14:paraId="4C73784D" w14:textId="77777777" w:rsidR="00271883" w:rsidRDefault="00271883" w:rsidP="00271883">
      <w:pPr>
        <w:pStyle w:val="ListParagraph"/>
        <w:widowControl w:val="0"/>
        <w:autoSpaceDE w:val="0"/>
        <w:autoSpaceDN w:val="0"/>
        <w:adjustRightInd w:val="0"/>
        <w:snapToGrid w:val="0"/>
        <w:spacing w:before="60" w:after="60"/>
        <w:ind w:left="644" w:hanging="644"/>
        <w:contextualSpacing w:val="0"/>
        <w:jc w:val="both"/>
        <w:rPr>
          <w:rFonts w:ascii="Arial" w:hAnsi="Arial" w:cs="Arial"/>
          <w:bCs/>
        </w:rPr>
      </w:pPr>
    </w:p>
    <w:p w14:paraId="04DB124B" w14:textId="4F593B0D" w:rsidR="00271883" w:rsidRDefault="00ED0A18" w:rsidP="00ED0A18">
      <w:pPr>
        <w:widowControl w:val="0"/>
        <w:numPr>
          <w:ilvl w:val="0"/>
          <w:numId w:val="26"/>
        </w:numPr>
        <w:autoSpaceDE w:val="0"/>
        <w:autoSpaceDN w:val="0"/>
        <w:adjustRightInd w:val="0"/>
        <w:snapToGrid w:val="0"/>
        <w:spacing w:before="60" w:after="60"/>
        <w:ind w:left="644" w:hanging="644"/>
        <w:jc w:val="center"/>
        <w:rPr>
          <w:rFonts w:ascii="Arial" w:hAnsi="Arial" w:cs="Arial"/>
          <w:b/>
          <w:bCs/>
        </w:rPr>
      </w:pPr>
      <w:r>
        <w:rPr>
          <w:rFonts w:ascii="Arial" w:hAnsi="Arial" w:cs="Arial"/>
          <w:b/>
        </w:rPr>
        <w:t>PASLAUGŲ TEIKĖJO PAREIGOS, PATVIRTINIMAI IR PAREIŠKIMAI</w:t>
      </w:r>
    </w:p>
    <w:p w14:paraId="6359856F" w14:textId="77777777" w:rsidR="00271883" w:rsidRDefault="00271883" w:rsidP="00271883">
      <w:pPr>
        <w:pStyle w:val="ListParagraph"/>
        <w:numPr>
          <w:ilvl w:val="1"/>
          <w:numId w:val="26"/>
        </w:numPr>
        <w:suppressAutoHyphens/>
        <w:spacing w:before="60" w:after="60"/>
        <w:ind w:hanging="644"/>
        <w:contextualSpacing w:val="0"/>
        <w:jc w:val="both"/>
        <w:rPr>
          <w:rFonts w:ascii="Arial" w:hAnsi="Arial" w:cs="Arial"/>
          <w:b/>
          <w:bCs/>
        </w:rPr>
      </w:pPr>
      <w:r>
        <w:rPr>
          <w:rFonts w:ascii="Arial" w:hAnsi="Arial" w:cs="Arial"/>
        </w:rPr>
        <w:t>Paslaugų teikėjo teisinė ir profesinė pareiga – tinkamai suteikti</w:t>
      </w:r>
      <w:r w:rsidRPr="00D3623E">
        <w:rPr>
          <w:rFonts w:ascii="Arial" w:hAnsi="Arial" w:cs="Arial"/>
        </w:rPr>
        <w:t xml:space="preserve"> Techninėje specifikacijoje </w:t>
      </w:r>
      <w:r>
        <w:rPr>
          <w:rFonts w:ascii="Arial" w:hAnsi="Arial" w:cs="Arial"/>
        </w:rPr>
        <w:t xml:space="preserve">nustatytais terminais </w:t>
      </w:r>
      <w:r w:rsidRPr="00D3623E">
        <w:rPr>
          <w:rFonts w:ascii="Arial" w:hAnsi="Arial" w:cs="Arial"/>
        </w:rPr>
        <w:t xml:space="preserve">(2 priedas) </w:t>
      </w:r>
      <w:r>
        <w:rPr>
          <w:rFonts w:ascii="Arial" w:hAnsi="Arial" w:cs="Arial"/>
        </w:rPr>
        <w:t>nurodytas Paslaugas.</w:t>
      </w:r>
    </w:p>
    <w:p w14:paraId="7C60EA62" w14:textId="77777777" w:rsidR="00271883" w:rsidRDefault="00271883" w:rsidP="00271883">
      <w:pPr>
        <w:pStyle w:val="ListParagraph"/>
        <w:numPr>
          <w:ilvl w:val="1"/>
          <w:numId w:val="26"/>
        </w:numPr>
        <w:suppressAutoHyphens/>
        <w:spacing w:before="60" w:after="60"/>
        <w:ind w:hanging="644"/>
        <w:contextualSpacing w:val="0"/>
        <w:jc w:val="both"/>
        <w:rPr>
          <w:rFonts w:ascii="Arial" w:hAnsi="Arial" w:cs="Arial"/>
          <w:b/>
          <w:bCs/>
        </w:rPr>
      </w:pPr>
      <w:r>
        <w:rPr>
          <w:rFonts w:ascii="Arial" w:hAnsi="Arial" w:cs="Arial"/>
        </w:rPr>
        <w:t xml:space="preserve">Paslaugų teikėjas pareikš nuomonę apie Metinį pranešimą tik tuo atveju, jei Užsakovas tinkamai įgyvendins numatytą pareigą pateikti Paslaugų teikėjui Metinį pranešimą. Jeigu Metinis pranešimas nebus pateiktas, Paslaugų teikėjas Auditoriaus išvadoje nurodys, kad nuomonės apie Metinį pranešimą pareikšti neįmanoma, kartu nurodydamas su tuo susijusias priežastis. </w:t>
      </w:r>
    </w:p>
    <w:p w14:paraId="2D0CA37E" w14:textId="77777777" w:rsidR="00271883" w:rsidRDefault="00271883" w:rsidP="00271883">
      <w:pPr>
        <w:pStyle w:val="ListParagraph"/>
        <w:numPr>
          <w:ilvl w:val="1"/>
          <w:numId w:val="26"/>
        </w:numPr>
        <w:suppressAutoHyphens/>
        <w:spacing w:before="60" w:after="60"/>
        <w:ind w:hanging="644"/>
        <w:contextualSpacing w:val="0"/>
        <w:jc w:val="both"/>
        <w:rPr>
          <w:rFonts w:ascii="Arial" w:hAnsi="Arial" w:cs="Arial"/>
          <w:b/>
          <w:bCs/>
        </w:rPr>
      </w:pPr>
      <w:r>
        <w:rPr>
          <w:rFonts w:ascii="Arial" w:hAnsi="Arial" w:cs="Arial"/>
        </w:rPr>
        <w:t xml:space="preserve">Paslaugų teikėjas pasilieka teisę savo nuožiūra nustatyti Išvadų turinį ir formuluotes. Paslaugų teikėjo nuomonė apie Finansines ataskaitas gali būti teigiama, sąlyginė, neigiama arba, jeigu </w:t>
      </w:r>
      <w:bookmarkStart w:id="9" w:name="356z"/>
      <w:bookmarkEnd w:id="9"/>
      <w:r>
        <w:rPr>
          <w:rFonts w:ascii="Arial" w:hAnsi="Arial" w:cs="Arial"/>
        </w:rPr>
        <w:fldChar w:fldCharType="begin"/>
      </w:r>
      <w:r>
        <w:rPr>
          <w:rFonts w:ascii="Arial" w:hAnsi="Arial" w:cs="Arial"/>
        </w:rPr>
        <w:instrText xml:space="preserve"> HYPERLINK "http://10.66.28.4/Litlex/LL.DLL?Tekstas=1?Id=72979&amp;Zd=audito&amp;BF=4" \l "357z#357z" </w:instrText>
      </w:r>
      <w:r>
        <w:rPr>
          <w:rFonts w:ascii="Arial" w:hAnsi="Arial" w:cs="Arial"/>
        </w:rPr>
        <w:fldChar w:fldCharType="separate"/>
      </w:r>
      <w:r>
        <w:rPr>
          <w:rStyle w:val="Hyperlink"/>
          <w:rFonts w:ascii="Arial" w:hAnsi="Arial" w:cs="Arial"/>
        </w:rPr>
        <w:t>Paslaugų teikėjas</w:t>
      </w:r>
      <w:r>
        <w:rPr>
          <w:rFonts w:ascii="Arial" w:hAnsi="Arial" w:cs="Arial"/>
        </w:rPr>
        <w:fldChar w:fldCharType="end"/>
      </w:r>
      <w:r>
        <w:rPr>
          <w:rFonts w:ascii="Arial" w:hAnsi="Arial" w:cs="Arial"/>
        </w:rPr>
        <w:t xml:space="preserve"> negalės pareikšti nuomonės, – atsisakymas pareikšti nuomonę.</w:t>
      </w:r>
    </w:p>
    <w:p w14:paraId="2B1E677F" w14:textId="77777777" w:rsidR="00F16628" w:rsidRPr="00F16628" w:rsidRDefault="00F16628" w:rsidP="00F16628">
      <w:pPr>
        <w:pStyle w:val="ListParagraph"/>
        <w:numPr>
          <w:ilvl w:val="1"/>
          <w:numId w:val="26"/>
        </w:numPr>
        <w:ind w:hanging="644"/>
        <w:jc w:val="both"/>
        <w:rPr>
          <w:rFonts w:ascii="Arial" w:hAnsi="Arial" w:cs="Arial"/>
        </w:rPr>
      </w:pPr>
      <w:r w:rsidRPr="00F16628">
        <w:rPr>
          <w:rFonts w:ascii="Arial" w:hAnsi="Arial" w:cs="Arial"/>
        </w:rPr>
        <w:t>Įformindamas Išvadas, Paslaugų teikėjas taip pat įsipareigoja parengti audito ataskaitą pagal teisės aktuose numatytus reikalavimus (toliau – „</w:t>
      </w:r>
      <w:r w:rsidRPr="00F16628">
        <w:rPr>
          <w:rFonts w:ascii="Arial" w:hAnsi="Arial" w:cs="Arial"/>
          <w:b/>
        </w:rPr>
        <w:t>Audito ataskaita</w:t>
      </w:r>
      <w:r w:rsidRPr="00F16628">
        <w:rPr>
          <w:rFonts w:ascii="Arial" w:hAnsi="Arial" w:cs="Arial"/>
        </w:rPr>
        <w:t xml:space="preserve">“). Audito ataskaita pateikiama tiesiogiai </w:t>
      </w:r>
      <w:r w:rsidRPr="00F16628">
        <w:rPr>
          <w:rFonts w:ascii="Arial" w:hAnsi="Arial" w:cs="Arial"/>
        </w:rPr>
        <w:lastRenderedPageBreak/>
        <w:t>Užsakovui. Vieną Audito ataskaitos egzempliorių Paslaugų teikėjas pateikia tiesiogiai atitinkamai priežiūros institucijai, jei taip nustato teisės aktai arba nurodo Užsakovas.</w:t>
      </w:r>
    </w:p>
    <w:p w14:paraId="7C3A3C7F" w14:textId="33B1148F" w:rsidR="00271883" w:rsidRDefault="00271883" w:rsidP="00271883">
      <w:pPr>
        <w:pStyle w:val="ListParagraph"/>
        <w:numPr>
          <w:ilvl w:val="1"/>
          <w:numId w:val="26"/>
        </w:numPr>
        <w:suppressAutoHyphens/>
        <w:spacing w:before="60" w:after="60"/>
        <w:ind w:hanging="644"/>
        <w:contextualSpacing w:val="0"/>
        <w:jc w:val="both"/>
        <w:rPr>
          <w:rFonts w:ascii="Arial" w:hAnsi="Arial" w:cs="Arial"/>
          <w:b/>
          <w:bCs/>
        </w:rPr>
      </w:pPr>
      <w:r>
        <w:rPr>
          <w:rFonts w:ascii="Arial" w:hAnsi="Arial" w:cs="Arial"/>
        </w:rPr>
        <w:t xml:space="preserve">Paslaugų teikėjas pateiks Užsakovui išankstinius informacijos ir ją patvirtinančių dokumentų sąrašus (toliau – </w:t>
      </w:r>
      <w:r>
        <w:rPr>
          <w:rFonts w:ascii="Arial" w:hAnsi="Arial" w:cs="Arial"/>
          <w:b/>
        </w:rPr>
        <w:t>„Išankstiniai informacijos sąrašai“</w:t>
      </w:r>
      <w:r>
        <w:rPr>
          <w:rFonts w:ascii="Arial" w:hAnsi="Arial" w:cs="Arial"/>
        </w:rPr>
        <w:t>), kuriuos Užsakovas turės pateikti Paslaugų teikėjui.</w:t>
      </w:r>
    </w:p>
    <w:p w14:paraId="612FCDE5" w14:textId="77777777" w:rsidR="00271883" w:rsidRDefault="00271883" w:rsidP="00271883">
      <w:pPr>
        <w:pStyle w:val="ListParagraph"/>
        <w:numPr>
          <w:ilvl w:val="1"/>
          <w:numId w:val="26"/>
        </w:numPr>
        <w:suppressAutoHyphens/>
        <w:spacing w:before="60" w:after="60"/>
        <w:ind w:hanging="644"/>
        <w:contextualSpacing w:val="0"/>
        <w:jc w:val="both"/>
        <w:rPr>
          <w:rFonts w:ascii="Arial" w:hAnsi="Arial" w:cs="Arial"/>
          <w:b/>
          <w:bCs/>
        </w:rPr>
      </w:pPr>
      <w:r>
        <w:rPr>
          <w:rFonts w:ascii="Arial" w:hAnsi="Arial" w:cs="Arial"/>
        </w:rPr>
        <w:t>Pagal Tarptautinių audito standartų reikalavimus Paslaugų teikėjas turi susipažinti su bet kuriuo kitu dokumentu, kuris šalia Finansinių ataskaitų ir Metinio pranešimo apima kitą informaciją. Šios procedūros tikslas – nustatyti, ar kituose dokumentuose pateiktoje informacijoje, įskaitant dokumentų pateikimo būdą, nėra reikšmingų neatitikimų lyginant su informacija, pateikta Finansinėse ataskaitose. Paslaugų teikėjas neprisiima jokio įsipareigojimo atlikti kaip dalį audito procedūras, skirtas patikrinti kituose dokumentuose pateiktą informaciją.</w:t>
      </w:r>
    </w:p>
    <w:p w14:paraId="01FAAA7A" w14:textId="77777777" w:rsidR="00271883" w:rsidRPr="00F16628" w:rsidRDefault="00271883" w:rsidP="00271883">
      <w:pPr>
        <w:pStyle w:val="ListParagraph"/>
        <w:numPr>
          <w:ilvl w:val="1"/>
          <w:numId w:val="26"/>
        </w:numPr>
        <w:suppressAutoHyphens/>
        <w:spacing w:before="60" w:after="60"/>
        <w:ind w:hanging="644"/>
        <w:contextualSpacing w:val="0"/>
        <w:jc w:val="both"/>
        <w:rPr>
          <w:rFonts w:ascii="Arial" w:hAnsi="Arial" w:cs="Arial"/>
        </w:rPr>
      </w:pPr>
      <w:r>
        <w:rPr>
          <w:rFonts w:ascii="Arial" w:hAnsi="Arial" w:cs="Arial"/>
        </w:rPr>
        <w:t xml:space="preserve">Sutarties pasirašymo dieną Paslaugų teikėjas įsipareigoja pateikti draudimo įstaigos išduoto galiojančio profesinės veiklos civilinės atsakomybės draudimo poliso skaitmeninę kopiją (patvirtintą įmonės vadovo ar jo įgalioto asmens). Paslaugų teikėjas įsipareigoja būti apdraudęs savo profesinę veiklą civilinės atsakomybės draudimu pagal Lietuvos Respublikos </w:t>
      </w:r>
      <w:r w:rsidRPr="001A3B25">
        <w:rPr>
          <w:rFonts w:ascii="Arial" w:hAnsi="Arial" w:cs="Arial"/>
        </w:rPr>
        <w:t xml:space="preserve">audito įstatymo 20 straipsnį </w:t>
      </w:r>
      <w:proofErr w:type="spellStart"/>
      <w:r w:rsidRPr="001A3B25">
        <w:rPr>
          <w:rFonts w:ascii="Arial" w:hAnsi="Arial" w:cs="Arial"/>
        </w:rPr>
        <w:t>t.y</w:t>
      </w:r>
      <w:proofErr w:type="spellEnd"/>
      <w:r w:rsidRPr="001A3B25">
        <w:rPr>
          <w:rFonts w:ascii="Arial" w:hAnsi="Arial" w:cs="Arial"/>
        </w:rPr>
        <w:t xml:space="preserve">. profesinės civilinės atsakomybės draudimo suma turi būti ne mažesnė kaip 58 000 EUR vienam draudžiamajam įvykiui ir 145 000  </w:t>
      </w:r>
      <w:r>
        <w:rPr>
          <w:rFonts w:ascii="Arial" w:hAnsi="Arial" w:cs="Arial"/>
        </w:rPr>
        <w:t>EUR visiems draudžiamiesiems įvykiams per metus</w:t>
      </w:r>
      <w:r>
        <w:rPr>
          <w:rFonts w:ascii="Arial" w:hAnsi="Arial" w:cs="Arial"/>
          <w:sz w:val="22"/>
          <w:szCs w:val="22"/>
        </w:rPr>
        <w:t xml:space="preserve"> </w:t>
      </w:r>
      <w:r>
        <w:rPr>
          <w:rFonts w:ascii="Arial" w:hAnsi="Arial" w:cs="Arial"/>
        </w:rPr>
        <w:t xml:space="preserve">ir įsipareigoja išlaikyti tokį atsakomybės draudimą visą Sutarties galiojimo laikotarpį. </w:t>
      </w:r>
    </w:p>
    <w:p w14:paraId="38D8C4F9" w14:textId="77777777" w:rsidR="00F16628" w:rsidRPr="00F16628" w:rsidRDefault="00F16628" w:rsidP="00F16628">
      <w:pPr>
        <w:pStyle w:val="ListParagraph"/>
        <w:numPr>
          <w:ilvl w:val="1"/>
          <w:numId w:val="26"/>
        </w:numPr>
        <w:tabs>
          <w:tab w:val="left" w:pos="709"/>
          <w:tab w:val="left" w:pos="851"/>
        </w:tabs>
        <w:ind w:left="709" w:hanging="709"/>
        <w:jc w:val="both"/>
        <w:rPr>
          <w:rFonts w:ascii="Arial" w:hAnsi="Arial" w:cs="Arial"/>
        </w:rPr>
      </w:pPr>
      <w:r w:rsidRPr="00F16628">
        <w:rPr>
          <w:rFonts w:ascii="Arial" w:hAnsi="Arial" w:cs="Arial"/>
        </w:rPr>
        <w:t xml:space="preserve">Atsižvelgiant į Lietuvos Respublikos audito įstatymą bei NASDAQ OMX Vilnius </w:t>
      </w:r>
      <w:proofErr w:type="spellStart"/>
      <w:r w:rsidRPr="00F16628">
        <w:rPr>
          <w:rFonts w:ascii="Arial" w:hAnsi="Arial" w:cs="Arial"/>
        </w:rPr>
        <w:t>listinguojamų</w:t>
      </w:r>
      <w:proofErr w:type="spellEnd"/>
      <w:r w:rsidRPr="00F16628">
        <w:rPr>
          <w:rFonts w:ascii="Arial" w:hAnsi="Arial" w:cs="Arial"/>
        </w:rPr>
        <w:t xml:space="preserve"> bendrovių valdymo kodeksą ir vadovaujantis UAB „</w:t>
      </w:r>
      <w:proofErr w:type="spellStart"/>
      <w:r w:rsidRPr="00F16628">
        <w:rPr>
          <w:rFonts w:ascii="Arial" w:hAnsi="Arial" w:cs="Arial"/>
        </w:rPr>
        <w:t>Ignitis</w:t>
      </w:r>
      <w:proofErr w:type="spellEnd"/>
      <w:r w:rsidRPr="00F16628">
        <w:rPr>
          <w:rFonts w:ascii="Arial" w:hAnsi="Arial" w:cs="Arial"/>
        </w:rPr>
        <w:t xml:space="preserve"> grupė“ Audito komiteto sprendimu, Sutarties galiojimo laikotarpiu Paslaugų teikėjas įsipareigoja laikytis jam keliamų nepriklausomumo reikalavimų:</w:t>
      </w:r>
    </w:p>
    <w:p w14:paraId="6F095886" w14:textId="77777777" w:rsidR="00F16628" w:rsidRPr="00F16628" w:rsidRDefault="00F16628" w:rsidP="00F16628">
      <w:pPr>
        <w:pStyle w:val="ListParagraph"/>
        <w:numPr>
          <w:ilvl w:val="2"/>
          <w:numId w:val="26"/>
        </w:numPr>
        <w:tabs>
          <w:tab w:val="left" w:pos="709"/>
          <w:tab w:val="left" w:pos="851"/>
        </w:tabs>
        <w:ind w:left="709" w:hanging="709"/>
        <w:jc w:val="both"/>
        <w:rPr>
          <w:rFonts w:ascii="Arial" w:hAnsi="Arial" w:cs="Arial"/>
        </w:rPr>
      </w:pPr>
      <w:r w:rsidRPr="00F16628">
        <w:rPr>
          <w:rFonts w:ascii="Arial" w:hAnsi="Arial" w:cs="Arial"/>
        </w:rPr>
        <w:t>Užsakovo ir Paslaugų teikėjo pasirašytų sutarčių vertė ir (ar) pajamos iš kitų, nei teikiamos Paslaugos, paslaugų suteiktų Užsakovui per 1 (vienerių) metų laikotarpį nuo šios Sutarties pasirašymo, negali viršyti 100 proc. gautų pajamų dydžio už Užsakovui suteiktų Paslaugų vertę. Jei Sutarties galiojimas pratęsimas dar 1 (vienerių) metų laikotarpiui, 100 proc. pajamų dydžio limitas už kitas, nei teikiamos Paslaugos, paslaugas atitinkamai taikomas nuo Sutarties pratęsimo laikotarpio.</w:t>
      </w:r>
    </w:p>
    <w:p w14:paraId="5496053D" w14:textId="77777777" w:rsidR="00F16628" w:rsidRPr="00F16628" w:rsidRDefault="00F16628" w:rsidP="00F16628">
      <w:pPr>
        <w:pStyle w:val="ListParagraph"/>
        <w:widowControl w:val="0"/>
        <w:numPr>
          <w:ilvl w:val="2"/>
          <w:numId w:val="26"/>
        </w:numPr>
        <w:tabs>
          <w:tab w:val="left" w:pos="709"/>
          <w:tab w:val="left" w:pos="851"/>
        </w:tabs>
        <w:autoSpaceDE w:val="0"/>
        <w:autoSpaceDN w:val="0"/>
        <w:adjustRightInd w:val="0"/>
        <w:snapToGrid w:val="0"/>
        <w:ind w:left="709" w:hanging="709"/>
        <w:jc w:val="both"/>
        <w:rPr>
          <w:rFonts w:ascii="Arial" w:hAnsi="Arial" w:cs="Arial"/>
        </w:rPr>
      </w:pPr>
      <w:r w:rsidRPr="00F16628">
        <w:rPr>
          <w:rFonts w:ascii="Arial" w:hAnsi="Arial" w:cs="Arial"/>
        </w:rPr>
        <w:t>Paslaugų teikėjas privalo iš anksto, t. y. ne vėliau kaip 10 (dešimt) darbo dienų, raštu kreiptis į UAB „</w:t>
      </w:r>
      <w:proofErr w:type="spellStart"/>
      <w:r w:rsidRPr="00F16628">
        <w:rPr>
          <w:rFonts w:ascii="Arial" w:hAnsi="Arial" w:cs="Arial"/>
        </w:rPr>
        <w:t>Ignitis</w:t>
      </w:r>
      <w:proofErr w:type="spellEnd"/>
      <w:r w:rsidRPr="00F16628">
        <w:rPr>
          <w:rFonts w:ascii="Arial" w:hAnsi="Arial" w:cs="Arial"/>
        </w:rPr>
        <w:t xml:space="preserve"> grupė“ Audito komitetą ir gauti išankstinį teigiamą sprendimą, jei Paslaugų teikėjas ketina dalyvauti ir teikti pasiūlymus kitų, nei teikiamos Paslaugos, paslaugų pirkimuose, kurie vykdomi bet kuriai iš UAB „</w:t>
      </w:r>
      <w:proofErr w:type="spellStart"/>
      <w:r w:rsidRPr="00F16628">
        <w:rPr>
          <w:rFonts w:ascii="Arial" w:hAnsi="Arial" w:cs="Arial"/>
        </w:rPr>
        <w:t>Ignitis</w:t>
      </w:r>
      <w:proofErr w:type="spellEnd"/>
      <w:r w:rsidRPr="00F16628">
        <w:rPr>
          <w:rFonts w:ascii="Arial" w:hAnsi="Arial" w:cs="Arial"/>
        </w:rPr>
        <w:t xml:space="preserve"> grupė“ grupės įmonei, per 1 (vienerių) metų laikotarpį nuo šios Sutarties pasirašymo.</w:t>
      </w:r>
    </w:p>
    <w:p w14:paraId="186DE747" w14:textId="77777777" w:rsidR="00271883" w:rsidRPr="00A02A94" w:rsidRDefault="00271883" w:rsidP="00271883">
      <w:pPr>
        <w:pStyle w:val="ListParagraph"/>
        <w:widowControl w:val="0"/>
        <w:tabs>
          <w:tab w:val="left" w:pos="567"/>
        </w:tabs>
        <w:autoSpaceDE w:val="0"/>
        <w:autoSpaceDN w:val="0"/>
        <w:adjustRightInd w:val="0"/>
        <w:snapToGrid w:val="0"/>
        <w:spacing w:before="60" w:after="60" w:line="276" w:lineRule="auto"/>
        <w:ind w:left="567"/>
        <w:jc w:val="both"/>
        <w:rPr>
          <w:rFonts w:ascii="Arial" w:hAnsi="Arial" w:cs="Arial"/>
          <w:b/>
          <w:bCs/>
        </w:rPr>
      </w:pPr>
    </w:p>
    <w:p w14:paraId="4B4E5992" w14:textId="6B983671" w:rsidR="00271883" w:rsidRDefault="00ED0A18" w:rsidP="00ED0A18">
      <w:pPr>
        <w:widowControl w:val="0"/>
        <w:numPr>
          <w:ilvl w:val="0"/>
          <w:numId w:val="26"/>
        </w:numPr>
        <w:autoSpaceDE w:val="0"/>
        <w:autoSpaceDN w:val="0"/>
        <w:adjustRightInd w:val="0"/>
        <w:snapToGrid w:val="0"/>
        <w:spacing w:before="60" w:after="60"/>
        <w:jc w:val="center"/>
        <w:rPr>
          <w:rFonts w:ascii="Arial" w:hAnsi="Arial" w:cs="Arial"/>
          <w:b/>
          <w:bCs/>
        </w:rPr>
      </w:pPr>
      <w:r>
        <w:rPr>
          <w:rFonts w:ascii="Arial" w:hAnsi="Arial" w:cs="Arial"/>
          <w:b/>
        </w:rPr>
        <w:t>APGAULĖS, KLAIDŲ IR NEATITIKIMŲ TEISĖS AKTAMS IŠAIŠKINIMAS IR PREVENCIJA</w:t>
      </w:r>
    </w:p>
    <w:p w14:paraId="17CF1A85" w14:textId="77777777" w:rsidR="00271883" w:rsidRPr="00991925"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rPr>
      </w:pPr>
      <w:r>
        <w:rPr>
          <w:rFonts w:ascii="Arial" w:hAnsi="Arial" w:cs="Arial"/>
        </w:rPr>
        <w:t>Už tinkamų apskaitos ir vidaus kontrolės sistemų sukūrimą ir išlaikymą, laikantis pagrindinių apskaitos taisyklių, už savo turto priežiūrą ir apsaugą bei apgaulės, klaidų ir neatitikimų Lietuvos Respublikos teisės aktams išaiškinimą ir prevenciją atsakingas pats Užsakovas.</w:t>
      </w:r>
    </w:p>
    <w:p w14:paraId="7F392A0B" w14:textId="77777777" w:rsidR="00271883" w:rsidRPr="00991925"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rPr>
      </w:pPr>
      <w:r>
        <w:rPr>
          <w:rFonts w:ascii="Arial" w:hAnsi="Arial" w:cs="Arial"/>
        </w:rPr>
        <w:t>Paslaugų teikėjas planuoja Paslaugų teikimą taip, kad pagrįstai galėtų tikėtis išaiškinti reikšmingus neatitikimus Finansinėse ataskaitose ir (arba) Metiniame pranešime arba apskaitos įrašuose (taip pat ir neatitikimus Užsakovo sandoriuose ar apskaitos įrašuose su Lietuvos Respublikoje finansinę apskaitą reglamentuojančiais teisės aktais bei dėl apgaulės atsirandančias klaidas). Tačiau Auditas neapims detalaus sandorių audito, kurį reikėtų atlikti, norint išaiškinti klaidas ar apgaulės atvejus, kurie nesąlygojo reikšmingų neatitikimų Finansinėse ataskaitose.</w:t>
      </w:r>
    </w:p>
    <w:p w14:paraId="4F0EDE02"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r>
        <w:rPr>
          <w:rFonts w:ascii="Arial" w:hAnsi="Arial" w:cs="Arial"/>
        </w:rPr>
        <w:t>Šalys pripažįsta, kad audito procesui būdingi įgimti apribojimai. Auditas remiasi atrankos būdu atliekamų Finansinėse ataskaitose pateiktų duomenų testų koncepcija, kuri apima sprendimus apie tai, kurios sritys bus testuojamos bei apie atliekamų testų pobūdį, laiką, apimtį ir rezultatus. Dėl apgaulės savybių, ypatingai tų, kurios apima informacijos slėpimą sąmokslo ar suklastotų dokumentų pagalba, Auditas, parengtas ir vykdomas pagal Tarptautinius audito standartus, gali neatskleisti reikšmingos apgaulės. Be to, nors efektyvi vidaus kontrolė sumažina klaidų, apgaulės ar kitų neteisėtų veiksmų atsiradimo ar neaptikimo tikimybę, ji nepanaikina tokios galimybės. Dėl to Šalys šioje Sutartyje aiškiai patvirtina abipusį supratimą, kad nėra absoliutaus užtikrinimo, jog bus atskleisti reikšmingi neatitikimai Finansinėse ataskaitose ir (arba) klaidos ar apgaulės atvejai Metiniame pranešime ar apskaitos įrašuose. Be to, neturi būti pasikliaujama, kad Auditas ir jo pagrindu parengtos Išvados ir (arba) Laiškas vadovybei atskleis visus tokius neatitikimus ar apgaulės atvejus, klaidas ar visus teisės aktų reikalavimų nesilaikymo atvejus, kurie gali egzistuoti. Tačiau Paslaugų teikėjas įsipareigoja pranešti Užsakovui apie bet kuriuos Audito metu nustatytus neteisėtus veiksmus, reikšmingas klaidas ar apgaulės egzistavimo įrodymus.</w:t>
      </w:r>
    </w:p>
    <w:p w14:paraId="0867CFDE" w14:textId="77777777" w:rsidR="00271883" w:rsidRDefault="00271883" w:rsidP="00271883">
      <w:pPr>
        <w:widowControl w:val="0"/>
        <w:autoSpaceDE w:val="0"/>
        <w:autoSpaceDN w:val="0"/>
        <w:adjustRightInd w:val="0"/>
        <w:snapToGrid w:val="0"/>
        <w:spacing w:before="60" w:after="60"/>
        <w:ind w:left="644" w:hanging="644"/>
        <w:jc w:val="both"/>
        <w:rPr>
          <w:rFonts w:ascii="Arial" w:hAnsi="Arial" w:cs="Arial"/>
          <w:lang w:eastAsia="lt-LT"/>
        </w:rPr>
      </w:pPr>
    </w:p>
    <w:p w14:paraId="119E22A9" w14:textId="5BA6D0AD" w:rsidR="00271883" w:rsidRPr="00ED0A18" w:rsidRDefault="00ED0A18" w:rsidP="00ED0A18">
      <w:pPr>
        <w:widowControl w:val="0"/>
        <w:numPr>
          <w:ilvl w:val="0"/>
          <w:numId w:val="26"/>
        </w:numPr>
        <w:autoSpaceDE w:val="0"/>
        <w:autoSpaceDN w:val="0"/>
        <w:adjustRightInd w:val="0"/>
        <w:snapToGrid w:val="0"/>
        <w:spacing w:before="60" w:after="60"/>
        <w:ind w:left="644" w:hanging="644"/>
        <w:jc w:val="center"/>
        <w:rPr>
          <w:rFonts w:ascii="Arial" w:hAnsi="Arial" w:cs="Arial"/>
          <w:b/>
          <w:bCs/>
        </w:rPr>
      </w:pPr>
      <w:r w:rsidRPr="00ED0A18">
        <w:rPr>
          <w:rFonts w:ascii="Arial" w:hAnsi="Arial" w:cs="Arial"/>
          <w:b/>
        </w:rPr>
        <w:t>REIKALAVIMAI UŽSAKOVUI PATEIKIAMIEMS DOKUMENTAMS</w:t>
      </w:r>
    </w:p>
    <w:p w14:paraId="7AA46AE8"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r>
        <w:rPr>
          <w:rFonts w:ascii="Arial" w:hAnsi="Arial" w:cs="Arial"/>
        </w:rPr>
        <w:t xml:space="preserve">Audito paskirtis nėra nustatyti visus Užsakovo apskaitos ir vidaus kontrolės sistemų trūkumus. Tačiau po Audito Paslaugų teikėjas raštu turi pranešti Užsakovui apie Audito metu pastebėtus reikšmingus Užsakovo apskaitos ir vidaus kontrolės sistemų ar kitų veiklos sričių (kompiuterinių sistemų ir pan.) </w:t>
      </w:r>
      <w:r>
        <w:rPr>
          <w:rFonts w:ascii="Arial" w:hAnsi="Arial" w:cs="Arial"/>
        </w:rPr>
        <w:lastRenderedPageBreak/>
        <w:t xml:space="preserve">trūkumus, į kuriuos, Paslaugų teikėjo nuomone, turi būti atkreiptas Užsakovo dėmesys. Šie trūkumai nurodomi rašte vadovybei (toliau – </w:t>
      </w:r>
      <w:r>
        <w:rPr>
          <w:rFonts w:ascii="Arial" w:hAnsi="Arial" w:cs="Arial"/>
          <w:b/>
        </w:rPr>
        <w:t>„Laiškas vadovybei“</w:t>
      </w:r>
      <w:r>
        <w:rPr>
          <w:rFonts w:ascii="Arial" w:hAnsi="Arial" w:cs="Arial"/>
        </w:rPr>
        <w:t>).</w:t>
      </w:r>
    </w:p>
    <w:p w14:paraId="10A64B5B"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r>
        <w:rPr>
          <w:rFonts w:ascii="Arial" w:hAnsi="Arial" w:cs="Arial"/>
        </w:rPr>
        <w:t>Apskaitos ir vidaus kontrolės sistemų ar kitų veiklos sričių patikrinimą Paslaugų teikėjas atlieka tik tiek, kiek reikalinga Auditoriaus išvadai/Peržvalgos ataskaitai parengti. To gali neužtekti, kad Paslaugų teikėjas galėtų pareikšti nuomonę apie finansinių ataskaitų rengimo vidaus kontrolės efektyvumą. Todėl Paslaugų teikėjo pastabose apie šias sistemas nebūtinai bus paminėti visi įmanomi patobulinimai, kuriuos būtų galima pasiūlyti atlikus išsamesnį specialųjį tyrimą.</w:t>
      </w:r>
    </w:p>
    <w:p w14:paraId="56A5AC50" w14:textId="77777777" w:rsidR="00271883" w:rsidRDefault="00271883" w:rsidP="00271883">
      <w:pPr>
        <w:pStyle w:val="ListParagraph"/>
        <w:widowControl w:val="0"/>
        <w:numPr>
          <w:ilvl w:val="1"/>
          <w:numId w:val="26"/>
        </w:numPr>
        <w:autoSpaceDE w:val="0"/>
        <w:autoSpaceDN w:val="0"/>
        <w:adjustRightInd w:val="0"/>
        <w:snapToGrid w:val="0"/>
        <w:spacing w:before="60" w:after="60"/>
        <w:ind w:hanging="644"/>
        <w:contextualSpacing w:val="0"/>
        <w:jc w:val="both"/>
        <w:rPr>
          <w:rFonts w:ascii="Arial" w:hAnsi="Arial" w:cs="Arial"/>
          <w:b/>
          <w:bCs/>
        </w:rPr>
      </w:pPr>
      <w:r>
        <w:rPr>
          <w:rFonts w:ascii="Arial" w:hAnsi="Arial" w:cs="Arial"/>
        </w:rPr>
        <w:t>Paslaugų teikėjo pateikiami dokumentai bus parengti šiomis kalbomis:</w:t>
      </w:r>
    </w:p>
    <w:p w14:paraId="2CD05321" w14:textId="77777777" w:rsidR="00271883" w:rsidRDefault="00271883" w:rsidP="00271883">
      <w:pPr>
        <w:pStyle w:val="ListParagraph"/>
        <w:widowControl w:val="0"/>
        <w:numPr>
          <w:ilvl w:val="2"/>
          <w:numId w:val="26"/>
        </w:numPr>
        <w:autoSpaceDE w:val="0"/>
        <w:autoSpaceDN w:val="0"/>
        <w:adjustRightInd w:val="0"/>
        <w:snapToGrid w:val="0"/>
        <w:spacing w:before="60" w:after="60"/>
        <w:ind w:left="644" w:hanging="644"/>
        <w:contextualSpacing w:val="0"/>
        <w:jc w:val="both"/>
        <w:rPr>
          <w:rFonts w:ascii="Arial" w:hAnsi="Arial" w:cs="Arial"/>
          <w:bCs/>
        </w:rPr>
      </w:pPr>
      <w:r>
        <w:rPr>
          <w:rFonts w:ascii="Arial" w:hAnsi="Arial" w:cs="Arial"/>
        </w:rPr>
        <w:t>Išvados bus pateiktos lietuvių ir anglų kalba;</w:t>
      </w:r>
    </w:p>
    <w:p w14:paraId="4F11D934" w14:textId="77777777" w:rsidR="00271883" w:rsidRDefault="00271883" w:rsidP="00271883">
      <w:pPr>
        <w:pStyle w:val="ListParagraph"/>
        <w:widowControl w:val="0"/>
        <w:numPr>
          <w:ilvl w:val="2"/>
          <w:numId w:val="26"/>
        </w:numPr>
        <w:autoSpaceDE w:val="0"/>
        <w:autoSpaceDN w:val="0"/>
        <w:adjustRightInd w:val="0"/>
        <w:snapToGrid w:val="0"/>
        <w:spacing w:before="60" w:after="60"/>
        <w:ind w:left="644" w:hanging="644"/>
        <w:contextualSpacing w:val="0"/>
        <w:jc w:val="both"/>
        <w:rPr>
          <w:rFonts w:ascii="Arial" w:hAnsi="Arial" w:cs="Arial"/>
          <w:bCs/>
        </w:rPr>
      </w:pPr>
      <w:r>
        <w:rPr>
          <w:rFonts w:ascii="Arial" w:hAnsi="Arial" w:cs="Arial"/>
        </w:rPr>
        <w:t>Laiškas vadovybei bus pateiktas lietuvių kalba;</w:t>
      </w:r>
    </w:p>
    <w:p w14:paraId="7AC66CEA" w14:textId="77777777" w:rsidR="00271883" w:rsidRPr="0000752B" w:rsidRDefault="00271883" w:rsidP="00271883">
      <w:pPr>
        <w:pStyle w:val="ListParagraph"/>
        <w:widowControl w:val="0"/>
        <w:numPr>
          <w:ilvl w:val="2"/>
          <w:numId w:val="26"/>
        </w:numPr>
        <w:autoSpaceDE w:val="0"/>
        <w:autoSpaceDN w:val="0"/>
        <w:adjustRightInd w:val="0"/>
        <w:snapToGrid w:val="0"/>
        <w:spacing w:before="60" w:after="60"/>
        <w:ind w:left="644" w:hanging="644"/>
        <w:contextualSpacing w:val="0"/>
        <w:jc w:val="both"/>
        <w:rPr>
          <w:rFonts w:ascii="Arial" w:hAnsi="Arial" w:cs="Arial"/>
        </w:rPr>
      </w:pPr>
      <w:r w:rsidRPr="0000752B">
        <w:rPr>
          <w:rFonts w:ascii="Arial" w:hAnsi="Arial" w:cs="Arial"/>
        </w:rPr>
        <w:t>Audito ataskaitos, kuri teikiama Lietuvos bankui,  taip pat metinės reguliuojamos veiklos atskaitomybės audito išvada, Peržvalgos ataskaita, jei rengiamos, bus pateiktos lietuvių kalba.</w:t>
      </w:r>
    </w:p>
    <w:p w14:paraId="294D42B9" w14:textId="77777777" w:rsidR="00271883" w:rsidRDefault="00271883" w:rsidP="00271883">
      <w:pPr>
        <w:widowControl w:val="0"/>
        <w:autoSpaceDE w:val="0"/>
        <w:autoSpaceDN w:val="0"/>
        <w:adjustRightInd w:val="0"/>
        <w:snapToGrid w:val="0"/>
        <w:spacing w:before="60" w:after="60"/>
        <w:jc w:val="both"/>
        <w:rPr>
          <w:rFonts w:ascii="Arial" w:hAnsi="Arial" w:cs="Arial"/>
          <w:b/>
          <w:bCs/>
        </w:rPr>
      </w:pPr>
    </w:p>
    <w:p w14:paraId="14057479" w14:textId="2A7C3489" w:rsidR="00271883" w:rsidRPr="00ED0A18" w:rsidRDefault="00ED0A18" w:rsidP="00ED0A18">
      <w:pPr>
        <w:widowControl w:val="0"/>
        <w:numPr>
          <w:ilvl w:val="0"/>
          <w:numId w:val="26"/>
        </w:numPr>
        <w:autoSpaceDE w:val="0"/>
        <w:autoSpaceDN w:val="0"/>
        <w:adjustRightInd w:val="0"/>
        <w:snapToGrid w:val="0"/>
        <w:spacing w:before="60" w:after="60"/>
        <w:jc w:val="center"/>
        <w:rPr>
          <w:rFonts w:ascii="Arial" w:hAnsi="Arial" w:cs="Arial"/>
          <w:b/>
          <w:bCs/>
        </w:rPr>
      </w:pPr>
      <w:bookmarkStart w:id="10" w:name="_Ref228784236"/>
      <w:r w:rsidRPr="00ED0A18">
        <w:rPr>
          <w:rFonts w:ascii="Arial" w:hAnsi="Arial" w:cs="Arial"/>
          <w:b/>
          <w:bCs/>
        </w:rPr>
        <w:t>PASLAUGŲ TEIKIMO TERMINAI</w:t>
      </w:r>
    </w:p>
    <w:p w14:paraId="30520174" w14:textId="77777777" w:rsidR="00271883" w:rsidRDefault="00271883" w:rsidP="00271883">
      <w:pPr>
        <w:pStyle w:val="ListParagraph"/>
        <w:numPr>
          <w:ilvl w:val="1"/>
          <w:numId w:val="26"/>
        </w:numPr>
        <w:ind w:hanging="644"/>
        <w:jc w:val="both"/>
        <w:rPr>
          <w:rFonts w:ascii="Arial" w:hAnsi="Arial" w:cs="Arial"/>
        </w:rPr>
      </w:pPr>
      <w:bookmarkStart w:id="11" w:name="_Ref391041281"/>
      <w:r>
        <w:rPr>
          <w:rFonts w:ascii="Arial" w:hAnsi="Arial" w:cs="Arial"/>
        </w:rPr>
        <w:t xml:space="preserve">Paslaugų teikėjas įsipareigoja Paslaugas atlikti </w:t>
      </w:r>
      <w:r w:rsidRPr="000B063A">
        <w:rPr>
          <w:rFonts w:ascii="Arial" w:hAnsi="Arial" w:cs="Arial"/>
        </w:rPr>
        <w:t xml:space="preserve">Techninėje specifikacijoje (Sutarties 2 priedas) </w:t>
      </w:r>
      <w:r>
        <w:rPr>
          <w:rFonts w:ascii="Arial" w:hAnsi="Arial" w:cs="Arial"/>
        </w:rPr>
        <w:t>nustatytais, arba kitais Šalių suderintais, terminais.</w:t>
      </w:r>
    </w:p>
    <w:bookmarkEnd w:id="11"/>
    <w:p w14:paraId="550E7B28" w14:textId="77777777" w:rsidR="00271883" w:rsidRDefault="00271883" w:rsidP="00271883">
      <w:pPr>
        <w:widowControl w:val="0"/>
        <w:numPr>
          <w:ilvl w:val="1"/>
          <w:numId w:val="26"/>
        </w:numPr>
        <w:autoSpaceDE w:val="0"/>
        <w:autoSpaceDN w:val="0"/>
        <w:adjustRightInd w:val="0"/>
        <w:spacing w:before="60" w:after="60"/>
        <w:ind w:hanging="644"/>
        <w:jc w:val="both"/>
        <w:rPr>
          <w:rFonts w:ascii="Arial" w:hAnsi="Arial" w:cs="Arial"/>
          <w:lang w:eastAsia="lt-LT"/>
        </w:rPr>
      </w:pPr>
      <w:r>
        <w:rPr>
          <w:rFonts w:ascii="Arial" w:hAnsi="Arial" w:cs="Arial"/>
        </w:rPr>
        <w:t>Abi Šalys privalo nedelsdamos pranešti viena kitai apie visas atsiradusias problemas, galinčias sutrukdyti nustatytu laiku įvykdyti šioje Sutartyje nustatytus įsipareigojimus.</w:t>
      </w:r>
    </w:p>
    <w:p w14:paraId="27979A54" w14:textId="77777777" w:rsidR="00271883" w:rsidRPr="00BE4B9F" w:rsidRDefault="00271883" w:rsidP="00271883">
      <w:pPr>
        <w:widowControl w:val="0"/>
        <w:numPr>
          <w:ilvl w:val="1"/>
          <w:numId w:val="26"/>
        </w:numPr>
        <w:autoSpaceDE w:val="0"/>
        <w:autoSpaceDN w:val="0"/>
        <w:adjustRightInd w:val="0"/>
        <w:spacing w:before="60" w:after="60"/>
        <w:ind w:hanging="644"/>
        <w:jc w:val="both"/>
        <w:rPr>
          <w:rFonts w:ascii="Arial" w:hAnsi="Arial" w:cs="Arial"/>
          <w:lang w:eastAsia="lt-LT"/>
        </w:rPr>
      </w:pPr>
      <w:r w:rsidRPr="000B063A">
        <w:rPr>
          <w:rFonts w:ascii="Arial" w:hAnsi="Arial" w:cs="Arial"/>
        </w:rPr>
        <w:t xml:space="preserve">Užsakovui nesilaikant šios Sutarties ir dėl savo kaltės vėluojant  pateikti šios Sutarties </w:t>
      </w:r>
      <w:r w:rsidRPr="005810A2">
        <w:rPr>
          <w:rFonts w:ascii="Arial" w:hAnsi="Arial" w:cs="Arial"/>
        </w:rPr>
        <w:t>2 pried</w:t>
      </w:r>
      <w:r>
        <w:rPr>
          <w:rFonts w:ascii="Arial" w:hAnsi="Arial" w:cs="Arial"/>
        </w:rPr>
        <w:t>e</w:t>
      </w:r>
      <w:r w:rsidRPr="000B063A">
        <w:rPr>
          <w:rFonts w:ascii="Arial" w:hAnsi="Arial" w:cs="Arial"/>
        </w:rPr>
        <w:t xml:space="preserve"> nurodytus dokumentus, Paslaugų suteikimo terminas pratęsiamas tiek dienų, kiek buvo vėluojama pateikti aukščiau nurodytus dokumentus, t.</w:t>
      </w:r>
      <w:r>
        <w:rPr>
          <w:rFonts w:ascii="Arial" w:hAnsi="Arial" w:cs="Arial"/>
        </w:rPr>
        <w:t xml:space="preserve"> </w:t>
      </w:r>
      <w:r w:rsidRPr="000B063A">
        <w:rPr>
          <w:rFonts w:ascii="Arial" w:hAnsi="Arial" w:cs="Arial"/>
        </w:rPr>
        <w:t xml:space="preserve">y. tik tiek, </w:t>
      </w:r>
      <w:r w:rsidRPr="00BE4B9F">
        <w:rPr>
          <w:rFonts w:ascii="Arial" w:hAnsi="Arial" w:cs="Arial"/>
        </w:rPr>
        <w:t>kiek Užsakovas nepagrįstai vėlavo pateikti reikiamą informaciją.</w:t>
      </w:r>
    </w:p>
    <w:p w14:paraId="7E085876" w14:textId="77777777" w:rsidR="00271883" w:rsidRDefault="00271883" w:rsidP="00271883">
      <w:pPr>
        <w:widowControl w:val="0"/>
        <w:numPr>
          <w:ilvl w:val="1"/>
          <w:numId w:val="26"/>
        </w:numPr>
        <w:autoSpaceDE w:val="0"/>
        <w:autoSpaceDN w:val="0"/>
        <w:adjustRightInd w:val="0"/>
        <w:spacing w:before="60" w:after="60"/>
        <w:ind w:hanging="644"/>
        <w:jc w:val="both"/>
        <w:rPr>
          <w:rFonts w:ascii="Arial" w:hAnsi="Arial" w:cs="Arial"/>
          <w:lang w:eastAsia="lt-LT"/>
        </w:rPr>
      </w:pPr>
      <w:r>
        <w:rPr>
          <w:rFonts w:ascii="Arial" w:hAnsi="Arial" w:cs="Arial"/>
          <w:lang w:eastAsia="lt-LT"/>
        </w:rPr>
        <w:t>Paslaugų teikėjo įsipareigojimai atlikti Auditą/Peržvalgą ir parengti bei pateikti Auditoriaus išvadą/Peržvalgos ataskaitą laikomi įvykdytais, kai pasirašoma ir pateikiama Auditoriaus išvada/Peržvalgos ataskaita, nustatytais terminais pateikiami Audito ataskaita, Finansinių ataskaitų vertimai į anglų kalbą, Laiškas vadovybei ir kiti pagal šią Sutartį ir (ar) jos priedus privalomi pateikti dokumentai ir Šalys pasirašo atliktų Paslaugų perdavimo – priėmimo aktus.</w:t>
      </w:r>
    </w:p>
    <w:p w14:paraId="21369FCE" w14:textId="77777777" w:rsidR="00271883" w:rsidRDefault="00271883" w:rsidP="00271883">
      <w:pPr>
        <w:widowControl w:val="0"/>
        <w:numPr>
          <w:ilvl w:val="1"/>
          <w:numId w:val="26"/>
        </w:numPr>
        <w:autoSpaceDE w:val="0"/>
        <w:autoSpaceDN w:val="0"/>
        <w:adjustRightInd w:val="0"/>
        <w:spacing w:before="60" w:after="60"/>
        <w:ind w:hanging="644"/>
        <w:jc w:val="both"/>
        <w:rPr>
          <w:rFonts w:ascii="Arial" w:hAnsi="Arial" w:cs="Arial"/>
          <w:lang w:eastAsia="lt-LT"/>
        </w:rPr>
      </w:pPr>
      <w:r>
        <w:rPr>
          <w:rFonts w:ascii="Arial" w:hAnsi="Arial" w:cs="Arial"/>
        </w:rPr>
        <w:t>Paslaugų teikėjas, suteikęs Sutartyje nustatytų reikalavimų neatitinkančias paslaugas, įsipareigoja tokius neatitikimus/trūkumus ištaisyti savo sąskaita ne vėliau kaip per Užsakovo nustatytą protingą terminą. Paslaugų teikėjui per Užsakovo nustatytą protingą terminą neištaisius suteiktų paslaugų neatitikimų/trūkumų, Paslaugų teikėjas, Užsakovui pareikalavus, moka Užsakovui 0,04 (keturių šimtųjų) procento nuo paslaugų kainos dydžio delspinigius už kiekvieną uždelstą dieną bei atlygina Užsakovo dėl to patirtus tiesioginius nuostolius.</w:t>
      </w:r>
    </w:p>
    <w:p w14:paraId="479D5BE8" w14:textId="77777777" w:rsidR="00271883" w:rsidRDefault="00271883" w:rsidP="00271883">
      <w:pPr>
        <w:widowControl w:val="0"/>
        <w:autoSpaceDE w:val="0"/>
        <w:autoSpaceDN w:val="0"/>
        <w:adjustRightInd w:val="0"/>
        <w:snapToGrid w:val="0"/>
        <w:spacing w:before="60" w:after="60"/>
        <w:jc w:val="both"/>
        <w:rPr>
          <w:rFonts w:ascii="Arial" w:hAnsi="Arial" w:cs="Arial"/>
          <w:b/>
          <w:bCs/>
        </w:rPr>
      </w:pPr>
    </w:p>
    <w:bookmarkEnd w:id="10"/>
    <w:p w14:paraId="7ADBA45A" w14:textId="0DDF6EF5" w:rsidR="00271883" w:rsidRDefault="00ED0A18" w:rsidP="00ED0A18">
      <w:pPr>
        <w:widowControl w:val="0"/>
        <w:numPr>
          <w:ilvl w:val="0"/>
          <w:numId w:val="26"/>
        </w:numPr>
        <w:autoSpaceDE w:val="0"/>
        <w:autoSpaceDN w:val="0"/>
        <w:adjustRightInd w:val="0"/>
        <w:snapToGrid w:val="0"/>
        <w:spacing w:before="60" w:after="60"/>
        <w:jc w:val="center"/>
        <w:rPr>
          <w:rFonts w:ascii="Arial" w:hAnsi="Arial" w:cs="Arial"/>
          <w:b/>
          <w:bCs/>
        </w:rPr>
      </w:pPr>
      <w:r>
        <w:rPr>
          <w:rFonts w:ascii="Arial" w:hAnsi="Arial" w:cs="Arial"/>
          <w:b/>
          <w:bCs/>
        </w:rPr>
        <w:t>SUTARTIES KAINA IR ATSISKAITYMŲ TVARKA</w:t>
      </w:r>
    </w:p>
    <w:p w14:paraId="573CFF10" w14:textId="25C77795"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rPr>
      </w:pPr>
      <w:r>
        <w:rPr>
          <w:rFonts w:ascii="Arial" w:hAnsi="Arial" w:cs="Arial"/>
        </w:rPr>
        <w:t xml:space="preserve">Bendra numatoma Užsakovo perkamų Paslaugų vertė iki </w:t>
      </w:r>
      <w:r w:rsidR="008F0FC2">
        <w:rPr>
          <w:rFonts w:ascii="Arial" w:hAnsi="Arial" w:cs="Arial"/>
        </w:rPr>
        <w:t>7550,00</w:t>
      </w:r>
      <w:r w:rsidR="003A7AF4" w:rsidRPr="003A7AF4">
        <w:rPr>
          <w:rFonts w:ascii="Arial" w:hAnsi="Arial" w:cs="Arial"/>
        </w:rPr>
        <w:t xml:space="preserve"> (</w:t>
      </w:r>
      <w:r w:rsidR="000A5613">
        <w:rPr>
          <w:rFonts w:ascii="Arial" w:hAnsi="Arial" w:cs="Arial"/>
        </w:rPr>
        <w:t xml:space="preserve">septyni </w:t>
      </w:r>
      <w:r w:rsidR="003A7AF4" w:rsidRPr="003A7AF4">
        <w:rPr>
          <w:rFonts w:ascii="Arial" w:hAnsi="Arial" w:cs="Arial"/>
        </w:rPr>
        <w:t>tūkstančiai penki šimtai</w:t>
      </w:r>
      <w:r w:rsidR="008F0FC2">
        <w:rPr>
          <w:rFonts w:ascii="Arial" w:hAnsi="Arial" w:cs="Arial"/>
        </w:rPr>
        <w:t xml:space="preserve"> pen</w:t>
      </w:r>
      <w:r w:rsidR="00612A3C">
        <w:rPr>
          <w:rFonts w:ascii="Arial" w:hAnsi="Arial" w:cs="Arial"/>
        </w:rPr>
        <w:t>kiasdešimt eurų</w:t>
      </w:r>
      <w:r w:rsidR="003A7AF4" w:rsidRPr="003A7AF4">
        <w:rPr>
          <w:rFonts w:ascii="Arial" w:hAnsi="Arial" w:cs="Arial"/>
        </w:rPr>
        <w:t xml:space="preserve">) </w:t>
      </w:r>
      <w:r>
        <w:rPr>
          <w:rFonts w:ascii="Arial" w:hAnsi="Arial" w:cs="Arial"/>
        </w:rPr>
        <w:t xml:space="preserve"> EUR be PVM, įskaitant PVM - </w:t>
      </w:r>
      <w:r w:rsidR="008F0FC2" w:rsidRPr="008F0FC2">
        <w:rPr>
          <w:rFonts w:ascii="Arial" w:hAnsi="Arial" w:cs="Arial"/>
        </w:rPr>
        <w:t>9135,50</w:t>
      </w:r>
      <w:r w:rsidR="008F0FC2">
        <w:rPr>
          <w:rFonts w:ascii="Arial" w:hAnsi="Arial" w:cs="Arial"/>
        </w:rPr>
        <w:t xml:space="preserve"> </w:t>
      </w:r>
      <w:r w:rsidR="003A7AF4">
        <w:rPr>
          <w:rFonts w:ascii="Arial" w:hAnsi="Arial" w:cs="Arial"/>
        </w:rPr>
        <w:t>(</w:t>
      </w:r>
      <w:r w:rsidR="008F0FC2">
        <w:rPr>
          <w:rFonts w:ascii="Arial" w:hAnsi="Arial" w:cs="Arial"/>
        </w:rPr>
        <w:t>devyni tūkstančiai vienas šimtas trisdešimt penki eurai 50 ct.</w:t>
      </w:r>
      <w:r w:rsidR="003A7AF4">
        <w:rPr>
          <w:rFonts w:ascii="Arial" w:hAnsi="Arial" w:cs="Arial"/>
        </w:rPr>
        <w:t xml:space="preserve">) </w:t>
      </w:r>
      <w:r>
        <w:rPr>
          <w:rFonts w:ascii="Arial" w:hAnsi="Arial" w:cs="Arial"/>
        </w:rPr>
        <w:t>EUR. Į Paslaugų kainą turi būti įskaitytos visos su Paslaugų suteikimu susijusios tiesioginės ir netiesioginės išlaidos ir bet kokių darbų, reikalingų Paslaugoms suteikti/įvykdyti, kuriuos Paslaugų teikėjas, būdamas srities specialistu, turėjo ir galėjo numatyti, jei būtų buvęs pakankamai rūpestingas ir tinkamai atsižvelgęs į aplinkybę, kad Užsakovas siekia, jog Paslaugų teikėjas Paslaugas tinkamai suteiktų/atliktų. Paslaugų kaina, taip pat visi mokesčiai (įskaitant PVM), mokami Sutartyje ir Lietuvoje galiojančių teisės aktų  nustatyta tvarka. Sutarties galiojimo metu Paslaugų kaina dėl kainų pokyčių, išskyrus pokyčių, susijusių su pridėtinės vertės mokesčio pasikeitimu ir nacionalinės valiutos pasikeitimu, neperskaičiuojama. Pasikeitus teisės aktuose nustatytam PVM tarifui, PVM tarifas perskaičiuojamas ir mokestis mokamas pagal teisės aktuose nustatytus reikalavimus be atskiro Sutarties pakeitimo. Perskaičiuota kaina (kainos sudedamosios dalys) taikoma už tas Paslaugas, už kurias PVM sąskaita faktūra išrašoma galiojant naujam pridėtinės vertės mokesčiui.</w:t>
      </w:r>
    </w:p>
    <w:p w14:paraId="5A11F814"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rPr>
      </w:pPr>
      <w:r>
        <w:rPr>
          <w:rFonts w:ascii="Arial" w:hAnsi="Arial" w:cs="Arial"/>
        </w:rPr>
        <w:t xml:space="preserve">Visi mokėjimai ir atsiskaitymai pagal Sutartį vykdomi Lietuvos Respublikos nacionaline valiuta – eurais. </w:t>
      </w:r>
    </w:p>
    <w:p w14:paraId="7E670D59"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rPr>
      </w:pPr>
      <w:r>
        <w:rPr>
          <w:rFonts w:ascii="Arial" w:hAnsi="Arial" w:cs="Arial"/>
        </w:rPr>
        <w:t xml:space="preserve">Paslaugų teikėjui už faktiškai suteiktas Paslaugas bus mokama pagal Sutarties </w:t>
      </w:r>
      <w:r w:rsidRPr="000B063A">
        <w:rPr>
          <w:rFonts w:ascii="Arial" w:hAnsi="Arial" w:cs="Arial"/>
        </w:rPr>
        <w:t xml:space="preserve">3 priede </w:t>
      </w:r>
      <w:r>
        <w:rPr>
          <w:rFonts w:ascii="Arial" w:hAnsi="Arial" w:cs="Arial"/>
        </w:rPr>
        <w:t>nurodytus įkainius, abiejų Šalių pasirašytus Paslaugų perdavimo – priėmimo aktus, Paslaugų teikėjo pateiktą PVM sąskaitą faktūrą, kurioje nurodytos suteiktos Paslaugos. Paslaugų perdavimo – priėmimo aktas Šalių suderinamas ir patvirtinamas per 2 (dvi) darbo dienas nuo jo pateikimo Užsakovui dienos. Paslaugų perdavimo-priėmimo aktas Užsakovui pateikiamas ne vėliau kaip iki mėnesio, per kurį buvo baigtos teikti numatytos Paslaugos, paskutinės kalendorinės dienos.</w:t>
      </w:r>
    </w:p>
    <w:p w14:paraId="527819B9" w14:textId="799E99DA" w:rsidR="00271883" w:rsidRDefault="00F16628" w:rsidP="00271883">
      <w:pPr>
        <w:widowControl w:val="0"/>
        <w:numPr>
          <w:ilvl w:val="1"/>
          <w:numId w:val="26"/>
        </w:numPr>
        <w:autoSpaceDE w:val="0"/>
        <w:autoSpaceDN w:val="0"/>
        <w:adjustRightInd w:val="0"/>
        <w:snapToGrid w:val="0"/>
        <w:spacing w:before="60" w:after="60"/>
        <w:ind w:hanging="644"/>
        <w:jc w:val="both"/>
        <w:rPr>
          <w:rFonts w:ascii="Arial" w:hAnsi="Arial" w:cs="Arial"/>
        </w:rPr>
      </w:pPr>
      <w:r w:rsidRPr="00F16628">
        <w:rPr>
          <w:rFonts w:ascii="Arial" w:hAnsi="Arial" w:cs="Arial"/>
        </w:rPr>
        <w:t xml:space="preserve">Už laiku ir tinkamai suteiktas audito ir su tuo susijusias paslaugas pagal Sutarties SD </w:t>
      </w:r>
      <w:r w:rsidR="00271883">
        <w:rPr>
          <w:rFonts w:ascii="Arial" w:hAnsi="Arial" w:cs="Arial"/>
        </w:rPr>
        <w:t xml:space="preserve">7.3 punkte nurodytus dokumentus Paslaugų teikėjui sumokama  </w:t>
      </w:r>
      <w:r w:rsidR="00271883" w:rsidRPr="008947F4">
        <w:rPr>
          <w:rFonts w:ascii="Arial" w:hAnsi="Arial" w:cs="Arial"/>
        </w:rPr>
        <w:t xml:space="preserve">per 30 (trisdešimt) </w:t>
      </w:r>
      <w:r w:rsidR="00271883">
        <w:rPr>
          <w:rFonts w:ascii="Arial" w:hAnsi="Arial" w:cs="Arial"/>
        </w:rPr>
        <w:t>kalendorinių dienų nuo PVM sąskaitos faktūros išrašymo dienos.</w:t>
      </w:r>
    </w:p>
    <w:p w14:paraId="647FBAED" w14:textId="77777777" w:rsidR="00271883" w:rsidRDefault="00271883" w:rsidP="00271883">
      <w:pPr>
        <w:snapToGrid w:val="0"/>
        <w:spacing w:before="60" w:after="60"/>
        <w:ind w:left="720" w:hanging="644"/>
        <w:jc w:val="both"/>
        <w:rPr>
          <w:rFonts w:ascii="Arial" w:hAnsi="Arial" w:cs="Arial"/>
        </w:rPr>
      </w:pPr>
    </w:p>
    <w:p w14:paraId="13330572" w14:textId="235A9C1E" w:rsidR="00271883" w:rsidRDefault="00ED0A18" w:rsidP="00ED0A18">
      <w:pPr>
        <w:widowControl w:val="0"/>
        <w:numPr>
          <w:ilvl w:val="0"/>
          <w:numId w:val="26"/>
        </w:numPr>
        <w:autoSpaceDE w:val="0"/>
        <w:autoSpaceDN w:val="0"/>
        <w:adjustRightInd w:val="0"/>
        <w:snapToGrid w:val="0"/>
        <w:spacing w:before="60" w:after="60"/>
        <w:jc w:val="center"/>
        <w:rPr>
          <w:rFonts w:ascii="Arial" w:hAnsi="Arial" w:cs="Arial"/>
          <w:b/>
          <w:bCs/>
        </w:rPr>
      </w:pPr>
      <w:r>
        <w:rPr>
          <w:rFonts w:ascii="Arial" w:hAnsi="Arial" w:cs="Arial"/>
          <w:b/>
          <w:bCs/>
        </w:rPr>
        <w:t>ŠALIŲ ATSAKOMYBĖ</w:t>
      </w:r>
    </w:p>
    <w:p w14:paraId="276496BF" w14:textId="699D1237" w:rsidR="00271883" w:rsidRPr="00D941D8"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bCs/>
          <w:color w:val="000000" w:themeColor="text1"/>
        </w:rPr>
      </w:pPr>
      <w:r>
        <w:rPr>
          <w:rFonts w:ascii="Arial" w:hAnsi="Arial" w:cs="Arial"/>
          <w:bCs/>
        </w:rPr>
        <w:t xml:space="preserve">Užsakovas, nesumokėjęs Paslaugų teikėjui už suteiktas Paslaugas per Sutartyje nustatytą terminą ir Paslaugų teikėjui raštu pareikalavus, moka </w:t>
      </w:r>
      <w:r w:rsidRPr="00D941D8">
        <w:rPr>
          <w:rFonts w:ascii="Arial" w:hAnsi="Arial" w:cs="Arial"/>
          <w:bCs/>
          <w:color w:val="000000" w:themeColor="text1"/>
        </w:rPr>
        <w:t xml:space="preserve">Paslaugų </w:t>
      </w:r>
      <w:r w:rsidRPr="0099785C">
        <w:rPr>
          <w:rFonts w:ascii="Arial" w:hAnsi="Arial" w:cs="Arial"/>
          <w:bCs/>
        </w:rPr>
        <w:t>teikėjui 0,0</w:t>
      </w:r>
      <w:r w:rsidR="00DC238A" w:rsidRPr="0099785C">
        <w:rPr>
          <w:rFonts w:ascii="Arial" w:hAnsi="Arial" w:cs="Arial"/>
          <w:bCs/>
        </w:rPr>
        <w:t>5</w:t>
      </w:r>
      <w:r w:rsidRPr="0099785C">
        <w:rPr>
          <w:rFonts w:ascii="Arial" w:hAnsi="Arial" w:cs="Arial"/>
          <w:bCs/>
        </w:rPr>
        <w:t xml:space="preserve"> (</w:t>
      </w:r>
      <w:r w:rsidR="0099785C" w:rsidRPr="0099785C">
        <w:rPr>
          <w:rFonts w:ascii="Arial" w:hAnsi="Arial" w:cs="Arial"/>
          <w:bCs/>
        </w:rPr>
        <w:t>penkių</w:t>
      </w:r>
      <w:r w:rsidRPr="0099785C">
        <w:rPr>
          <w:rFonts w:ascii="Arial" w:hAnsi="Arial" w:cs="Arial"/>
          <w:bCs/>
        </w:rPr>
        <w:t xml:space="preserve"> </w:t>
      </w:r>
      <w:r w:rsidRPr="00D941D8">
        <w:rPr>
          <w:rFonts w:ascii="Arial" w:hAnsi="Arial" w:cs="Arial"/>
          <w:bCs/>
          <w:color w:val="000000" w:themeColor="text1"/>
        </w:rPr>
        <w:t>šimtųjų) procento dydžio delspinigius nuo laiku nesumokėtos sumos už kiekvieną uždelstą dieną.</w:t>
      </w:r>
    </w:p>
    <w:p w14:paraId="58F7D6EE" w14:textId="386FBD7F" w:rsidR="00271883" w:rsidRPr="0078190D" w:rsidRDefault="00271883" w:rsidP="00271883">
      <w:pPr>
        <w:pStyle w:val="ListParagraph"/>
        <w:numPr>
          <w:ilvl w:val="1"/>
          <w:numId w:val="26"/>
        </w:numPr>
        <w:suppressAutoHyphens/>
        <w:spacing w:before="60" w:after="60"/>
        <w:ind w:hanging="644"/>
        <w:contextualSpacing w:val="0"/>
        <w:jc w:val="both"/>
        <w:rPr>
          <w:rFonts w:ascii="Arial" w:hAnsi="Arial" w:cs="Arial"/>
          <w:b/>
          <w:bCs/>
          <w:color w:val="000000" w:themeColor="text1"/>
        </w:rPr>
      </w:pPr>
      <w:r w:rsidRPr="00D941D8">
        <w:rPr>
          <w:rFonts w:ascii="Arial" w:hAnsi="Arial" w:cs="Arial"/>
          <w:color w:val="000000" w:themeColor="text1"/>
        </w:rPr>
        <w:t xml:space="preserve">Jei Paslaugų teikėjas ne dėl Užsakovo kaltės vėluoja suteikti </w:t>
      </w:r>
      <w:r>
        <w:rPr>
          <w:rFonts w:ascii="Arial" w:hAnsi="Arial" w:cs="Arial"/>
        </w:rPr>
        <w:t>Techninės specifikacijos (2 priedas) 3.1-</w:t>
      </w:r>
      <w:r w:rsidRPr="008060E8">
        <w:rPr>
          <w:rFonts w:ascii="Arial" w:hAnsi="Arial" w:cs="Arial"/>
        </w:rPr>
        <w:t>3.7,</w:t>
      </w:r>
      <w:r>
        <w:rPr>
          <w:rFonts w:ascii="Arial" w:hAnsi="Arial" w:cs="Arial"/>
        </w:rPr>
        <w:t xml:space="preserve"> </w:t>
      </w:r>
      <w:r w:rsidRPr="00D941D8">
        <w:rPr>
          <w:rFonts w:ascii="Arial" w:hAnsi="Arial" w:cs="Arial"/>
          <w:color w:val="000000" w:themeColor="text1"/>
        </w:rPr>
        <w:t>Paslaugas (ar jų dalį) daugiau kaip 5 dienas, Užsakovui pareikalavus, moka 0,0</w:t>
      </w:r>
      <w:r>
        <w:rPr>
          <w:rFonts w:ascii="Arial" w:hAnsi="Arial" w:cs="Arial"/>
          <w:color w:val="000000" w:themeColor="text1"/>
        </w:rPr>
        <w:t>6</w:t>
      </w:r>
      <w:r w:rsidRPr="00D941D8">
        <w:rPr>
          <w:rFonts w:ascii="Arial" w:hAnsi="Arial" w:cs="Arial"/>
          <w:color w:val="000000" w:themeColor="text1"/>
        </w:rPr>
        <w:t xml:space="preserve"> (</w:t>
      </w:r>
      <w:r>
        <w:rPr>
          <w:rFonts w:ascii="Arial" w:hAnsi="Arial" w:cs="Arial"/>
          <w:color w:val="000000" w:themeColor="text1"/>
        </w:rPr>
        <w:t>šešių</w:t>
      </w:r>
      <w:r w:rsidRPr="00D941D8">
        <w:rPr>
          <w:rFonts w:ascii="Arial" w:hAnsi="Arial" w:cs="Arial"/>
          <w:color w:val="000000" w:themeColor="text1"/>
        </w:rPr>
        <w:t xml:space="preserve"> šimtųjų) procento Paslaugų kainos dydžio delspinigius už kiekvieną uždelstą dieną bei atlygina Užsakovui dėl to patirtus tiesioginius nuostolius. Jei Paslaugų teikėjas ne dėl Užsakovo kaltės vėluoja suteikti </w:t>
      </w:r>
      <w:r>
        <w:rPr>
          <w:rFonts w:ascii="Arial" w:hAnsi="Arial" w:cs="Arial"/>
          <w:color w:val="000000" w:themeColor="text1"/>
        </w:rPr>
        <w:t>kitas</w:t>
      </w:r>
      <w:r>
        <w:rPr>
          <w:rFonts w:ascii="Arial" w:hAnsi="Arial" w:cs="Arial"/>
        </w:rPr>
        <w:t xml:space="preserve"> </w:t>
      </w:r>
      <w:r w:rsidRPr="00D941D8">
        <w:rPr>
          <w:rFonts w:ascii="Arial" w:hAnsi="Arial" w:cs="Arial"/>
          <w:color w:val="000000" w:themeColor="text1"/>
        </w:rPr>
        <w:t>Paslaugas (ar jų dalį) daugiau kaip 5 dienas, Užsakovui pareikalavus, moka 0,0</w:t>
      </w:r>
      <w:r>
        <w:rPr>
          <w:rFonts w:ascii="Arial" w:hAnsi="Arial" w:cs="Arial"/>
          <w:color w:val="000000" w:themeColor="text1"/>
        </w:rPr>
        <w:t>4</w:t>
      </w:r>
      <w:r w:rsidRPr="00D941D8">
        <w:rPr>
          <w:rFonts w:ascii="Arial" w:hAnsi="Arial" w:cs="Arial"/>
          <w:color w:val="000000" w:themeColor="text1"/>
        </w:rPr>
        <w:t xml:space="preserve"> (</w:t>
      </w:r>
      <w:r>
        <w:rPr>
          <w:rFonts w:ascii="Arial" w:hAnsi="Arial" w:cs="Arial"/>
          <w:color w:val="000000" w:themeColor="text1"/>
        </w:rPr>
        <w:t>keturių</w:t>
      </w:r>
      <w:r w:rsidRPr="00D941D8">
        <w:rPr>
          <w:rFonts w:ascii="Arial" w:hAnsi="Arial" w:cs="Arial"/>
          <w:color w:val="000000" w:themeColor="text1"/>
        </w:rPr>
        <w:t xml:space="preserve"> šimtųjų) procento Paslaugų kainos dydžio delspinigius už kiekvieną uždelstą dieną bei atlygina Užsakovui dėl to patirtus tiesioginius nuostolius.</w:t>
      </w:r>
      <w:r>
        <w:rPr>
          <w:rFonts w:ascii="Arial" w:hAnsi="Arial" w:cs="Arial"/>
          <w:color w:val="000000" w:themeColor="text1"/>
        </w:rPr>
        <w:t xml:space="preserve"> </w:t>
      </w:r>
      <w:r w:rsidRPr="00D941D8">
        <w:rPr>
          <w:rFonts w:ascii="Arial" w:hAnsi="Arial" w:cs="Arial"/>
          <w:color w:val="000000" w:themeColor="text1"/>
        </w:rPr>
        <w:t>Užsakovui pareiškus reikalavimą atlyginti patirtus nuostolius, delspinigiai įskaitomi į nuostolių atlyginimą.</w:t>
      </w:r>
    </w:p>
    <w:p w14:paraId="52B2E303"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rPr>
      </w:pPr>
      <w:r>
        <w:rPr>
          <w:rFonts w:ascii="Arial" w:hAnsi="Arial" w:cs="Arial"/>
        </w:rPr>
        <w:t>Paslaugų teikėjas atsako Užsakovui už bet kokį bet kurios trečiosios šalies autorinių, intelektinės nuosavybės, neturtinių teisių pažeidimą, teikiant Paslaugas ir atlygina Užsakovui visus nuostolius, kuriuos Užsakovas patyrė dėl trečiųjų asmenų Užsakovui pareikštų pretenzijų dėl jų teisių pažeidimo.</w:t>
      </w:r>
    </w:p>
    <w:p w14:paraId="33BBC906" w14:textId="77777777" w:rsidR="00271883" w:rsidRDefault="00271883" w:rsidP="00271883">
      <w:pPr>
        <w:pStyle w:val="ListParagraph"/>
        <w:numPr>
          <w:ilvl w:val="1"/>
          <w:numId w:val="26"/>
        </w:numPr>
        <w:ind w:hanging="644"/>
        <w:jc w:val="both"/>
        <w:rPr>
          <w:rFonts w:ascii="Arial" w:hAnsi="Arial" w:cs="Arial"/>
        </w:rPr>
      </w:pPr>
      <w:r w:rsidRPr="00DF1158">
        <w:rPr>
          <w:rFonts w:ascii="Arial" w:hAnsi="Arial" w:cs="Arial"/>
        </w:rPr>
        <w:t>Nepaisant bet kurios kitos šios Sutarties nuostatos, Šalys aiškiai susitaria, kad maksimali Paslaugų teikėjo atsakomybė už šios Sutarties pažeidimo yra ribojama dviguba Paslaugų teikėjui pagal šią Sutartį mokėtino atlyginimo suma. Pastarasis ribojamas netaikomas, jeigu Paslaugų teikėjas padaro žalą dėl tyčios ar didelio neatsargumo.</w:t>
      </w:r>
      <w:r w:rsidRPr="00B5546A">
        <w:rPr>
          <w:rFonts w:ascii="Arial" w:hAnsi="Arial" w:cs="Arial"/>
          <w:sz w:val="22"/>
          <w:szCs w:val="22"/>
        </w:rPr>
        <w:t xml:space="preserve"> </w:t>
      </w:r>
      <w:r w:rsidRPr="00B5546A">
        <w:rPr>
          <w:rFonts w:ascii="Arial" w:hAnsi="Arial" w:cs="Arial"/>
        </w:rPr>
        <w:t>Šalys supranta, kad Paslaugų teikėjas be kitų atvejų bus laikomas padaręs žalą dėl didelio neatsargumo</w:t>
      </w:r>
      <w:r>
        <w:rPr>
          <w:rFonts w:ascii="Arial" w:hAnsi="Arial" w:cs="Arial"/>
        </w:rPr>
        <w:t xml:space="preserve"> taip pat tuo atveju, jeigu žalą padarė dėl to, kad nesilaikė auditoriaus profesinio skepticizmo kaip apibrėžta 200-ajame TAS „Bendrieji nepriklausomo auditoriaus tikslai ir audito atlikimas pagal tarptautinius audito standartus“.</w:t>
      </w:r>
    </w:p>
    <w:p w14:paraId="461BCA57" w14:textId="77777777" w:rsidR="00271883" w:rsidRDefault="00271883" w:rsidP="00271883">
      <w:pPr>
        <w:widowControl w:val="0"/>
        <w:autoSpaceDE w:val="0"/>
        <w:autoSpaceDN w:val="0"/>
        <w:adjustRightInd w:val="0"/>
        <w:spacing w:before="60" w:after="60"/>
        <w:jc w:val="both"/>
        <w:rPr>
          <w:rFonts w:ascii="Arial" w:hAnsi="Arial" w:cs="Arial"/>
          <w:lang w:eastAsia="lt-LT"/>
        </w:rPr>
      </w:pPr>
    </w:p>
    <w:p w14:paraId="332E394F" w14:textId="3069166F" w:rsidR="00271883" w:rsidRDefault="00ED0A18" w:rsidP="00ED0A18">
      <w:pPr>
        <w:widowControl w:val="0"/>
        <w:numPr>
          <w:ilvl w:val="0"/>
          <w:numId w:val="26"/>
        </w:numPr>
        <w:autoSpaceDE w:val="0"/>
        <w:autoSpaceDN w:val="0"/>
        <w:adjustRightInd w:val="0"/>
        <w:snapToGrid w:val="0"/>
        <w:spacing w:before="60" w:after="60"/>
        <w:jc w:val="center"/>
        <w:rPr>
          <w:rFonts w:ascii="Arial" w:hAnsi="Arial" w:cs="Arial"/>
          <w:b/>
          <w:bCs/>
        </w:rPr>
      </w:pPr>
      <w:r>
        <w:rPr>
          <w:rFonts w:ascii="Arial" w:hAnsi="Arial" w:cs="Arial"/>
          <w:b/>
        </w:rPr>
        <w:t>KONFIDENCIALUMO UŽTIKRINIMAS</w:t>
      </w:r>
    </w:p>
    <w:p w14:paraId="2C603547" w14:textId="77777777" w:rsidR="00F16628" w:rsidRPr="00F16628" w:rsidRDefault="00F16628" w:rsidP="00F16628">
      <w:pPr>
        <w:widowControl w:val="0"/>
        <w:numPr>
          <w:ilvl w:val="1"/>
          <w:numId w:val="26"/>
        </w:numPr>
        <w:autoSpaceDE w:val="0"/>
        <w:autoSpaceDN w:val="0"/>
        <w:adjustRightInd w:val="0"/>
        <w:snapToGrid w:val="0"/>
        <w:spacing w:before="60" w:after="60"/>
        <w:ind w:hanging="644"/>
        <w:jc w:val="both"/>
        <w:rPr>
          <w:rFonts w:ascii="Arial" w:hAnsi="Arial" w:cs="Arial"/>
        </w:rPr>
      </w:pPr>
      <w:r>
        <w:rPr>
          <w:rFonts w:ascii="Arial" w:hAnsi="Arial" w:cs="Arial"/>
        </w:rPr>
        <w:t xml:space="preserve">Paslaugų teikėjas sutinka </w:t>
      </w:r>
      <w:r w:rsidRPr="00A4488F">
        <w:rPr>
          <w:rFonts w:ascii="Arial" w:hAnsi="Arial" w:cs="Arial"/>
        </w:rPr>
        <w:t xml:space="preserve">2 (dvejus) metus </w:t>
      </w:r>
      <w:r>
        <w:rPr>
          <w:rFonts w:ascii="Arial" w:hAnsi="Arial" w:cs="Arial"/>
        </w:rPr>
        <w:t xml:space="preserve">laikyti paslaptyje visą Paslaugų teikimo metu gaunamą informaciją apie Užsakovą ir jo klientus, išskyrus atvejus, kai Užsakovas raštu patvirtina sutinkąs, kad tokia informacija būtų atskleista, </w:t>
      </w:r>
      <w:r w:rsidRPr="00F16628">
        <w:rPr>
          <w:rFonts w:ascii="Arial" w:hAnsi="Arial" w:cs="Arial"/>
        </w:rPr>
        <w:t>bei kai tokia informacija jau yra viešai teisėtai paskelbta arba kai tai yra privaloma pagal Lietuvos Respublikos teisės aktus. Pasirašant Sutartį, Paslaugų teikėjas privalės pasirašyti Susitarimą dėl konfidencialios informacijos (1 priedas).</w:t>
      </w:r>
    </w:p>
    <w:p w14:paraId="01E8B8B7" w14:textId="77777777" w:rsidR="00F16628" w:rsidRPr="00F16628" w:rsidRDefault="00F16628" w:rsidP="00F16628">
      <w:pPr>
        <w:widowControl w:val="0"/>
        <w:numPr>
          <w:ilvl w:val="1"/>
          <w:numId w:val="26"/>
        </w:numPr>
        <w:autoSpaceDE w:val="0"/>
        <w:autoSpaceDN w:val="0"/>
        <w:adjustRightInd w:val="0"/>
        <w:snapToGrid w:val="0"/>
        <w:spacing w:before="60" w:after="60"/>
        <w:ind w:hanging="644"/>
        <w:jc w:val="both"/>
        <w:rPr>
          <w:rFonts w:ascii="Arial" w:hAnsi="Arial" w:cs="Arial"/>
        </w:rPr>
      </w:pPr>
      <w:r w:rsidRPr="00F16628">
        <w:rPr>
          <w:rFonts w:ascii="Arial" w:hAnsi="Arial" w:cs="Arial"/>
        </w:rPr>
        <w:t xml:space="preserve">Susidaręs nuomonę, kad Užsakovas atliko neteisėtus veiksmus arba pažeidimus ir nesiėmė deramų priemonių, kad to išvengtų, Paslaugų teikėjas pasilieka teisę pranešti apie tai asmenims arba valstybinėms institucijoms, turintiems teisės aktais nustatytą </w:t>
      </w:r>
      <w:r>
        <w:rPr>
          <w:rFonts w:ascii="Arial" w:hAnsi="Arial" w:cs="Arial"/>
        </w:rPr>
        <w:t>teisę gauti tokią informaciją.</w:t>
      </w:r>
    </w:p>
    <w:p w14:paraId="7B00E5FA"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bCs/>
        </w:rPr>
      </w:pPr>
      <w:r>
        <w:rPr>
          <w:rFonts w:ascii="Arial" w:hAnsi="Arial" w:cs="Arial"/>
        </w:rPr>
        <w:t>Jokia šios Sutarties nuostata nedraudžia Paslaugų teikėjui atskleisti kurios nors informacijos apie Užsakovą:</w:t>
      </w:r>
    </w:p>
    <w:p w14:paraId="6C839523" w14:textId="77777777" w:rsidR="00271883" w:rsidRDefault="00271883" w:rsidP="00271883">
      <w:pPr>
        <w:pStyle w:val="ListParagraph"/>
        <w:widowControl w:val="0"/>
        <w:numPr>
          <w:ilvl w:val="2"/>
          <w:numId w:val="26"/>
        </w:numPr>
        <w:autoSpaceDE w:val="0"/>
        <w:autoSpaceDN w:val="0"/>
        <w:adjustRightInd w:val="0"/>
        <w:snapToGrid w:val="0"/>
        <w:spacing w:before="60" w:after="60"/>
        <w:ind w:left="644" w:hanging="644"/>
        <w:contextualSpacing w:val="0"/>
        <w:jc w:val="both"/>
        <w:rPr>
          <w:rFonts w:ascii="Arial" w:hAnsi="Arial" w:cs="Arial"/>
          <w:bCs/>
        </w:rPr>
      </w:pPr>
      <w:r>
        <w:rPr>
          <w:rFonts w:ascii="Arial" w:hAnsi="Arial" w:cs="Arial"/>
        </w:rPr>
        <w:t>(i) tretiesiems asmenims, tokiems kaip draudikai, (ii) valstybės ar tarptautinės priežiūros institucijos, teismai ar kiti tretieji asmenys, tiek, kiek atskleisti informaciją apie Užsakovą reikalauja taikytini įstatymai, kiti teisės aktai ar profesinės veiklos standartai;</w:t>
      </w:r>
    </w:p>
    <w:p w14:paraId="0EFD6085" w14:textId="77777777" w:rsidR="00271883" w:rsidRDefault="00271883" w:rsidP="00271883">
      <w:pPr>
        <w:pStyle w:val="ListParagraph"/>
        <w:widowControl w:val="0"/>
        <w:numPr>
          <w:ilvl w:val="2"/>
          <w:numId w:val="26"/>
        </w:numPr>
        <w:autoSpaceDE w:val="0"/>
        <w:autoSpaceDN w:val="0"/>
        <w:adjustRightInd w:val="0"/>
        <w:snapToGrid w:val="0"/>
        <w:spacing w:before="60" w:after="60"/>
        <w:ind w:left="644" w:hanging="644"/>
        <w:contextualSpacing w:val="0"/>
        <w:jc w:val="both"/>
        <w:rPr>
          <w:rFonts w:ascii="Arial" w:hAnsi="Arial" w:cs="Arial"/>
          <w:bCs/>
        </w:rPr>
      </w:pPr>
      <w:r>
        <w:rPr>
          <w:rFonts w:ascii="Arial" w:hAnsi="Arial" w:cs="Arial"/>
        </w:rPr>
        <w:t>informacinių technologijų (IT) paslaugų teikėjams, kurie teikia Paslaugų teikėjui arba kitoms įmonėms IT paslaugas, jeigu informacijos apie Užsakovą atskleidimo neįmanoma išvengti dėl teikiamos IT paslaugos ir/ar naudojamos IT įrangos, sistemų ar kitų IT išteklių prigimties ir/ar savybių ir tik tokia apimtimi, kuri būtina atskleisti.</w:t>
      </w:r>
    </w:p>
    <w:p w14:paraId="296C8B16"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bCs/>
        </w:rPr>
      </w:pPr>
      <w:r>
        <w:rPr>
          <w:rFonts w:ascii="Arial" w:hAnsi="Arial" w:cs="Arial"/>
        </w:rPr>
        <w:t>Paslaugų teikėjo ir Užsakovo pasirašytos konfidencialumo sutarties apimtimi ir tvarka Paslaugų teikėjas atlygina Užsakovui dėl konfidencialios informacijos atskleidimo patirtus nuostolius.</w:t>
      </w:r>
    </w:p>
    <w:p w14:paraId="44208A62"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bCs/>
        </w:rPr>
      </w:pPr>
      <w:r>
        <w:rPr>
          <w:rFonts w:ascii="Arial" w:hAnsi="Arial" w:cs="Arial"/>
        </w:rPr>
        <w:t>Užsakovas sutinka laikyti paslaptyje Paslaugų teikimo metodus bei rezultatų gavimo būdus, išskyrus atvejus, kai Paslaugų teikėjas raštu patvirtina sutinkąs, kad tokia informacija būtų atskleista, bei kai tokia informacija jau yra viešai paskelbta.</w:t>
      </w:r>
    </w:p>
    <w:p w14:paraId="2F699EB4" w14:textId="3C3CE9C6" w:rsidR="00271883" w:rsidRPr="00F16628" w:rsidRDefault="00F16628" w:rsidP="00F16628">
      <w:pPr>
        <w:widowControl w:val="0"/>
        <w:numPr>
          <w:ilvl w:val="1"/>
          <w:numId w:val="26"/>
        </w:numPr>
        <w:autoSpaceDE w:val="0"/>
        <w:autoSpaceDN w:val="0"/>
        <w:adjustRightInd w:val="0"/>
        <w:snapToGrid w:val="0"/>
        <w:spacing w:before="60" w:after="60"/>
        <w:ind w:hanging="644"/>
        <w:jc w:val="both"/>
        <w:rPr>
          <w:rFonts w:ascii="Arial" w:hAnsi="Arial" w:cs="Arial"/>
        </w:rPr>
      </w:pPr>
      <w:r>
        <w:rPr>
          <w:rFonts w:ascii="Arial" w:hAnsi="Arial" w:cs="Arial"/>
        </w:rPr>
        <w:t xml:space="preserve">Auditoriaus išvados/Peržvalgos ataskaitos skirtos tiems, kuriems jos adresuojamos. Paslaugos nėra </w:t>
      </w:r>
      <w:r w:rsidRPr="00F16628">
        <w:rPr>
          <w:rFonts w:ascii="Arial" w:hAnsi="Arial" w:cs="Arial"/>
        </w:rPr>
        <w:t xml:space="preserve">planuojamos ar vykdomos numatant, kad jomis pasikliaus bet kuri trečioji šalis ar jos bus atliekamas </w:t>
      </w:r>
      <w:r>
        <w:rPr>
          <w:rFonts w:ascii="Arial" w:hAnsi="Arial" w:cs="Arial"/>
        </w:rPr>
        <w:t>kurio nors konkretaus sandorio atžvilgiu. Dėl to dalykai, kurie gali dominti trečiąsias šalis, nėra specialiai nagrinėjami ir gali egzistuoti dalykai, kurie trečiųjų šalių konkretaus sandorio atžvilgiu būtų įvertinti skirtingai.</w:t>
      </w:r>
    </w:p>
    <w:p w14:paraId="01FA35B6"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bCs/>
        </w:rPr>
      </w:pPr>
      <w:r>
        <w:rPr>
          <w:rFonts w:ascii="Arial" w:hAnsi="Arial" w:cs="Arial"/>
        </w:rPr>
        <w:t xml:space="preserve">Jeigu Užsakovas ketina skelbti ar dauginti spausdintine ar elektronine forma (pavyzdžiui, Užsakovo tinklapyje) Paslaugų teikėjo parengtą informaciją kartu su Finansinėmis ataskaitomis, išskyrus pilną Auditoriaus išvadą kartu su audituotomis metinėmis Finansinėmis ataskaitomis ir Metiniu pranešimu, kurie viešai skelbiami vadovaujantis Lietuvos Respublikos įstatymais, ar kitokiu būdu pateikti nuorodas į Paslaugų teikėją dokumente, kuriame pateikiama kita informacija, Užsakovas, Paslaugų teikėjui raštu </w:t>
      </w:r>
      <w:r>
        <w:rPr>
          <w:rFonts w:ascii="Arial" w:hAnsi="Arial" w:cs="Arial"/>
        </w:rPr>
        <w:lastRenderedPageBreak/>
        <w:t>(elektroniniu paštu, paštu siunčiamu dokumentu, kt.) paprašius, sutinka pateikti Paslaugų teikėjo susipažinimui tokio dokumento projektą bei gauti rašytinį Paslaugų teikėjo sutikimą dėl informacijos įtraukimo prieš galutinį dokumento parengimą ir platinimą.</w:t>
      </w:r>
    </w:p>
    <w:p w14:paraId="76EB442E" w14:textId="77777777" w:rsidR="00271883" w:rsidRDefault="00271883" w:rsidP="00271883">
      <w:pPr>
        <w:pStyle w:val="ListParagraph"/>
        <w:numPr>
          <w:ilvl w:val="1"/>
          <w:numId w:val="26"/>
        </w:numPr>
        <w:spacing w:before="60" w:after="60"/>
        <w:ind w:hanging="644"/>
        <w:contextualSpacing w:val="0"/>
        <w:jc w:val="both"/>
        <w:rPr>
          <w:rFonts w:ascii="Arial" w:hAnsi="Arial" w:cs="Arial"/>
        </w:rPr>
      </w:pPr>
      <w:r>
        <w:rPr>
          <w:rFonts w:ascii="Arial" w:hAnsi="Arial" w:cs="Arial"/>
        </w:rPr>
        <w:t>Jeigu Paslaugų teikėjo parengtos Išvados publikuojamos kuriose nors žiniasklaidos priemonėse, taip pat turi būti pateikiamos pilnos Finansinės ataskaitos, įskaitant jų aiškinamąsias pastabas.</w:t>
      </w:r>
    </w:p>
    <w:p w14:paraId="3AA39A57" w14:textId="77777777" w:rsidR="00271883" w:rsidRDefault="00271883" w:rsidP="00271883">
      <w:pPr>
        <w:widowControl w:val="0"/>
        <w:numPr>
          <w:ilvl w:val="1"/>
          <w:numId w:val="26"/>
        </w:numPr>
        <w:autoSpaceDE w:val="0"/>
        <w:autoSpaceDN w:val="0"/>
        <w:adjustRightInd w:val="0"/>
        <w:snapToGrid w:val="0"/>
        <w:spacing w:before="60" w:after="60"/>
        <w:ind w:hanging="644"/>
        <w:jc w:val="both"/>
        <w:rPr>
          <w:rFonts w:ascii="Arial" w:hAnsi="Arial" w:cs="Arial"/>
          <w:bCs/>
        </w:rPr>
      </w:pPr>
      <w:r>
        <w:rPr>
          <w:rFonts w:ascii="Arial" w:hAnsi="Arial" w:cs="Arial"/>
        </w:rPr>
        <w:t>Be išankstinio rašytinio Paslaugų teikėjo sutikimo, trečiosioms šalims negali būti pateiktas Laiškas vadovybei. Toks sutikimas gali būti suteikiamas tik remiantis tokiu principu, kad šis laiškas nėra rengiamas kieno nors kito nei Užsakovo naudojimui ar reikmėms. Laiškas vadovybei gali būti pateiktas Užsakovo ar įmonių grupės, kuriai priklauso Užsakovas, įmonių valdymo ir priežiūros organams be rašytinio Paslaugų teikėjo sutikimo.</w:t>
      </w:r>
    </w:p>
    <w:p w14:paraId="3164CF4D" w14:textId="77777777" w:rsidR="00271883" w:rsidRDefault="00271883" w:rsidP="00271883">
      <w:pPr>
        <w:widowControl w:val="0"/>
        <w:autoSpaceDE w:val="0"/>
        <w:autoSpaceDN w:val="0"/>
        <w:adjustRightInd w:val="0"/>
        <w:spacing w:before="60" w:after="60"/>
        <w:jc w:val="both"/>
        <w:rPr>
          <w:rFonts w:ascii="Arial" w:hAnsi="Arial" w:cs="Arial"/>
          <w:lang w:eastAsia="lt-LT"/>
        </w:rPr>
      </w:pPr>
    </w:p>
    <w:p w14:paraId="037192B2" w14:textId="72A2361B" w:rsidR="00271883" w:rsidRDefault="00ED0A18" w:rsidP="00ED0A18">
      <w:pPr>
        <w:pStyle w:val="ListParagraph"/>
        <w:widowControl w:val="0"/>
        <w:numPr>
          <w:ilvl w:val="0"/>
          <w:numId w:val="26"/>
        </w:numPr>
        <w:autoSpaceDE w:val="0"/>
        <w:autoSpaceDN w:val="0"/>
        <w:adjustRightInd w:val="0"/>
        <w:spacing w:before="60" w:after="60"/>
        <w:contextualSpacing w:val="0"/>
        <w:jc w:val="center"/>
        <w:rPr>
          <w:rFonts w:ascii="Arial" w:hAnsi="Arial" w:cs="Arial"/>
          <w:b/>
        </w:rPr>
      </w:pPr>
      <w:r>
        <w:rPr>
          <w:rFonts w:ascii="Arial" w:hAnsi="Arial" w:cs="Arial"/>
          <w:b/>
        </w:rPr>
        <w:t>ASMENS DUOMENYS</w:t>
      </w:r>
    </w:p>
    <w:p w14:paraId="37156259" w14:textId="4E1EFA25" w:rsidR="00271883" w:rsidRDefault="00271883" w:rsidP="00271883">
      <w:pPr>
        <w:pStyle w:val="ListParagraph"/>
        <w:widowControl w:val="0"/>
        <w:numPr>
          <w:ilvl w:val="1"/>
          <w:numId w:val="26"/>
        </w:numPr>
        <w:autoSpaceDE w:val="0"/>
        <w:autoSpaceDN w:val="0"/>
        <w:adjustRightInd w:val="0"/>
        <w:spacing w:before="60" w:after="60"/>
        <w:ind w:hanging="644"/>
        <w:contextualSpacing w:val="0"/>
        <w:jc w:val="both"/>
        <w:rPr>
          <w:rFonts w:ascii="Arial" w:hAnsi="Arial" w:cs="Arial"/>
        </w:rPr>
      </w:pPr>
      <w:r>
        <w:rPr>
          <w:rFonts w:ascii="Arial" w:hAnsi="Arial" w:cs="Arial"/>
        </w:rPr>
        <w:t xml:space="preserve">Užsakovas įgalioja Paslaugų teikėją </w:t>
      </w:r>
      <w:r w:rsidR="001360DA" w:rsidRPr="009973F1">
        <w:rPr>
          <w:rFonts w:ascii="Arial" w:hAnsi="Arial" w:cs="Arial"/>
        </w:rPr>
        <w:t>valdyti</w:t>
      </w:r>
      <w:r>
        <w:rPr>
          <w:rFonts w:ascii="Arial" w:hAnsi="Arial" w:cs="Arial"/>
        </w:rPr>
        <w:t xml:space="preserve"> pagal šią Sutartį asmens duomenis, susijusius su Užsakovo darbuotojais, rangovais, klientais ar kitais asmenimis, jeigu šie asmens duomenys yra reikalingi siekiant atlikti Auditą pagal šią Sutartį. Užsakovas patvirtina, kad tais atvejais, kai jis teikia Paslaugų teikėjui asmens duomenis, susijusius su savo darbuotojais, rangovais, klientais ar kitais asmenimis, jis yra tinkamai įgaliotas tai daryti kaip tų asmenų atstovas ir/ar tų asmens duomenų valdytojas; kad jis yra gavęs atitinkamų duomenų subjektų sutikimus dėl jų duomenų teikimo; ir kad jis vykdo visus kitus teisinius reikalavimus, susijusius su asmens duomenų apsauga. Paslaugų teikėjas įsipareigoja saugoti Užsakovo pateiktus asmens duomenis panaudojant teisės aktų reikalavimus atitinkančias technines ir organizacines priemones, užtikrinančias atitinkamą šių duomenų saugumą, bei atsakyti už šiame punkte numatyto įsipareigojimo pažeidimą/nevykdymą/netinkamą vykdymą.</w:t>
      </w:r>
    </w:p>
    <w:p w14:paraId="4A6AC633" w14:textId="77777777" w:rsidR="00271883" w:rsidRDefault="00271883" w:rsidP="00271883">
      <w:pPr>
        <w:widowControl w:val="0"/>
        <w:autoSpaceDE w:val="0"/>
        <w:autoSpaceDN w:val="0"/>
        <w:adjustRightInd w:val="0"/>
        <w:spacing w:before="60" w:after="60"/>
        <w:jc w:val="both"/>
        <w:rPr>
          <w:rFonts w:ascii="Arial" w:hAnsi="Arial" w:cs="Arial"/>
        </w:rPr>
      </w:pPr>
    </w:p>
    <w:p w14:paraId="7D427282" w14:textId="664FB6CE" w:rsidR="00271883" w:rsidRDefault="00ED0A18" w:rsidP="00ED0A18">
      <w:pPr>
        <w:pStyle w:val="ListParagraph"/>
        <w:widowControl w:val="0"/>
        <w:numPr>
          <w:ilvl w:val="0"/>
          <w:numId w:val="26"/>
        </w:numPr>
        <w:autoSpaceDE w:val="0"/>
        <w:autoSpaceDN w:val="0"/>
        <w:adjustRightInd w:val="0"/>
        <w:spacing w:before="60" w:after="60"/>
        <w:ind w:left="709" w:hanging="709"/>
        <w:contextualSpacing w:val="0"/>
        <w:jc w:val="center"/>
        <w:rPr>
          <w:rFonts w:ascii="Arial" w:hAnsi="Arial" w:cs="Arial"/>
          <w:b/>
        </w:rPr>
      </w:pPr>
      <w:r>
        <w:rPr>
          <w:rFonts w:ascii="Arial" w:hAnsi="Arial" w:cs="Arial"/>
          <w:b/>
        </w:rPr>
        <w:t>ETIKOS NORMOS IR ATSAKOMYBĖ</w:t>
      </w:r>
    </w:p>
    <w:p w14:paraId="792FD936" w14:textId="3C6BA39A" w:rsidR="00271883" w:rsidRPr="00F16628" w:rsidRDefault="00F16628" w:rsidP="00F16628">
      <w:pPr>
        <w:pStyle w:val="ListParagraph"/>
        <w:widowControl w:val="0"/>
        <w:numPr>
          <w:ilvl w:val="1"/>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 xml:space="preserve">Paslaugų teikėjas įsipareigoja teikti Paslaugas laikantis visų rūpestingumo, efektyvumo ir ekonomiškumo principų, pagal bendrai priimtus profesinės veiklos </w:t>
      </w:r>
      <w:r w:rsidRPr="00F16628">
        <w:rPr>
          <w:rFonts w:ascii="Arial" w:hAnsi="Arial" w:cs="Arial"/>
        </w:rPr>
        <w:t xml:space="preserve">standartus, Paslaugoms </w:t>
      </w:r>
      <w:r>
        <w:rPr>
          <w:rFonts w:ascii="Arial" w:hAnsi="Arial" w:cs="Arial"/>
        </w:rPr>
        <w:t>keliamus reikalavimus, laikantis ir nepažeidžiant galiojančių Lietuvos Respublikos įstatymų, kitų teisės aktų, o taip pat teisėtų Užsakovo reikalavimų.</w:t>
      </w:r>
    </w:p>
    <w:p w14:paraId="3BACF3B7" w14:textId="77777777" w:rsidR="00271883" w:rsidRDefault="00271883" w:rsidP="00271883">
      <w:pPr>
        <w:pStyle w:val="ListParagraph"/>
        <w:widowControl w:val="0"/>
        <w:numPr>
          <w:ilvl w:val="1"/>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 xml:space="preserve">Paslaugų teikėjas prisiima atsakomybę pagal šią Sutartį padengti tik tiesioginius Užsakovo patirtus nuostolius tais atvejais, kai šie nuostoliai yra tiesioginė Paslaugų teikėjo sutartinių įsipareigojimų nevykdymo arba šių įsipareigojimų netinkamo vykdymo pasekmė. </w:t>
      </w:r>
    </w:p>
    <w:p w14:paraId="47707591" w14:textId="77777777" w:rsidR="00271883" w:rsidRDefault="00271883" w:rsidP="00271883">
      <w:pPr>
        <w:pStyle w:val="ListParagraph"/>
        <w:widowControl w:val="0"/>
        <w:numPr>
          <w:ilvl w:val="1"/>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Šalys sutaria ir sutinka, kad Užsakovas Lietuvos Respublikos civilinio kodekso 6.131 straipsnyje nustatyta tvarka gali taikyti įskaitymą ir Paslaugų teikėjui priskaičiuotas netesybas išskaičiuoti iš Paslaugų teikėjui mokėtinų sumų.</w:t>
      </w:r>
    </w:p>
    <w:p w14:paraId="405B2866" w14:textId="77777777" w:rsidR="00271883" w:rsidRDefault="00271883" w:rsidP="00271883">
      <w:pPr>
        <w:pStyle w:val="ListParagraph"/>
        <w:widowControl w:val="0"/>
        <w:numPr>
          <w:ilvl w:val="1"/>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Šalys patvirtina, kad Užsakovui patyrus nuostolių dėl trečiųjų asmenų Užsakovui pareikštų pretenzijų, susijusių su Paslaugų teikėjo pagal šią Sutartį teikiamomis Paslaugomis, Paslaugų teikėjas atsako tik už tiesioginius Užsakovo nuostolius ir tik esant visoms šioms sąlygoms:</w:t>
      </w:r>
    </w:p>
    <w:p w14:paraId="04299A0A" w14:textId="77777777" w:rsidR="00271883" w:rsidRDefault="00271883" w:rsidP="00271883">
      <w:pPr>
        <w:pStyle w:val="ListParagraph"/>
        <w:widowControl w:val="0"/>
        <w:numPr>
          <w:ilvl w:val="2"/>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Užsakovas nedelsiant, bet ne vėliau kaip per 10 (dešimt) darbo dienų nuo pretenzijos gavimo dienos, informavo Paslaugų teikėją apie Užsakovui pareikštas pretenzijas, susijusias su Paslaugų pagal šią Sutartį teikimu;</w:t>
      </w:r>
    </w:p>
    <w:p w14:paraId="4B0721F6" w14:textId="77777777" w:rsidR="00271883" w:rsidRDefault="00271883" w:rsidP="00271883">
      <w:pPr>
        <w:pStyle w:val="ListParagraph"/>
        <w:widowControl w:val="0"/>
        <w:numPr>
          <w:ilvl w:val="2"/>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Užsakovas ar asmuo, paskirtas atstovauti Užsakovui ginčo procese, suderino gynybinę poziciją su Paslaugų teikėju;</w:t>
      </w:r>
    </w:p>
    <w:p w14:paraId="6BAEBA46" w14:textId="77777777" w:rsidR="00271883" w:rsidRDefault="00271883" w:rsidP="00271883">
      <w:pPr>
        <w:pStyle w:val="ListParagraph"/>
        <w:widowControl w:val="0"/>
        <w:numPr>
          <w:ilvl w:val="2"/>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yra galutinis ir neskundžiamas atitinkamos ginčo sprendimo instancijos sprendimas, patvirtinantis, kad Užsakovas patyrė tam tikro dydžio nuostolius.</w:t>
      </w:r>
    </w:p>
    <w:p w14:paraId="292CFC74" w14:textId="77777777" w:rsidR="00271883" w:rsidRDefault="00271883" w:rsidP="00271883">
      <w:pPr>
        <w:pStyle w:val="ListParagraph"/>
        <w:widowControl w:val="0"/>
        <w:numPr>
          <w:ilvl w:val="1"/>
          <w:numId w:val="26"/>
        </w:numPr>
        <w:autoSpaceDE w:val="0"/>
        <w:autoSpaceDN w:val="0"/>
        <w:adjustRightInd w:val="0"/>
        <w:spacing w:before="60" w:after="60"/>
        <w:ind w:left="709" w:hanging="709"/>
        <w:contextualSpacing w:val="0"/>
        <w:jc w:val="both"/>
        <w:rPr>
          <w:rFonts w:ascii="Arial" w:hAnsi="Arial" w:cs="Arial"/>
        </w:rPr>
      </w:pPr>
      <w:r>
        <w:rPr>
          <w:rFonts w:ascii="Arial" w:hAnsi="Arial" w:cs="Arial"/>
        </w:rPr>
        <w:t xml:space="preserve">Paslaugų teikėjas neatsako už Užsakovo nuostolius, patirtus dėl Užsakovo, jo direktorių ar kitų susijusių asmenų nusikalstamų veiksmų ar neveikimo. </w:t>
      </w:r>
    </w:p>
    <w:p w14:paraId="3DDDACB5" w14:textId="77777777" w:rsidR="00271883" w:rsidRDefault="00271883" w:rsidP="00271883">
      <w:pPr>
        <w:snapToGrid w:val="0"/>
        <w:spacing w:before="60" w:after="60"/>
        <w:jc w:val="both"/>
        <w:rPr>
          <w:rFonts w:ascii="Arial" w:hAnsi="Arial" w:cs="Arial"/>
        </w:rPr>
      </w:pPr>
    </w:p>
    <w:p w14:paraId="7C3768ED" w14:textId="28CFFE41" w:rsidR="00271883" w:rsidRDefault="00ED0A18" w:rsidP="00ED0A18">
      <w:pPr>
        <w:pStyle w:val="ListParagraph"/>
        <w:numPr>
          <w:ilvl w:val="0"/>
          <w:numId w:val="26"/>
        </w:numPr>
        <w:snapToGrid w:val="0"/>
        <w:spacing w:before="60" w:after="60"/>
        <w:ind w:left="709" w:hanging="709"/>
        <w:contextualSpacing w:val="0"/>
        <w:jc w:val="center"/>
        <w:rPr>
          <w:rFonts w:ascii="Arial" w:hAnsi="Arial" w:cs="Arial"/>
        </w:rPr>
      </w:pPr>
      <w:r>
        <w:rPr>
          <w:rFonts w:ascii="Arial" w:hAnsi="Arial" w:cs="Arial"/>
          <w:b/>
        </w:rPr>
        <w:t>PASLAUGŲ KOKYBĖS UŽTIKRINIMAS</w:t>
      </w:r>
    </w:p>
    <w:p w14:paraId="74C14FBE" w14:textId="77777777" w:rsidR="00271883" w:rsidRDefault="00271883" w:rsidP="00271883">
      <w:pPr>
        <w:pStyle w:val="ListParagraph"/>
        <w:numPr>
          <w:ilvl w:val="1"/>
          <w:numId w:val="26"/>
        </w:numPr>
        <w:snapToGrid w:val="0"/>
        <w:spacing w:before="60" w:after="60"/>
        <w:ind w:left="709" w:hanging="709"/>
        <w:contextualSpacing w:val="0"/>
        <w:jc w:val="both"/>
        <w:rPr>
          <w:rFonts w:ascii="Arial" w:hAnsi="Arial" w:cs="Arial"/>
        </w:rPr>
      </w:pPr>
      <w:r>
        <w:rPr>
          <w:rFonts w:ascii="Arial" w:hAnsi="Arial" w:cs="Arial"/>
        </w:rPr>
        <w:t>Paslaugų teikėjas įsipareigoja atidžiai ir operatyviai išnagrinėti kiekvieną skundą ir padaryti viską, kad paaiškintų Užsakovui susidariusią padėtį. Paslaugų teikėjas įsipareigoja paskirti teikti Paslaugas darbuotojus, turinčius reikiamą kvalifikaciją, patirtį ir pakankamai įgūdžių teikti Paslaugas.</w:t>
      </w:r>
    </w:p>
    <w:p w14:paraId="371D31C5" w14:textId="77777777" w:rsidR="00271883" w:rsidRDefault="00271883" w:rsidP="00271883">
      <w:pPr>
        <w:pStyle w:val="ListParagraph"/>
        <w:snapToGrid w:val="0"/>
        <w:spacing w:before="60" w:after="60"/>
        <w:ind w:left="709" w:hanging="709"/>
        <w:contextualSpacing w:val="0"/>
        <w:jc w:val="both"/>
        <w:rPr>
          <w:rFonts w:ascii="Arial" w:hAnsi="Arial" w:cs="Arial"/>
        </w:rPr>
      </w:pPr>
    </w:p>
    <w:p w14:paraId="760B353E" w14:textId="0E54979B" w:rsidR="00271883" w:rsidRDefault="00ED0A18" w:rsidP="00ED0A18">
      <w:pPr>
        <w:pStyle w:val="ListParagraph"/>
        <w:numPr>
          <w:ilvl w:val="0"/>
          <w:numId w:val="26"/>
        </w:numPr>
        <w:snapToGrid w:val="0"/>
        <w:spacing w:before="60" w:after="60"/>
        <w:ind w:left="709" w:hanging="709"/>
        <w:contextualSpacing w:val="0"/>
        <w:jc w:val="center"/>
        <w:rPr>
          <w:rFonts w:ascii="Arial" w:hAnsi="Arial" w:cs="Arial"/>
        </w:rPr>
      </w:pPr>
      <w:r>
        <w:rPr>
          <w:rFonts w:ascii="Arial" w:hAnsi="Arial" w:cs="Arial"/>
          <w:b/>
        </w:rPr>
        <w:t>NUOSAVYBĖS TEISĖ Į AUDITO BYLAS IR GALIMYBĖ JOMIS NAUDOTIS</w:t>
      </w:r>
    </w:p>
    <w:p w14:paraId="27069432" w14:textId="77777777" w:rsidR="00271883" w:rsidRDefault="00271883" w:rsidP="00271883">
      <w:pPr>
        <w:pStyle w:val="ListParagraph"/>
        <w:numPr>
          <w:ilvl w:val="1"/>
          <w:numId w:val="26"/>
        </w:numPr>
        <w:snapToGrid w:val="0"/>
        <w:spacing w:before="60" w:after="60"/>
        <w:ind w:left="709" w:hanging="709"/>
        <w:contextualSpacing w:val="0"/>
        <w:jc w:val="both"/>
        <w:rPr>
          <w:rFonts w:ascii="Arial" w:hAnsi="Arial" w:cs="Arial"/>
        </w:rPr>
      </w:pPr>
      <w:r>
        <w:rPr>
          <w:rFonts w:ascii="Arial" w:hAnsi="Arial" w:cs="Arial"/>
        </w:rPr>
        <w:t>Paslaugų teikimo metu Paslaugų teikėjo sukurti darbiniai dokumentai ir bylos, taip pat ir elektroniniame formate, yra laikoma išimtinai Paslaugų teikėjo neturtinio pobūdžio intelektine nuosavybė.</w:t>
      </w:r>
    </w:p>
    <w:p w14:paraId="427001A1" w14:textId="77777777" w:rsidR="00271883" w:rsidRDefault="00271883" w:rsidP="00271883">
      <w:pPr>
        <w:snapToGrid w:val="0"/>
        <w:spacing w:before="60" w:after="60"/>
        <w:ind w:left="709" w:hanging="709"/>
        <w:jc w:val="both"/>
        <w:rPr>
          <w:rFonts w:ascii="Arial" w:hAnsi="Arial" w:cs="Arial"/>
        </w:rPr>
      </w:pPr>
    </w:p>
    <w:p w14:paraId="5DFB518E" w14:textId="16DA6DA5" w:rsidR="00271883" w:rsidRDefault="00ED0A18" w:rsidP="00ED0A18">
      <w:pPr>
        <w:pStyle w:val="ListParagraph"/>
        <w:numPr>
          <w:ilvl w:val="0"/>
          <w:numId w:val="26"/>
        </w:numPr>
        <w:snapToGrid w:val="0"/>
        <w:spacing w:before="60" w:after="60"/>
        <w:ind w:left="709" w:hanging="709"/>
        <w:contextualSpacing w:val="0"/>
        <w:jc w:val="center"/>
        <w:rPr>
          <w:rFonts w:ascii="Arial" w:hAnsi="Arial" w:cs="Arial"/>
        </w:rPr>
      </w:pPr>
      <w:r>
        <w:rPr>
          <w:rFonts w:ascii="Arial" w:hAnsi="Arial" w:cs="Arial"/>
          <w:b/>
        </w:rPr>
        <w:lastRenderedPageBreak/>
        <w:t>NAUDOJIMASIS PASLAUGŲ TEIKĖJO PROGRAMINE ĮRANGA</w:t>
      </w:r>
    </w:p>
    <w:p w14:paraId="0D74AD26" w14:textId="359C04B1" w:rsidR="00271883" w:rsidRDefault="00271883" w:rsidP="00271883">
      <w:pPr>
        <w:pStyle w:val="BodyText3"/>
        <w:numPr>
          <w:ilvl w:val="1"/>
          <w:numId w:val="26"/>
        </w:numPr>
        <w:spacing w:before="60" w:after="60"/>
        <w:ind w:left="709" w:hanging="709"/>
        <w:jc w:val="both"/>
        <w:rPr>
          <w:rFonts w:ascii="Arial" w:hAnsi="Arial" w:cs="Arial"/>
          <w:sz w:val="20"/>
          <w:szCs w:val="20"/>
        </w:rPr>
      </w:pPr>
      <w:r>
        <w:rPr>
          <w:rFonts w:ascii="Arial" w:hAnsi="Arial" w:cs="Arial"/>
          <w:sz w:val="20"/>
          <w:szCs w:val="20"/>
        </w:rPr>
        <w:t xml:space="preserve">Paslaugų teikėjas gali sukurti programinę įrangą, elektronines lenteles, dokumentus, duomenų bazes bei kitas elektronines priemones, padedančias jam atlikti užduotis. </w:t>
      </w:r>
      <w:r w:rsidR="00155ABE">
        <w:rPr>
          <w:rFonts w:ascii="Arial" w:hAnsi="Arial" w:cs="Arial"/>
          <w:sz w:val="20"/>
          <w:szCs w:val="20"/>
        </w:rPr>
        <w:t>Š</w:t>
      </w:r>
      <w:r>
        <w:rPr>
          <w:rFonts w:ascii="Arial" w:hAnsi="Arial" w:cs="Arial"/>
          <w:sz w:val="20"/>
          <w:szCs w:val="20"/>
        </w:rPr>
        <w:t>ios priemonės gali būti perduotos Užsakovui jam pageidaujant. Kadangi minėtos priemonės sukurtos specialiai Paslaugų teikėjo reikmėms, neatsižvelgiant į tuos tikslus, kuriems Užsakovas gali jas naudoti, jos pateikiamos Užsakovui „tokios, kokios yra” ir negali būti platinamos ar naudojamos kartu su trečiaisiais asmenimis. Be to, Paslaugų teikėjas nepateikia jokių pareiškimų ar garantijų dėl programinės įrangos priemonių pakankamumo ar tinkamumo jokiems kitiems tikslams, kuriems Užsakovas gali juos naudoti. Dėl programinės įrangos priemonių, sukurtų specialiai Užsakovui, sudaroma atskira sutartis.</w:t>
      </w:r>
    </w:p>
    <w:p w14:paraId="5023483F" w14:textId="77777777" w:rsidR="00271883" w:rsidRDefault="00271883" w:rsidP="00271883">
      <w:pPr>
        <w:snapToGrid w:val="0"/>
        <w:spacing w:before="60" w:after="60"/>
        <w:ind w:left="709" w:hanging="709"/>
        <w:jc w:val="both"/>
        <w:rPr>
          <w:rFonts w:ascii="Arial" w:hAnsi="Arial" w:cs="Arial"/>
        </w:rPr>
      </w:pPr>
    </w:p>
    <w:p w14:paraId="749770A0" w14:textId="161BF6BC" w:rsidR="00271883" w:rsidRDefault="00ED0A18" w:rsidP="00ED0A18">
      <w:pPr>
        <w:widowControl w:val="0"/>
        <w:numPr>
          <w:ilvl w:val="0"/>
          <w:numId w:val="26"/>
        </w:numPr>
        <w:autoSpaceDE w:val="0"/>
        <w:autoSpaceDN w:val="0"/>
        <w:adjustRightInd w:val="0"/>
        <w:snapToGrid w:val="0"/>
        <w:spacing w:before="60" w:after="60"/>
        <w:ind w:left="709" w:hanging="709"/>
        <w:jc w:val="center"/>
        <w:rPr>
          <w:rFonts w:ascii="Arial" w:hAnsi="Arial" w:cs="Arial"/>
          <w:b/>
          <w:bCs/>
        </w:rPr>
      </w:pPr>
      <w:r>
        <w:rPr>
          <w:rFonts w:ascii="Arial" w:hAnsi="Arial" w:cs="Arial"/>
          <w:b/>
        </w:rPr>
        <w:t>ELEKTRONINIAI IR KITOKIE PRANEŠIMAI</w:t>
      </w:r>
    </w:p>
    <w:p w14:paraId="70C89EDC" w14:textId="77777777" w:rsidR="00271883" w:rsidRDefault="00271883" w:rsidP="00271883">
      <w:pPr>
        <w:widowControl w:val="0"/>
        <w:numPr>
          <w:ilvl w:val="1"/>
          <w:numId w:val="26"/>
        </w:numPr>
        <w:autoSpaceDE w:val="0"/>
        <w:autoSpaceDN w:val="0"/>
        <w:adjustRightInd w:val="0"/>
        <w:snapToGrid w:val="0"/>
        <w:spacing w:before="60" w:after="60"/>
        <w:ind w:left="709" w:hanging="709"/>
        <w:jc w:val="both"/>
        <w:rPr>
          <w:rFonts w:ascii="Arial" w:hAnsi="Arial" w:cs="Arial"/>
          <w:bCs/>
        </w:rPr>
      </w:pPr>
      <w:r>
        <w:rPr>
          <w:rFonts w:ascii="Arial" w:hAnsi="Arial" w:cs="Arial"/>
        </w:rPr>
        <w:t>Jeigu nėra kitokio Šalių susitarimo, visi pagal šią Sutartį pateikiami pranešimai turi būti rašytiniai ir įteikiami asmeniškai adresatui (adresato atstovui patvirtinus gavimą), siunčiami registruotu laišku, per specialų kurjerį arba faksu. Pranešimai reiškia visas ataskaitas, sąskaitas (PVM sąskaitas-faktūras), įspėjimus, pranešimus bei kitus šioje Sutartyje numatytus dokumentus</w:t>
      </w:r>
      <w:r>
        <w:rPr>
          <w:rFonts w:ascii="Arial" w:hAnsi="Arial" w:cs="Arial"/>
          <w:bCs/>
        </w:rPr>
        <w:t>.</w:t>
      </w:r>
    </w:p>
    <w:p w14:paraId="5B835E1F" w14:textId="77777777" w:rsidR="00271883" w:rsidRDefault="00271883" w:rsidP="00271883">
      <w:pPr>
        <w:widowControl w:val="0"/>
        <w:numPr>
          <w:ilvl w:val="1"/>
          <w:numId w:val="26"/>
        </w:numPr>
        <w:autoSpaceDE w:val="0"/>
        <w:autoSpaceDN w:val="0"/>
        <w:adjustRightInd w:val="0"/>
        <w:snapToGrid w:val="0"/>
        <w:spacing w:before="60" w:after="60"/>
        <w:ind w:left="709" w:hanging="709"/>
        <w:jc w:val="both"/>
        <w:rPr>
          <w:rFonts w:ascii="Arial" w:hAnsi="Arial" w:cs="Arial"/>
          <w:bCs/>
        </w:rPr>
      </w:pPr>
      <w:r>
        <w:rPr>
          <w:rFonts w:ascii="Arial" w:hAnsi="Arial" w:cs="Arial"/>
          <w:color w:val="000000"/>
        </w:rPr>
        <w:t>Sutarties vykdymo metu Šalys gali susirašinėti elektroniniu paštu. Tačiau negalima garantuoti, kad bus užtikrintas elektroniniu būdu perduodamos informacijos slaptumas, kad ji bus apsaugota nuo virusų ir klaidų, kad jos niekas neperims, neiškraipys, nepanaikins, kad ji nepasimes, nepavėluos, nebus gauta ne visa arba nepatirs kitokių neigiamų poveikių ir nebus saugi naudojimui. Šalys pripažįsta, kad sistemos ir procedūros negali suteikti garantijos, kad perduodama informacija bus apsaugota nuo tokių nelaimių, tačiau kiekviena Šalis sutinka naudotis komerciškai pagrįstomis procedūromis ir siekti apsaugoti elektroniniu būdu siunčiamą informaciją nuo tuo metu vyraujančių virusų. Kiekviena Šalis atsako už savo sistemų ir interesų apsaugą elektroninio susirašinėjimo metu ir nei Paslaugų teikėjas, nei Užsakovas (kiekvienu atveju įskaitant jų partnerius, darbuotojus, subrangovus ar agentus) nėra atsakingi vienas kitam jokiais pagrindais, nei pagal sutartis, nei pagal nesutartines (deliktines) prievoles ar kitaip, dėl kurios nors klaidos, žalos, nuostolio ar neveikimo, atsirandančio dėl informacijos perdavimo elektroniniu būdu ar pasikliovimo tokia informacija</w:t>
      </w:r>
      <w:r>
        <w:rPr>
          <w:rFonts w:ascii="Arial" w:hAnsi="Arial" w:cs="Arial"/>
          <w:bCs/>
        </w:rPr>
        <w:t>.</w:t>
      </w:r>
    </w:p>
    <w:p w14:paraId="59BEC35F" w14:textId="77777777" w:rsidR="00271883" w:rsidRDefault="00271883" w:rsidP="00271883">
      <w:pPr>
        <w:widowControl w:val="0"/>
        <w:numPr>
          <w:ilvl w:val="1"/>
          <w:numId w:val="26"/>
        </w:numPr>
        <w:autoSpaceDE w:val="0"/>
        <w:autoSpaceDN w:val="0"/>
        <w:adjustRightInd w:val="0"/>
        <w:snapToGrid w:val="0"/>
        <w:spacing w:before="60" w:after="60"/>
        <w:ind w:left="709" w:hanging="709"/>
        <w:jc w:val="both"/>
        <w:rPr>
          <w:rFonts w:ascii="Arial" w:hAnsi="Arial" w:cs="Arial"/>
          <w:lang w:eastAsia="lt-LT"/>
        </w:rPr>
      </w:pPr>
      <w:r>
        <w:rPr>
          <w:rFonts w:ascii="Arial" w:hAnsi="Arial" w:cs="Arial"/>
          <w:color w:val="000000"/>
        </w:rPr>
        <w:t>Šalys naudosis tik standartine, teisėtai įsigyta programine įranga, aprūpinta antivirusinėmis programomis, taikomomis kiekvienam jų viena kitai siunčiamam dokumentui</w:t>
      </w:r>
      <w:r>
        <w:rPr>
          <w:rFonts w:ascii="Arial" w:hAnsi="Arial" w:cs="Arial"/>
          <w:lang w:eastAsia="lt-LT"/>
        </w:rPr>
        <w:t>.</w:t>
      </w:r>
    </w:p>
    <w:p w14:paraId="0659F3E0" w14:textId="77777777" w:rsidR="00271883" w:rsidRDefault="00271883" w:rsidP="00271883">
      <w:pPr>
        <w:widowControl w:val="0"/>
        <w:autoSpaceDE w:val="0"/>
        <w:autoSpaceDN w:val="0"/>
        <w:adjustRightInd w:val="0"/>
        <w:snapToGrid w:val="0"/>
        <w:spacing w:before="60" w:after="60"/>
        <w:ind w:left="709" w:hanging="709"/>
        <w:jc w:val="both"/>
        <w:rPr>
          <w:rFonts w:ascii="Arial" w:hAnsi="Arial" w:cs="Arial"/>
          <w:bCs/>
        </w:rPr>
      </w:pPr>
    </w:p>
    <w:p w14:paraId="43ED7C1E" w14:textId="7F0FDF11" w:rsidR="00271883" w:rsidRDefault="00ED0A18" w:rsidP="00ED0A18">
      <w:pPr>
        <w:pStyle w:val="ListParagraph"/>
        <w:widowControl w:val="0"/>
        <w:numPr>
          <w:ilvl w:val="0"/>
          <w:numId w:val="26"/>
        </w:numPr>
        <w:autoSpaceDE w:val="0"/>
        <w:autoSpaceDN w:val="0"/>
        <w:adjustRightInd w:val="0"/>
        <w:snapToGrid w:val="0"/>
        <w:spacing w:before="60" w:after="60"/>
        <w:ind w:left="709" w:hanging="709"/>
        <w:contextualSpacing w:val="0"/>
        <w:jc w:val="center"/>
        <w:rPr>
          <w:rFonts w:ascii="Arial" w:hAnsi="Arial" w:cs="Arial"/>
        </w:rPr>
      </w:pPr>
      <w:bookmarkStart w:id="12" w:name="_Ref242535905"/>
      <w:r>
        <w:rPr>
          <w:rFonts w:ascii="Arial" w:hAnsi="Arial" w:cs="Arial"/>
          <w:b/>
        </w:rPr>
        <w:t>NENUGALIMOS JĖGOS APLINKYBĖS</w:t>
      </w:r>
    </w:p>
    <w:p w14:paraId="08BF5707" w14:textId="77777777" w:rsidR="00271883" w:rsidRDefault="00271883" w:rsidP="00271883">
      <w:pPr>
        <w:pStyle w:val="ListParagraph"/>
        <w:numPr>
          <w:ilvl w:val="1"/>
          <w:numId w:val="26"/>
        </w:numPr>
        <w:spacing w:before="60" w:after="60"/>
        <w:ind w:left="709" w:hanging="709"/>
        <w:contextualSpacing w:val="0"/>
        <w:jc w:val="both"/>
        <w:rPr>
          <w:rFonts w:ascii="Arial" w:hAnsi="Arial" w:cs="Arial"/>
        </w:rPr>
      </w:pPr>
      <w:r>
        <w:rPr>
          <w:rFonts w:ascii="Arial" w:hAnsi="Arial" w:cs="Arial"/>
        </w:rPr>
        <w:t xml:space="preserve">Nei viena Šalis nebus atsakinga už šioje Sutartyje numatytų įsipareigojimų nevykdymą, jeigu tai būtų sąlygota nuo Šalių valios nepriklausančių priežasčių, kurių Šalys negalėjo kontroliuoti bei protingai numatyti Sutarties sudarymo metu ir negalėjo užkirsti kelio šių aplinkybių ar jų pasekmių atsiradimui (toliau – </w:t>
      </w:r>
      <w:r>
        <w:rPr>
          <w:rFonts w:ascii="Arial" w:hAnsi="Arial" w:cs="Arial"/>
          <w:b/>
        </w:rPr>
        <w:t>„Nenugalimos jėgos aplinkybės“</w:t>
      </w:r>
      <w:r>
        <w:rPr>
          <w:rFonts w:ascii="Arial" w:hAnsi="Arial" w:cs="Arial"/>
        </w:rPr>
        <w:t>).</w:t>
      </w:r>
    </w:p>
    <w:p w14:paraId="2F7A7000" w14:textId="77777777" w:rsidR="00271883" w:rsidRDefault="00271883" w:rsidP="00271883">
      <w:pPr>
        <w:pStyle w:val="ListParagraph"/>
        <w:numPr>
          <w:ilvl w:val="1"/>
          <w:numId w:val="26"/>
        </w:numPr>
        <w:spacing w:before="60" w:after="60"/>
        <w:ind w:left="709" w:hanging="709"/>
        <w:contextualSpacing w:val="0"/>
        <w:jc w:val="both"/>
        <w:rPr>
          <w:rFonts w:ascii="Arial" w:hAnsi="Arial" w:cs="Arial"/>
        </w:rPr>
      </w:pPr>
      <w:r>
        <w:rPr>
          <w:rFonts w:ascii="Arial" w:hAnsi="Arial" w:cs="Arial"/>
        </w:rPr>
        <w:t>Kiekviena Šalis per tris darbo dienas praneša kitai Šaliai apie Nenugalimos jėgos aplinkybių atsiradimą ir aptaria Sutarties pratęsimą arba jos nutraukimą.</w:t>
      </w:r>
    </w:p>
    <w:p w14:paraId="07277C48" w14:textId="77777777" w:rsidR="00271883" w:rsidRDefault="00271883" w:rsidP="00271883">
      <w:pPr>
        <w:pStyle w:val="ListParagraph"/>
        <w:numPr>
          <w:ilvl w:val="1"/>
          <w:numId w:val="26"/>
        </w:numPr>
        <w:spacing w:before="60" w:after="60"/>
        <w:ind w:left="709" w:hanging="709"/>
        <w:contextualSpacing w:val="0"/>
        <w:jc w:val="both"/>
        <w:rPr>
          <w:rFonts w:ascii="Arial" w:hAnsi="Arial" w:cs="Arial"/>
        </w:rPr>
      </w:pPr>
      <w:r>
        <w:rPr>
          <w:rFonts w:ascii="Arial" w:hAnsi="Arial" w:cs="Arial"/>
        </w:rPr>
        <w:t>Atsiradus Nenugalimos jėgos aplinkybėms, Užsakovas įsipareigoja apmokėti visas pagal šią Sutartį iki minėtų aplinkybių atsiradimo Paslaugų teikėjo patirtas išlaidas.</w:t>
      </w:r>
    </w:p>
    <w:bookmarkEnd w:id="12"/>
    <w:p w14:paraId="10D78630" w14:textId="77777777" w:rsidR="00271883" w:rsidRDefault="00271883" w:rsidP="00271883">
      <w:pPr>
        <w:widowControl w:val="0"/>
        <w:autoSpaceDE w:val="0"/>
        <w:autoSpaceDN w:val="0"/>
        <w:adjustRightInd w:val="0"/>
        <w:snapToGrid w:val="0"/>
        <w:spacing w:before="60" w:after="60"/>
        <w:ind w:left="709" w:hanging="709"/>
        <w:jc w:val="both"/>
        <w:rPr>
          <w:rFonts w:ascii="Arial" w:hAnsi="Arial" w:cs="Arial"/>
          <w:bCs/>
        </w:rPr>
      </w:pPr>
    </w:p>
    <w:p w14:paraId="3743A379" w14:textId="5134BB8F" w:rsidR="00271883" w:rsidRDefault="00ED0A18" w:rsidP="00ED0A18">
      <w:pPr>
        <w:widowControl w:val="0"/>
        <w:numPr>
          <w:ilvl w:val="0"/>
          <w:numId w:val="26"/>
        </w:numPr>
        <w:autoSpaceDE w:val="0"/>
        <w:autoSpaceDN w:val="0"/>
        <w:adjustRightInd w:val="0"/>
        <w:snapToGrid w:val="0"/>
        <w:spacing w:before="60" w:after="60"/>
        <w:ind w:left="709" w:hanging="709"/>
        <w:jc w:val="center"/>
        <w:rPr>
          <w:rFonts w:ascii="Arial" w:hAnsi="Arial" w:cs="Arial"/>
          <w:b/>
          <w:bCs/>
        </w:rPr>
      </w:pPr>
      <w:r>
        <w:rPr>
          <w:rFonts w:ascii="Arial" w:hAnsi="Arial" w:cs="Arial"/>
          <w:b/>
          <w:bCs/>
        </w:rPr>
        <w:t>TEISIŲ IR ĮSIPAREIGOJIMŲ PERLEIDIMAS</w:t>
      </w:r>
    </w:p>
    <w:p w14:paraId="38E33019" w14:textId="77777777" w:rsidR="00271883" w:rsidRPr="00BE4B9F" w:rsidRDefault="00271883" w:rsidP="00271883">
      <w:pPr>
        <w:widowControl w:val="0"/>
        <w:numPr>
          <w:ilvl w:val="1"/>
          <w:numId w:val="26"/>
        </w:numPr>
        <w:autoSpaceDE w:val="0"/>
        <w:autoSpaceDN w:val="0"/>
        <w:adjustRightInd w:val="0"/>
        <w:snapToGrid w:val="0"/>
        <w:spacing w:before="60" w:after="60"/>
        <w:ind w:left="709" w:hanging="709"/>
        <w:jc w:val="both"/>
        <w:rPr>
          <w:rFonts w:ascii="Arial" w:hAnsi="Arial" w:cs="Arial"/>
        </w:rPr>
      </w:pPr>
      <w:r w:rsidRPr="00BE4B9F">
        <w:rPr>
          <w:rFonts w:ascii="Arial" w:hAnsi="Arial" w:cs="Arial"/>
        </w:rPr>
        <w:t>Paslaugų teikėjas negali perleisti šioje Sutartyje numatytų teisių ir (arba) pareigų trečiosioms šalims be Užsakovo išankstinio rašytinio sutikimo.</w:t>
      </w:r>
    </w:p>
    <w:p w14:paraId="7EB9126F" w14:textId="77777777" w:rsidR="00271883" w:rsidRPr="00BE4B9F" w:rsidRDefault="00271883" w:rsidP="00271883">
      <w:pPr>
        <w:widowControl w:val="0"/>
        <w:numPr>
          <w:ilvl w:val="1"/>
          <w:numId w:val="26"/>
        </w:numPr>
        <w:autoSpaceDE w:val="0"/>
        <w:autoSpaceDN w:val="0"/>
        <w:adjustRightInd w:val="0"/>
        <w:snapToGrid w:val="0"/>
        <w:spacing w:before="60" w:after="60"/>
        <w:ind w:left="709" w:hanging="709"/>
        <w:jc w:val="both"/>
        <w:rPr>
          <w:rFonts w:ascii="Arial" w:hAnsi="Arial" w:cs="Arial"/>
        </w:rPr>
      </w:pPr>
      <w:r w:rsidRPr="00BE4B9F">
        <w:rPr>
          <w:rFonts w:ascii="Arial" w:hAnsi="Arial" w:cs="Arial"/>
        </w:rPr>
        <w:t xml:space="preserve">Šalys sutinka, kad teisės aktų nustatyta tvarka reorganizavus Užsakovo įmonę ar pasikeitus Užsakovo teisiniam statusui, be raštiško Paslaugų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w:t>
      </w:r>
      <w:r w:rsidRPr="00BE4B9F">
        <w:rPr>
          <w:rFonts w:ascii="Arial" w:hAnsi="Arial" w:cs="Arial"/>
          <w:lang w:eastAsia="lt-LT"/>
        </w:rPr>
        <w:t>Paslaugų teikėją</w:t>
      </w:r>
      <w:r w:rsidRPr="00BE4B9F">
        <w:rPr>
          <w:rFonts w:ascii="Arial" w:hAnsi="Arial" w:cs="Arial"/>
        </w:rPr>
        <w:t xml:space="preserve"> informuoja teisės aktų nustatyta tvarka ir Šalys atskiro Sutarties pakeitimo nesudaro.</w:t>
      </w:r>
    </w:p>
    <w:p w14:paraId="1D0526FC" w14:textId="77777777" w:rsidR="00271883" w:rsidRPr="00BE4B9F" w:rsidRDefault="00271883" w:rsidP="00271883">
      <w:pPr>
        <w:widowControl w:val="0"/>
        <w:numPr>
          <w:ilvl w:val="1"/>
          <w:numId w:val="26"/>
        </w:numPr>
        <w:autoSpaceDE w:val="0"/>
        <w:autoSpaceDN w:val="0"/>
        <w:adjustRightInd w:val="0"/>
        <w:snapToGrid w:val="0"/>
        <w:spacing w:before="60" w:after="60"/>
        <w:ind w:left="709" w:hanging="709"/>
        <w:jc w:val="both"/>
        <w:rPr>
          <w:rFonts w:ascii="Arial" w:hAnsi="Arial" w:cs="Arial"/>
        </w:rPr>
      </w:pPr>
      <w:r w:rsidRPr="00BE4B9F">
        <w:rPr>
          <w:rFonts w:ascii="Arial" w:hAnsi="Arial" w:cs="Arial"/>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perkančiajai organizacijai – Užsakovo asocijuotiems asmenims, atitinkantiems bent vieną iš Lietuvos Respublikos pelno mokesčio įstatymo 2 straipsnio 8 dalyje įtvirtintų kriterijų.</w:t>
      </w:r>
    </w:p>
    <w:p w14:paraId="69B5525C" w14:textId="77777777" w:rsidR="00271883" w:rsidRPr="00BE4B9F" w:rsidRDefault="00271883" w:rsidP="00271883">
      <w:pPr>
        <w:widowControl w:val="0"/>
        <w:autoSpaceDE w:val="0"/>
        <w:autoSpaceDN w:val="0"/>
        <w:adjustRightInd w:val="0"/>
        <w:snapToGrid w:val="0"/>
        <w:spacing w:before="60" w:after="60"/>
        <w:ind w:left="709" w:hanging="709"/>
        <w:jc w:val="both"/>
        <w:rPr>
          <w:rFonts w:ascii="Arial" w:hAnsi="Arial" w:cs="Arial"/>
        </w:rPr>
      </w:pPr>
    </w:p>
    <w:p w14:paraId="6C2571D4" w14:textId="70A8CEA4" w:rsidR="00271883" w:rsidRPr="00BE4B9F" w:rsidRDefault="00ED0A18" w:rsidP="00ED0A18">
      <w:pPr>
        <w:widowControl w:val="0"/>
        <w:autoSpaceDE w:val="0"/>
        <w:autoSpaceDN w:val="0"/>
        <w:adjustRightInd w:val="0"/>
        <w:snapToGrid w:val="0"/>
        <w:spacing w:before="60" w:after="60"/>
        <w:ind w:left="709" w:hanging="709"/>
        <w:jc w:val="center"/>
        <w:rPr>
          <w:rFonts w:ascii="Arial" w:hAnsi="Arial" w:cs="Arial"/>
          <w:b/>
        </w:rPr>
      </w:pPr>
      <w:r w:rsidRPr="00BE4B9F">
        <w:rPr>
          <w:rFonts w:ascii="Arial" w:hAnsi="Arial" w:cs="Arial"/>
          <w:b/>
          <w:bCs/>
        </w:rPr>
        <w:lastRenderedPageBreak/>
        <w:t xml:space="preserve">18.        </w:t>
      </w:r>
      <w:r w:rsidRPr="00BE4B9F">
        <w:rPr>
          <w:rFonts w:ascii="Arial" w:hAnsi="Arial" w:cs="Arial"/>
          <w:b/>
        </w:rPr>
        <w:t xml:space="preserve">PASLAUGŲ TEIKĖJO </w:t>
      </w:r>
      <w:r w:rsidRPr="00BE4B9F">
        <w:rPr>
          <w:rFonts w:ascii="Arial" w:hAnsi="Arial" w:cs="Arial"/>
          <w:b/>
          <w:bCs/>
        </w:rPr>
        <w:t>TEISĖ PASITELKTI TREČIUOSIUS ASMENIS</w:t>
      </w:r>
    </w:p>
    <w:p w14:paraId="738CCD1F" w14:textId="7CB1F8E7" w:rsidR="00271883" w:rsidRPr="00BE4B9F" w:rsidRDefault="00271883" w:rsidP="00271883">
      <w:pPr>
        <w:widowControl w:val="0"/>
        <w:tabs>
          <w:tab w:val="left" w:pos="709"/>
        </w:tabs>
        <w:autoSpaceDE w:val="0"/>
        <w:autoSpaceDN w:val="0"/>
        <w:adjustRightInd w:val="0"/>
        <w:snapToGrid w:val="0"/>
        <w:spacing w:before="60" w:after="60"/>
        <w:ind w:left="709" w:hanging="709"/>
        <w:jc w:val="both"/>
        <w:rPr>
          <w:rFonts w:ascii="Arial" w:hAnsi="Arial" w:cs="Arial"/>
        </w:rPr>
      </w:pPr>
      <w:r w:rsidRPr="00BE4B9F">
        <w:rPr>
          <w:rFonts w:ascii="Arial" w:hAnsi="Arial" w:cs="Arial"/>
        </w:rPr>
        <w:t xml:space="preserve">18.1.     </w:t>
      </w:r>
      <w:r w:rsidRPr="003A7AF4">
        <w:rPr>
          <w:rFonts w:ascii="Arial" w:hAnsi="Arial" w:cs="Arial"/>
        </w:rPr>
        <w:t>Paslaugų teikėjas Sutarčiai vykdyti neturi teisės pasitelkti Subteikėjų</w:t>
      </w:r>
      <w:r w:rsidR="003A7AF4" w:rsidRPr="003A7AF4">
        <w:rPr>
          <w:rFonts w:ascii="Arial" w:hAnsi="Arial" w:cs="Arial"/>
        </w:rPr>
        <w:t>.</w:t>
      </w:r>
    </w:p>
    <w:p w14:paraId="7BA608E2" w14:textId="1A5C9310" w:rsidR="00271883" w:rsidRPr="00BE4B9F" w:rsidRDefault="00271883" w:rsidP="00271883">
      <w:pPr>
        <w:widowControl w:val="0"/>
        <w:tabs>
          <w:tab w:val="left" w:pos="709"/>
        </w:tabs>
        <w:autoSpaceDE w:val="0"/>
        <w:autoSpaceDN w:val="0"/>
        <w:adjustRightInd w:val="0"/>
        <w:snapToGrid w:val="0"/>
        <w:spacing w:before="60" w:after="60"/>
        <w:ind w:left="709" w:hanging="709"/>
        <w:jc w:val="both"/>
        <w:rPr>
          <w:rFonts w:ascii="Arial" w:hAnsi="Arial" w:cs="Arial"/>
          <w:bCs/>
        </w:rPr>
      </w:pPr>
      <w:r w:rsidRPr="00BE4B9F">
        <w:rPr>
          <w:rFonts w:ascii="Arial" w:hAnsi="Arial" w:cs="Arial"/>
        </w:rPr>
        <w:t xml:space="preserve">18.2.   </w:t>
      </w:r>
      <w:r w:rsidR="00F16628" w:rsidRPr="00F16628">
        <w:rPr>
          <w:rFonts w:ascii="Arial" w:hAnsi="Arial" w:cs="Arial"/>
        </w:rPr>
        <w:t xml:space="preserve">Susitarimas, pagal kurį Paslaugų teikėjas dalies įsipareigojimų, numatytų šioje Sutartyje, vykdymui pasitelkia trečiuosius asmenis, yra laikomas </w:t>
      </w:r>
      <w:proofErr w:type="spellStart"/>
      <w:r w:rsidR="00F16628" w:rsidRPr="00F16628">
        <w:rPr>
          <w:rFonts w:ascii="Arial" w:hAnsi="Arial" w:cs="Arial"/>
        </w:rPr>
        <w:t>subteikimo</w:t>
      </w:r>
      <w:proofErr w:type="spellEnd"/>
      <w:r w:rsidR="00F16628" w:rsidRPr="00F16628">
        <w:rPr>
          <w:rFonts w:ascii="Arial" w:hAnsi="Arial" w:cs="Arial"/>
        </w:rPr>
        <w:t xml:space="preserve"> sutartimi. Toks susitarimas turi būti rašytinis. Paslaugų teikėjas Sutarčiai vykdyti turi pasitelkti tik tuos subteikėjus, kuriuos iš anksto nurodė Užsakovui Sutarties BD 8 dalyje nurodyta tvarka.</w:t>
      </w:r>
    </w:p>
    <w:p w14:paraId="2BAFB23A" w14:textId="77777777" w:rsidR="00271883" w:rsidRPr="00BE4B9F" w:rsidRDefault="00271883" w:rsidP="00271883">
      <w:pPr>
        <w:widowControl w:val="0"/>
        <w:tabs>
          <w:tab w:val="left" w:pos="709"/>
        </w:tabs>
        <w:autoSpaceDE w:val="0"/>
        <w:autoSpaceDN w:val="0"/>
        <w:adjustRightInd w:val="0"/>
        <w:snapToGrid w:val="0"/>
        <w:spacing w:before="60" w:after="60"/>
        <w:ind w:left="709" w:hanging="709"/>
        <w:jc w:val="both"/>
        <w:rPr>
          <w:rFonts w:ascii="Arial" w:hAnsi="Arial" w:cs="Arial"/>
        </w:rPr>
      </w:pPr>
      <w:r w:rsidRPr="00BE4B9F">
        <w:rPr>
          <w:rFonts w:ascii="Arial" w:hAnsi="Arial" w:cs="Arial"/>
        </w:rPr>
        <w:t xml:space="preserve">18.3. </w:t>
      </w:r>
      <w:r w:rsidRPr="00BE4B9F">
        <w:rPr>
          <w:rFonts w:ascii="Arial" w:hAnsi="Arial" w:cs="Arial"/>
        </w:rPr>
        <w:tab/>
        <w:t xml:space="preserve">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gali pakeisti subteikėjus. Apie tai Paslaugų teikėjas iš anksto raštu turi informuoti Užsakovą, nurodydamas subteikėjų pakeitimo priežastis ir būsimus subteikėjus bei pateikti naujo subteikėjo dokumentus, pagrindžiančius atitikimą Pirkimo sąlygose nustatytiems kvalifikaciniams reikalavimams. Subteikėjų keitimas įforminamas abiejų Sutarties šalių pasirašomu susitarimu. Šis susitarimas tampa neatskiriama Sutarties dalimi. </w:t>
      </w:r>
    </w:p>
    <w:p w14:paraId="0E5512BF" w14:textId="77777777" w:rsidR="00271883" w:rsidRPr="00BE4B9F" w:rsidRDefault="00271883" w:rsidP="00271883">
      <w:pPr>
        <w:widowControl w:val="0"/>
        <w:tabs>
          <w:tab w:val="left" w:pos="709"/>
        </w:tabs>
        <w:autoSpaceDE w:val="0"/>
        <w:autoSpaceDN w:val="0"/>
        <w:adjustRightInd w:val="0"/>
        <w:snapToGrid w:val="0"/>
        <w:spacing w:before="60" w:after="60"/>
        <w:ind w:left="709" w:hanging="709"/>
        <w:jc w:val="both"/>
        <w:rPr>
          <w:rFonts w:ascii="Arial" w:hAnsi="Arial" w:cs="Arial"/>
        </w:rPr>
      </w:pPr>
      <w:r w:rsidRPr="00BE4B9F">
        <w:rPr>
          <w:rFonts w:ascii="Arial" w:hAnsi="Arial" w:cs="Arial"/>
        </w:rPr>
        <w:t xml:space="preserve">18.4. </w:t>
      </w:r>
      <w:r w:rsidRPr="00BE4B9F">
        <w:rPr>
          <w:rFonts w:ascii="Arial" w:hAnsi="Arial" w:cs="Arial"/>
        </w:rPr>
        <w:tab/>
      </w:r>
      <w:proofErr w:type="spellStart"/>
      <w:r w:rsidRPr="00BE4B9F">
        <w:rPr>
          <w:rFonts w:ascii="Arial" w:hAnsi="Arial" w:cs="Arial"/>
        </w:rPr>
        <w:t>Subteikimas</w:t>
      </w:r>
      <w:proofErr w:type="spellEnd"/>
      <w:r w:rsidRPr="00BE4B9F">
        <w:rPr>
          <w:rFonts w:ascii="Arial" w:hAnsi="Arial" w:cs="Arial"/>
        </w:rPr>
        <w:t xml:space="preserve">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70BCDB49" w14:textId="77777777" w:rsidR="00271883" w:rsidRDefault="00271883" w:rsidP="00271883">
      <w:pPr>
        <w:pStyle w:val="ListParagraph"/>
        <w:widowControl w:val="0"/>
        <w:autoSpaceDE w:val="0"/>
        <w:autoSpaceDN w:val="0"/>
        <w:adjustRightInd w:val="0"/>
        <w:snapToGrid w:val="0"/>
        <w:spacing w:before="60" w:after="60"/>
        <w:ind w:left="709"/>
        <w:jc w:val="both"/>
        <w:rPr>
          <w:rFonts w:ascii="Arial" w:hAnsi="Arial" w:cs="Arial"/>
          <w:bCs/>
        </w:rPr>
      </w:pPr>
    </w:p>
    <w:p w14:paraId="18357EAD" w14:textId="27ECC9A1" w:rsidR="00271883" w:rsidRDefault="00ED0A18" w:rsidP="00ED0A18">
      <w:pPr>
        <w:widowControl w:val="0"/>
        <w:tabs>
          <w:tab w:val="left" w:pos="709"/>
        </w:tabs>
        <w:autoSpaceDE w:val="0"/>
        <w:autoSpaceDN w:val="0"/>
        <w:adjustRightInd w:val="0"/>
        <w:snapToGrid w:val="0"/>
        <w:spacing w:before="60" w:after="60"/>
        <w:ind w:left="709" w:hanging="709"/>
        <w:jc w:val="center"/>
        <w:rPr>
          <w:rFonts w:ascii="Arial" w:hAnsi="Arial" w:cs="Arial"/>
          <w:b/>
          <w:bCs/>
        </w:rPr>
      </w:pPr>
      <w:r>
        <w:rPr>
          <w:rFonts w:ascii="Arial" w:hAnsi="Arial" w:cs="Arial"/>
          <w:b/>
          <w:bCs/>
        </w:rPr>
        <w:t>19.       BAIGIAMOSIOS NUOSTATOS</w:t>
      </w:r>
    </w:p>
    <w:p w14:paraId="57496FC3" w14:textId="275C1785" w:rsidR="00271883" w:rsidRPr="00BE4B9F" w:rsidRDefault="00271883" w:rsidP="00271883">
      <w:pPr>
        <w:pStyle w:val="ListParagraph"/>
        <w:numPr>
          <w:ilvl w:val="1"/>
          <w:numId w:val="24"/>
        </w:numPr>
        <w:tabs>
          <w:tab w:val="left" w:pos="0"/>
          <w:tab w:val="left" w:pos="567"/>
          <w:tab w:val="left" w:pos="709"/>
        </w:tabs>
        <w:ind w:left="709" w:hanging="709"/>
        <w:jc w:val="both"/>
        <w:rPr>
          <w:rFonts w:ascii="Arial" w:hAnsi="Arial" w:cs="Arial"/>
          <w:bCs/>
        </w:rPr>
      </w:pPr>
      <w:r w:rsidRPr="00BE4B9F">
        <w:rPr>
          <w:rFonts w:ascii="Arial" w:hAnsi="Arial" w:cs="Arial"/>
        </w:rPr>
        <w:t xml:space="preserve">  </w:t>
      </w:r>
      <w:r w:rsidR="00BB5637" w:rsidRPr="004A0C32">
        <w:rPr>
          <w:rFonts w:ascii="Arial" w:hAnsi="Arial" w:cs="Arial"/>
        </w:rPr>
        <w:t xml:space="preserve">Ši Sutartis įsigalioja </w:t>
      </w:r>
      <w:r w:rsidR="00BB5637" w:rsidRPr="00650673">
        <w:rPr>
          <w:rFonts w:ascii="Arial" w:hAnsi="Arial" w:cs="Arial"/>
        </w:rPr>
        <w:t>po to, kai Užsakovo visuotinis akcininkų susirinkimas, kaip tai numatyta Sutarties</w:t>
      </w:r>
      <w:r w:rsidR="00F16628">
        <w:rPr>
          <w:rFonts w:ascii="Arial" w:hAnsi="Arial" w:cs="Arial"/>
        </w:rPr>
        <w:t xml:space="preserve"> SD</w:t>
      </w:r>
      <w:r w:rsidR="00BB5637" w:rsidRPr="00650673">
        <w:rPr>
          <w:rFonts w:ascii="Arial" w:hAnsi="Arial" w:cs="Arial"/>
        </w:rPr>
        <w:t xml:space="preserve"> 1.1 punkte, Paslaugų teikėją </w:t>
      </w:r>
      <w:r w:rsidR="00BB5637">
        <w:rPr>
          <w:rFonts w:ascii="Arial" w:hAnsi="Arial" w:cs="Arial"/>
        </w:rPr>
        <w:t>patvirtina Užsakovo audito įmone</w:t>
      </w:r>
      <w:r w:rsidR="00BB5637" w:rsidRPr="00650673">
        <w:rPr>
          <w:rFonts w:ascii="Arial" w:hAnsi="Arial" w:cs="Arial"/>
        </w:rPr>
        <w:t xml:space="preserve"> ir abiem Šalims ją pasirašius</w:t>
      </w:r>
      <w:r w:rsidR="00BB5637">
        <w:rPr>
          <w:rFonts w:ascii="Arial" w:hAnsi="Arial" w:cs="Arial"/>
        </w:rPr>
        <w:t>.</w:t>
      </w:r>
      <w:r w:rsidR="00BB5637" w:rsidRPr="00650673">
        <w:rPr>
          <w:rFonts w:ascii="Arial" w:hAnsi="Arial" w:cs="Arial"/>
        </w:rPr>
        <w:t xml:space="preserve"> </w:t>
      </w:r>
      <w:r w:rsidR="00BB5637">
        <w:rPr>
          <w:rFonts w:ascii="Arial" w:hAnsi="Arial" w:cs="Arial"/>
        </w:rPr>
        <w:t>Sutartis g</w:t>
      </w:r>
      <w:r w:rsidR="00BB5637" w:rsidRPr="00650673">
        <w:rPr>
          <w:rFonts w:ascii="Arial" w:hAnsi="Arial" w:cs="Arial"/>
        </w:rPr>
        <w:t>alioja</w:t>
      </w:r>
      <w:r w:rsidR="00BB5637" w:rsidRPr="00650673">
        <w:rPr>
          <w:rFonts w:ascii="Arial" w:hAnsi="Arial" w:cs="Arial"/>
          <w:color w:val="FF0000"/>
        </w:rPr>
        <w:t xml:space="preserve"> </w:t>
      </w:r>
      <w:r w:rsidR="00131C38">
        <w:rPr>
          <w:rFonts w:ascii="Arial" w:hAnsi="Arial" w:cs="Arial"/>
        </w:rPr>
        <w:t>12 (dvylika)</w:t>
      </w:r>
      <w:r w:rsidR="00BB5637" w:rsidRPr="00650673">
        <w:rPr>
          <w:rFonts w:ascii="Arial" w:hAnsi="Arial" w:cs="Arial"/>
        </w:rPr>
        <w:t xml:space="preserve"> mėnesi</w:t>
      </w:r>
      <w:r w:rsidR="00131C38">
        <w:rPr>
          <w:rFonts w:ascii="Arial" w:hAnsi="Arial" w:cs="Arial"/>
        </w:rPr>
        <w:t>ų</w:t>
      </w:r>
      <w:r w:rsidR="00BB5637" w:rsidRPr="00650673">
        <w:rPr>
          <w:rFonts w:ascii="Arial" w:hAnsi="Arial" w:cs="Arial"/>
        </w:rPr>
        <w:t>.</w:t>
      </w:r>
      <w:r w:rsidR="00BB5637" w:rsidRPr="00650673">
        <w:rPr>
          <w:rFonts w:ascii="Arial" w:hAnsi="Arial" w:cs="Arial"/>
          <w:bCs/>
        </w:rPr>
        <w:t xml:space="preserve"> </w:t>
      </w:r>
    </w:p>
    <w:p w14:paraId="37517F88" w14:textId="77777777" w:rsidR="00271883" w:rsidRDefault="00271883" w:rsidP="00271883">
      <w:pPr>
        <w:widowControl w:val="0"/>
        <w:numPr>
          <w:ilvl w:val="1"/>
          <w:numId w:val="24"/>
        </w:numPr>
        <w:tabs>
          <w:tab w:val="left" w:pos="0"/>
          <w:tab w:val="left" w:pos="567"/>
          <w:tab w:val="left" w:pos="709"/>
        </w:tabs>
        <w:autoSpaceDE w:val="0"/>
        <w:autoSpaceDN w:val="0"/>
        <w:adjustRightInd w:val="0"/>
        <w:snapToGrid w:val="0"/>
        <w:spacing w:before="60" w:after="60"/>
        <w:ind w:left="709" w:hanging="709"/>
        <w:jc w:val="both"/>
        <w:rPr>
          <w:rFonts w:ascii="Arial" w:hAnsi="Arial" w:cs="Arial"/>
        </w:rPr>
      </w:pPr>
      <w:r>
        <w:rPr>
          <w:rFonts w:ascii="Arial" w:hAnsi="Arial" w:cs="Arial"/>
        </w:rPr>
        <w:t xml:space="preserve">   Atsižvelgiant į tai, jog šioje Sutartyje nurodytos Paslaugos yra perkamos viešojo pirkimo būdu, vadovaujantis Lietuvos Respublikos viešųjų pirkimų įstatymo reikalavimais šios Sutarties sąlygos Sutarties galiojimo laikotarpiu negali būti keičiamos, jeigu šios sąlygos buvo iš anksto nustatytos atitinkamo viešojo pirkimo sąlygose arba šių Sutarties sąlygų keitimas prieštarautų LR viešųjų pirkimų įstatymui.</w:t>
      </w:r>
    </w:p>
    <w:p w14:paraId="4C964944" w14:textId="77777777" w:rsidR="00271883" w:rsidRDefault="00271883" w:rsidP="00271883">
      <w:pPr>
        <w:widowControl w:val="0"/>
        <w:numPr>
          <w:ilvl w:val="1"/>
          <w:numId w:val="24"/>
        </w:numPr>
        <w:tabs>
          <w:tab w:val="left" w:pos="0"/>
          <w:tab w:val="left" w:pos="567"/>
          <w:tab w:val="left" w:pos="709"/>
        </w:tabs>
        <w:autoSpaceDE w:val="0"/>
        <w:autoSpaceDN w:val="0"/>
        <w:adjustRightInd w:val="0"/>
        <w:spacing w:before="60" w:after="60"/>
        <w:ind w:left="709" w:hanging="709"/>
        <w:jc w:val="both"/>
        <w:rPr>
          <w:rFonts w:ascii="Arial" w:hAnsi="Arial" w:cs="Arial"/>
          <w:lang w:eastAsia="lt-LT"/>
        </w:rPr>
      </w:pPr>
      <w:r>
        <w:rPr>
          <w:rFonts w:ascii="Arial" w:hAnsi="Arial" w:cs="Arial"/>
        </w:rPr>
        <w:t xml:space="preserve">  Jeigu kuri nors šios Sutarties nuostata pagal taikomus įstatymus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komercinius ketinimus.</w:t>
      </w:r>
    </w:p>
    <w:p w14:paraId="3C858CC5" w14:textId="77777777" w:rsidR="00271883" w:rsidRPr="00E62F5F" w:rsidRDefault="00271883" w:rsidP="00271883">
      <w:pPr>
        <w:widowControl w:val="0"/>
        <w:numPr>
          <w:ilvl w:val="1"/>
          <w:numId w:val="24"/>
        </w:numPr>
        <w:tabs>
          <w:tab w:val="left" w:pos="0"/>
          <w:tab w:val="left" w:pos="709"/>
        </w:tabs>
        <w:autoSpaceDE w:val="0"/>
        <w:autoSpaceDN w:val="0"/>
        <w:adjustRightInd w:val="0"/>
        <w:spacing w:before="60" w:after="60"/>
        <w:ind w:left="709" w:hanging="709"/>
        <w:jc w:val="both"/>
        <w:rPr>
          <w:rFonts w:ascii="Arial" w:hAnsi="Arial" w:cs="Arial"/>
          <w:lang w:eastAsia="lt-LT"/>
        </w:rPr>
      </w:pPr>
      <w:r w:rsidRPr="00E62F5F">
        <w:rPr>
          <w:rFonts w:ascii="Arial" w:hAnsi="Arial" w:cs="Arial"/>
        </w:rPr>
        <w:t>Šalys gali raštu susitarti nutraukti šią Sutartį</w:t>
      </w:r>
      <w:r w:rsidRPr="00E62F5F">
        <w:rPr>
          <w:rFonts w:ascii="Arial" w:hAnsi="Arial" w:cs="Arial"/>
          <w:sz w:val="22"/>
          <w:szCs w:val="22"/>
        </w:rPr>
        <w:t xml:space="preserve"> </w:t>
      </w:r>
      <w:r w:rsidRPr="00E62F5F">
        <w:rPr>
          <w:rFonts w:ascii="Arial" w:hAnsi="Arial" w:cs="Arial"/>
        </w:rPr>
        <w:t>bendru Šalių sutarimu.</w:t>
      </w:r>
    </w:p>
    <w:p w14:paraId="6A763DF3" w14:textId="77777777" w:rsidR="00271883" w:rsidRPr="00E62F5F" w:rsidRDefault="00271883" w:rsidP="00271883">
      <w:pPr>
        <w:widowControl w:val="0"/>
        <w:numPr>
          <w:ilvl w:val="1"/>
          <w:numId w:val="24"/>
        </w:numPr>
        <w:tabs>
          <w:tab w:val="left" w:pos="0"/>
          <w:tab w:val="left" w:pos="709"/>
        </w:tabs>
        <w:autoSpaceDE w:val="0"/>
        <w:autoSpaceDN w:val="0"/>
        <w:adjustRightInd w:val="0"/>
        <w:spacing w:before="60" w:after="60"/>
        <w:ind w:left="709" w:hanging="709"/>
        <w:jc w:val="both"/>
        <w:rPr>
          <w:rFonts w:ascii="Arial" w:hAnsi="Arial" w:cs="Arial"/>
          <w:lang w:eastAsia="lt-LT"/>
        </w:rPr>
      </w:pPr>
      <w:bookmarkStart w:id="13" w:name="_Ref390950789"/>
      <w:r w:rsidRPr="00E62F5F">
        <w:rPr>
          <w:rFonts w:ascii="Arial" w:hAnsi="Arial" w:cs="Arial"/>
        </w:rPr>
        <w:t>Užsakovas turi teisę vienašališkai, nesikreipdamas į teismą, prieš 5 (penkias) kalendorines dienas raštu (faksu ar elektroniniu paštu) apie tai įspėjęs Paslaugų teikėją, nutraukti Sutartį, jeigu Paslaugų teikėjas ją iš esmės pažeidė. Paslaugų teikėjo padarytas Sutarties pažeidimas laikomas esminiu:</w:t>
      </w:r>
      <w:bookmarkEnd w:id="13"/>
    </w:p>
    <w:p w14:paraId="5533920E"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jeigu Paslaugų teikėjas, pagal Sutartį neįgijęs teisės pratęsti Paslaugų (ar jų dalies) suteikimo termino, nepaisydamas Užsakovo raginimo, nesuteikia Paslaugų (ar jų dalies) sutartu laiku arba neįmanoma suteikti Paslaugų (ar jų dalies) Sutartyje nustatytais terminais;</w:t>
      </w:r>
    </w:p>
    <w:p w14:paraId="367709D0"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teikiamos Paslaugos (ar jų dalis) neatitinka Sutartyje numatytų reikalavimų ir Paslaugų teikėjas neištaiso Paslaugų (ar jų dalies) teikimo trūkumų per Sutartyje nustatytą terminą;</w:t>
      </w:r>
    </w:p>
    <w:p w14:paraId="0FC04B87"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jeigu Paslaugų teikėjas nepajėgia vykdyti sutartinių įsipareigojimų ir Užsakovui pareikalavus nepateikia patikimų įrodymų dėl įmanomo šių įsipareigojimų vykdymo ateityje;</w:t>
      </w:r>
    </w:p>
    <w:p w14:paraId="5F1E4126"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kitais atvejais, kurie sutinkamai su Lietuvos Respublikos civilinio kodekso 6.217 str. būtų laikomi esminiais Sutarties pažeidimais.</w:t>
      </w:r>
    </w:p>
    <w:p w14:paraId="26B6371B" w14:textId="14603DCB" w:rsidR="00271883" w:rsidRPr="00E62F5F"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 xml:space="preserve">Jeigu Užsakovas nutraukia Sutartį dėl </w:t>
      </w:r>
      <w:r w:rsidRPr="00E62F5F">
        <w:fldChar w:fldCharType="begin"/>
      </w:r>
      <w:r w:rsidRPr="00E62F5F">
        <w:instrText xml:space="preserve"> REF _Ref390950789 \r \h  \* MERGEFORMAT </w:instrText>
      </w:r>
      <w:r w:rsidRPr="00E62F5F">
        <w:fldChar w:fldCharType="separate"/>
      </w:r>
      <w:r w:rsidR="00295084" w:rsidRPr="00E62F5F">
        <w:rPr>
          <w:rFonts w:ascii="Arial" w:hAnsi="Arial" w:cs="Arial"/>
        </w:rPr>
        <w:t>19.5</w:t>
      </w:r>
      <w:r w:rsidRPr="00E62F5F">
        <w:fldChar w:fldCharType="end"/>
      </w:r>
      <w:r w:rsidRPr="00E62F5F">
        <w:rPr>
          <w:rFonts w:ascii="Arial" w:hAnsi="Arial" w:cs="Arial"/>
        </w:rPr>
        <w:t xml:space="preserve"> punkte nurodytų priežasčių, Paslaugų teikėjas privalo atlyginti Užsakovo dėl to patirtus tiesioginius nuostolius ir sumokėti Užsakovui baudą ne didesnę kaip Sutarties įvykdymo užtikrinimo suma, nurodyta Sutarties 20.1. punkte, per 10 (dešimt) dienų, gavęs pirmą Užsakovo rašytinį reikalavimą. </w:t>
      </w:r>
    </w:p>
    <w:p w14:paraId="376CDAA7" w14:textId="77777777" w:rsidR="00271883" w:rsidRPr="00E62F5F"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Paslaugų teikėjas turi teisę vienašališkai nutraukti šią Sutartį nesikreipdamas į teismą, prieš 15 (penkiolika) darbo dienų iki nutraukimo įsigaliojimo pateikęs Užsakovui rašytinį pranešimą apie tai toliau išvardytais atvejais:</w:t>
      </w:r>
    </w:p>
    <w:p w14:paraId="660D1C52"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yra priimtas sprendimas dėl Užsakovo likvidavimo;</w:t>
      </w:r>
    </w:p>
    <w:p w14:paraId="200465F6"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yra inicijuota Užsakovo bankroto (nemokumo) procedūra;</w:t>
      </w:r>
    </w:p>
    <w:p w14:paraId="63C83E9F" w14:textId="77777777" w:rsidR="00271883" w:rsidRPr="00E62F5F" w:rsidRDefault="00271883" w:rsidP="00271883">
      <w:pPr>
        <w:pStyle w:val="ListParagraph"/>
        <w:widowControl w:val="0"/>
        <w:numPr>
          <w:ilvl w:val="2"/>
          <w:numId w:val="24"/>
        </w:numPr>
        <w:tabs>
          <w:tab w:val="left" w:pos="0"/>
          <w:tab w:val="left" w:pos="567"/>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 xml:space="preserve">Užsakovas daugiau nei 30 (trisdešimt) dienų delsia atsiskaityti su Paslaugų teikėju šioje Sutartyje </w:t>
      </w:r>
      <w:r w:rsidRPr="00E62F5F">
        <w:rPr>
          <w:rFonts w:ascii="Arial" w:hAnsi="Arial" w:cs="Arial"/>
        </w:rPr>
        <w:lastRenderedPageBreak/>
        <w:t>nustatyta tvarka;</w:t>
      </w:r>
    </w:p>
    <w:p w14:paraId="141732B4" w14:textId="77777777" w:rsidR="00271883" w:rsidRPr="00E62F5F"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Užsakovas turi teisę nutraukti šią Sutartį vienašališkai, nesikreipdamas į teismą, įspėjęs raštu Paslaugų teikėją prieš 30 (trisdešimt) kalendorinių dienų. Užsakovas šiame punkte nustatyta tvarka taip pat turi teisę vienašališkai nutraukti šią Sutartį, nesikreipdamas į teismą, ir kitais galiojančiuose teisės aktuose numatytais atvejais.</w:t>
      </w:r>
    </w:p>
    <w:p w14:paraId="5900EE2B" w14:textId="77777777" w:rsidR="00271883" w:rsidRPr="00E62F5F"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sidRPr="00E62F5F">
        <w:rPr>
          <w:rFonts w:ascii="Arial" w:hAnsi="Arial" w:cs="Arial"/>
        </w:rPr>
        <w:t xml:space="preserve">Užsakovas turi teisę nutraukti šią Sutartį vienašališkai nesikreipdamas į teismą, įspėjęs raštu Paslaugų teikėją prieš 5 (penkias) kalendorines dienas, jei Užsakovas likviduojamas ar teisės aktais panaikinamas įpareigojimas Užsakovui įsigyti Paslaugas ar jų dalį. </w:t>
      </w:r>
    </w:p>
    <w:p w14:paraId="13BDCC1A" w14:textId="77777777" w:rsidR="00271883"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Pr>
          <w:rFonts w:ascii="Arial" w:hAnsi="Arial" w:cs="Arial"/>
        </w:rPr>
        <w:t>Ši Sutartis, jos aiškinimas bei joje nustatytos Šalių teisės ir įsipareigojimai reguliuojami Lietuvos Respublikos teise.</w:t>
      </w:r>
    </w:p>
    <w:p w14:paraId="734BCB2C" w14:textId="77777777" w:rsidR="00271883"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Pr>
          <w:rFonts w:ascii="Arial" w:hAnsi="Arial" w:cs="Arial"/>
        </w:rPr>
        <w:t>Visi Šalių tarpusavio ginčai dėl šios Sutarties aiškinimo ir vykdymo sprendžiami derybomis. Nepavykus ginčo išspręsti derybomis per 30 kalendorinių dienų, jis sprendžiamas kompetentingame Lietuvos Respublikos teisme.</w:t>
      </w:r>
    </w:p>
    <w:p w14:paraId="3DBE4CFF" w14:textId="77777777" w:rsidR="00271883" w:rsidRDefault="00271883" w:rsidP="00271883">
      <w:pPr>
        <w:pStyle w:val="ListParagraph"/>
        <w:widowControl w:val="0"/>
        <w:numPr>
          <w:ilvl w:val="1"/>
          <w:numId w:val="24"/>
        </w:numPr>
        <w:tabs>
          <w:tab w:val="left" w:pos="0"/>
          <w:tab w:val="left" w:pos="709"/>
        </w:tabs>
        <w:autoSpaceDE w:val="0"/>
        <w:autoSpaceDN w:val="0"/>
        <w:adjustRightInd w:val="0"/>
        <w:spacing w:before="60" w:after="60"/>
        <w:ind w:left="709" w:hanging="709"/>
        <w:contextualSpacing w:val="0"/>
        <w:jc w:val="both"/>
        <w:rPr>
          <w:rFonts w:ascii="Arial" w:hAnsi="Arial" w:cs="Arial"/>
        </w:rPr>
      </w:pPr>
      <w:r>
        <w:rPr>
          <w:rFonts w:ascii="Arial" w:hAnsi="Arial" w:cs="Arial"/>
        </w:rPr>
        <w:t>Sutartis sudaryta dviem egzemplioriais lietuvių kalba, kurių kiekvienas turi vienodą juridinę galią. Kiekviena Šalis gauna po vieną originalų Sutarties egzempliorių.</w:t>
      </w:r>
    </w:p>
    <w:p w14:paraId="489CAFC6" w14:textId="77777777" w:rsidR="00271883" w:rsidRPr="00464A54" w:rsidRDefault="00271883" w:rsidP="00464A54">
      <w:pPr>
        <w:widowControl w:val="0"/>
        <w:autoSpaceDE w:val="0"/>
        <w:autoSpaceDN w:val="0"/>
        <w:adjustRightInd w:val="0"/>
        <w:spacing w:before="60" w:after="60"/>
        <w:jc w:val="both"/>
        <w:rPr>
          <w:rFonts w:ascii="Arial" w:hAnsi="Arial" w:cs="Arial"/>
        </w:rPr>
      </w:pPr>
    </w:p>
    <w:p w14:paraId="15A98297" w14:textId="77777777" w:rsidR="00673642" w:rsidRDefault="00673642" w:rsidP="00673642">
      <w:pPr>
        <w:pStyle w:val="Default"/>
        <w:jc w:val="center"/>
        <w:rPr>
          <w:sz w:val="20"/>
          <w:szCs w:val="20"/>
        </w:rPr>
      </w:pPr>
      <w:r>
        <w:rPr>
          <w:b/>
          <w:bCs/>
          <w:sz w:val="20"/>
          <w:szCs w:val="20"/>
        </w:rPr>
        <w:t>21. PAKEIČIAMOS/NETAIKOMOS SUTARTIES BD SĄLYGOS</w:t>
      </w:r>
    </w:p>
    <w:p w14:paraId="23039F31" w14:textId="77777777" w:rsidR="00673642" w:rsidRPr="007960EA" w:rsidRDefault="00673642" w:rsidP="00673642">
      <w:pPr>
        <w:pStyle w:val="Default"/>
        <w:ind w:left="567" w:hanging="567"/>
        <w:jc w:val="both"/>
        <w:rPr>
          <w:sz w:val="20"/>
          <w:szCs w:val="20"/>
        </w:rPr>
      </w:pPr>
      <w:r w:rsidRPr="007960EA">
        <w:rPr>
          <w:sz w:val="20"/>
          <w:szCs w:val="20"/>
        </w:rPr>
        <w:t>21.1.</w:t>
      </w:r>
      <w:r>
        <w:rPr>
          <w:sz w:val="20"/>
          <w:szCs w:val="20"/>
        </w:rPr>
        <w:t xml:space="preserve">  </w:t>
      </w:r>
      <w:r w:rsidRPr="007960EA">
        <w:rPr>
          <w:sz w:val="20"/>
          <w:szCs w:val="20"/>
        </w:rPr>
        <w:t xml:space="preserve">Sutarties BD 7.2.1. punkto nuostata yra išdėstoma taip: „Klientas turi teisę be atskiro pranešimo, kilus įtarimui, kad Paslaugų tiekėjo Paslaugos yra teikiamos nekokybiškai, neprofesionaliai ir pažeidžiant reikalavimus, kreiptis į audito įmonės veiklos priežiūrą vykdančią instituciją.“ </w:t>
      </w:r>
    </w:p>
    <w:p w14:paraId="5CFEE773" w14:textId="77777777" w:rsidR="00673642" w:rsidRPr="007960EA" w:rsidRDefault="00673642" w:rsidP="00673642">
      <w:pPr>
        <w:pStyle w:val="Default"/>
        <w:ind w:left="567" w:hanging="567"/>
        <w:jc w:val="both"/>
        <w:rPr>
          <w:sz w:val="20"/>
          <w:szCs w:val="20"/>
        </w:rPr>
      </w:pPr>
      <w:r w:rsidRPr="007960EA">
        <w:rPr>
          <w:sz w:val="20"/>
          <w:szCs w:val="20"/>
        </w:rPr>
        <w:t>21.2.</w:t>
      </w:r>
      <w:r>
        <w:rPr>
          <w:sz w:val="20"/>
          <w:szCs w:val="20"/>
        </w:rPr>
        <w:t xml:space="preserve"> </w:t>
      </w:r>
      <w:r w:rsidRPr="007960EA">
        <w:rPr>
          <w:sz w:val="20"/>
          <w:szCs w:val="20"/>
        </w:rPr>
        <w:t xml:space="preserve">Sutarties BD 9.8.3. punkto nuostata: „ypač nepalankios meteorologinės sąlygos turi įtakos Paslaugų teikėjo Paslaugų teikimo terminams“ yra naikinama. </w:t>
      </w:r>
    </w:p>
    <w:p w14:paraId="3A022003" w14:textId="77777777" w:rsidR="00673642" w:rsidRPr="007960EA" w:rsidRDefault="00673642" w:rsidP="00673642">
      <w:pPr>
        <w:pStyle w:val="Default"/>
        <w:ind w:left="567" w:hanging="567"/>
        <w:jc w:val="both"/>
        <w:rPr>
          <w:sz w:val="20"/>
          <w:szCs w:val="20"/>
        </w:rPr>
      </w:pPr>
      <w:r w:rsidRPr="007960EA">
        <w:rPr>
          <w:sz w:val="20"/>
          <w:szCs w:val="20"/>
        </w:rPr>
        <w:t>21.3.</w:t>
      </w:r>
      <w:r>
        <w:rPr>
          <w:sz w:val="20"/>
          <w:szCs w:val="20"/>
        </w:rPr>
        <w:t xml:space="preserve"> </w:t>
      </w:r>
      <w:r w:rsidRPr="007960EA">
        <w:rPr>
          <w:sz w:val="20"/>
          <w:szCs w:val="20"/>
        </w:rPr>
        <w:t xml:space="preserve"> Sutarties BD 10 dalis yra naikinama. </w:t>
      </w:r>
    </w:p>
    <w:p w14:paraId="7E92E8E1" w14:textId="77777777" w:rsidR="00673642" w:rsidRPr="007960EA" w:rsidRDefault="00673642" w:rsidP="00673642">
      <w:pPr>
        <w:pStyle w:val="Default"/>
        <w:ind w:left="567" w:hanging="567"/>
        <w:jc w:val="both"/>
        <w:rPr>
          <w:sz w:val="20"/>
          <w:szCs w:val="20"/>
        </w:rPr>
      </w:pPr>
      <w:r w:rsidRPr="007960EA">
        <w:rPr>
          <w:sz w:val="20"/>
          <w:szCs w:val="20"/>
        </w:rPr>
        <w:t>21.4.</w:t>
      </w:r>
      <w:r>
        <w:rPr>
          <w:sz w:val="20"/>
          <w:szCs w:val="20"/>
        </w:rPr>
        <w:t xml:space="preserve">  </w:t>
      </w:r>
      <w:r w:rsidRPr="007960EA">
        <w:rPr>
          <w:sz w:val="20"/>
          <w:szCs w:val="20"/>
        </w:rPr>
        <w:t xml:space="preserve">Sutarties BD 6.8. punkto nuostata yra išdėstoma taip: „Paslaugų teikėjui per Sutarties SD 3 dalyje nustatytą terminą nepašalinus nustatytų Paslaugų trūkumų, Klientas turi teisę pašalinti trūkumus savo jėgomis arba pasitelkdamas trečiuosius asmenis, o Paslaugų teikėjas tokiu atveju apmoka tiesiogines Kliento patirtas trūkumų šalinimo išlaidas“. </w:t>
      </w:r>
    </w:p>
    <w:p w14:paraId="64FCFF1D" w14:textId="77777777" w:rsidR="00673642" w:rsidRPr="007960EA" w:rsidRDefault="00673642" w:rsidP="00673642">
      <w:pPr>
        <w:pStyle w:val="Default"/>
        <w:ind w:left="567" w:hanging="567"/>
        <w:jc w:val="both"/>
        <w:rPr>
          <w:sz w:val="20"/>
          <w:szCs w:val="20"/>
        </w:rPr>
      </w:pPr>
      <w:r w:rsidRPr="007960EA">
        <w:rPr>
          <w:sz w:val="20"/>
          <w:szCs w:val="20"/>
        </w:rPr>
        <w:t>21.5.</w:t>
      </w:r>
      <w:r>
        <w:rPr>
          <w:sz w:val="20"/>
          <w:szCs w:val="20"/>
        </w:rPr>
        <w:t xml:space="preserve"> </w:t>
      </w:r>
      <w:r w:rsidRPr="007960EA">
        <w:rPr>
          <w:sz w:val="20"/>
          <w:szCs w:val="20"/>
        </w:rPr>
        <w:t xml:space="preserve"> Sutarties BD papildoma nauja 7.1.7. nuostata, išdėstoma taip:“ „Tiek, kiek maksimaliai leidžiama pagal taikytinus įstatymus ir profesinius nuostatus, Klientas įsipareigoja apsaugoti Paslaugų teikėją, kitas Tinklo įmones ir Tinklo asmenis nuo bet kokių trečiųjų šalių (įskaitant su Klientu susijusias įmones) pretenzijų ir dėl jų susidariusios atsakomybės, nuostolių, žalos, sąnaudų ir išlaidų (įskaitant pagrįstas išorės ir vidaus teisines išlaidas), kilusių dėl trečiųjų šalių pasinaudojimo ar pasirėmimo bet kuria Ataskaita (įskaitant Mokesčių konsultacijas), kurias joms atskleidė Klientas, buvo atskleista per Klientą ar Kliento prašymu. Klientas nebus atsakingu pagal šį straipsnį tuo atveju, jei Paslaugų teikėjas bus davęs raštišką sutikimą trečiajai šaliai remtis Ataskaita arba trečioji šalis rėmėsi Ataskaita, su kuria ji susipažino, kai ji buvo teisėtai viešai atskleista, įgyvendinant privalomus galiojančių įstatymų reikalavimus“. </w:t>
      </w:r>
    </w:p>
    <w:p w14:paraId="58D3F3A5" w14:textId="77777777" w:rsidR="00673642" w:rsidRDefault="00673642" w:rsidP="00673642">
      <w:pPr>
        <w:pStyle w:val="Default"/>
        <w:ind w:left="567" w:hanging="567"/>
        <w:jc w:val="both"/>
        <w:rPr>
          <w:sz w:val="20"/>
          <w:szCs w:val="20"/>
        </w:rPr>
      </w:pPr>
      <w:r w:rsidRPr="007960EA">
        <w:rPr>
          <w:sz w:val="20"/>
          <w:szCs w:val="20"/>
        </w:rPr>
        <w:t>21.6.</w:t>
      </w:r>
      <w:r>
        <w:rPr>
          <w:sz w:val="20"/>
          <w:szCs w:val="20"/>
        </w:rPr>
        <w:t xml:space="preserve"> </w:t>
      </w:r>
      <w:r w:rsidRPr="007960EA">
        <w:rPr>
          <w:sz w:val="20"/>
          <w:szCs w:val="20"/>
        </w:rPr>
        <w:t>Sutarties BD 7.3.11. punkto nuostata yra išdėstoma taip: „užtikrinti iš Kliento Sutarties vykdymo metu gautos ir su Sutarties vykdymu susijusios informacijos konfidencialumą ir apsaugą. Pasibaigus Paslaugų suteikimo terminui, Klientui paprašius raštu, grąžinti visus iš Kliento gautus, Sutarčiai vykdyti reikalingus dokumentus. Klientas patvirtina, kad įgyvendinant taikytinų teisės aktų reikalavimus, Paslaugų teikėjas pasiliks vieną kiekvieno dokumento (bylos), kuris Paslaugų teikimo metu gautas iš Kliento, kopiją, kuri yra kaupiama ir saugoma teisės aktų nustatyta tvarka ir pagal Paslaugų teikėjo patvirtintas dokumentų tvarkymo taisykles. Tokie dokumentai yra darbo dokumentų, kaip jie apibrėžiami Finansinių ataskaitų audito įstatyme, dalimi ir yra reikalingi pagrįsti suteiktų Paslaugų apimtį</w:t>
      </w:r>
      <w:r>
        <w:rPr>
          <w:sz w:val="20"/>
          <w:szCs w:val="20"/>
        </w:rPr>
        <w:t xml:space="preserve">, išvadas ir/ar rezultatus“. </w:t>
      </w:r>
    </w:p>
    <w:p w14:paraId="5636E14C" w14:textId="77777777" w:rsidR="00673642" w:rsidRPr="007960EA" w:rsidRDefault="00673642" w:rsidP="00673642">
      <w:pPr>
        <w:pStyle w:val="Default"/>
        <w:ind w:left="567" w:hanging="567"/>
        <w:jc w:val="both"/>
        <w:rPr>
          <w:color w:val="auto"/>
          <w:sz w:val="20"/>
          <w:szCs w:val="20"/>
        </w:rPr>
      </w:pPr>
      <w:r w:rsidRPr="007960EA">
        <w:rPr>
          <w:color w:val="auto"/>
          <w:sz w:val="20"/>
          <w:szCs w:val="20"/>
        </w:rPr>
        <w:t xml:space="preserve">21.7. Sutarties BD 12.1. punkto nuostata yra išdėstoma taip: „Teikdamas Paslaugas, Paslaugų teikėjas gali naudoti duomenis, programinę įrangą, dizainą, priemones, įrankius, modelius, sistemas ir kitą metodiką bei praktinę patirtį </w:t>
      </w:r>
      <w:r w:rsidRPr="007960EA">
        <w:rPr>
          <w:i/>
          <w:iCs/>
          <w:color w:val="auto"/>
          <w:sz w:val="20"/>
          <w:szCs w:val="20"/>
        </w:rPr>
        <w:t>(</w:t>
      </w:r>
      <w:proofErr w:type="spellStart"/>
      <w:r w:rsidRPr="007960EA">
        <w:rPr>
          <w:i/>
          <w:iCs/>
          <w:color w:val="auto"/>
          <w:sz w:val="20"/>
          <w:szCs w:val="20"/>
        </w:rPr>
        <w:t>know-how</w:t>
      </w:r>
      <w:proofErr w:type="spellEnd"/>
      <w:r w:rsidRPr="007960EA">
        <w:rPr>
          <w:i/>
          <w:iCs/>
          <w:color w:val="auto"/>
          <w:sz w:val="20"/>
          <w:szCs w:val="20"/>
        </w:rPr>
        <w:t xml:space="preserve">) </w:t>
      </w:r>
      <w:r w:rsidRPr="007960EA">
        <w:rPr>
          <w:color w:val="auto"/>
          <w:sz w:val="20"/>
          <w:szCs w:val="20"/>
        </w:rPr>
        <w:t xml:space="preserve">(toliau-Medžiaga), kuri yra Paslaugų teikėjo nuosavybė. Nepaisant Ataskaitų pateikimo Klientui, Paslaugų teikėjui lieka intelektinės nuosavybės teisės į Medžiagą (įskaitant bet kokius patobulinimus ar žinias įgytas teikiant Paslaugas) ir į visus darbo dokumentus, sudarytus teikiant Paslaugas (bet ne juose atspindimą Kliento informaciją). Atsiskaitęs už Paslaugas, Klientas turės teisę naudoti visą į Ataskaitas įtrauktą Medžiagą ir pačias Ataskaitas šioje Sutartyje numatytomis sąlygomis. Bet kokiu atveju šioje Sutartyje numatytas autorių teisių perleidimas Klientui nereikš: i) Paslaugų teikėjas negalės, dėl Klientui perleistų autorių teisių, teikti paslaugų, panašių į Sutartyje numatytas Paslaugas, kitiems klientams; ii) Klientui bet kokia apimtimi yra perleidžiamos intelektinės nuosavybės teisės į Paslaugų teikėjo/ Tinklo įmonių prekių ženklą; Tinklo vardą, kitą Paslaugų teikėjo ar Tinklo intelektinę nuosavybę (pvz. Tinklo skiriamieji požymiai, šūkiai ir pan.)“. </w:t>
      </w:r>
    </w:p>
    <w:p w14:paraId="126E1114" w14:textId="77777777" w:rsidR="00673642" w:rsidRPr="007960EA" w:rsidRDefault="00673642" w:rsidP="00673642">
      <w:pPr>
        <w:pStyle w:val="ListParagraph"/>
        <w:widowControl w:val="0"/>
        <w:autoSpaceDE w:val="0"/>
        <w:autoSpaceDN w:val="0"/>
        <w:adjustRightInd w:val="0"/>
        <w:spacing w:before="60" w:after="60"/>
        <w:ind w:left="567" w:hanging="567"/>
        <w:jc w:val="both"/>
        <w:rPr>
          <w:rFonts w:ascii="Arial" w:hAnsi="Arial" w:cs="Arial"/>
        </w:rPr>
      </w:pPr>
      <w:r w:rsidRPr="007960EA">
        <w:rPr>
          <w:rFonts w:ascii="Arial" w:hAnsi="Arial" w:cs="Arial"/>
        </w:rPr>
        <w:t xml:space="preserve">21.8. </w:t>
      </w:r>
      <w:r>
        <w:rPr>
          <w:rFonts w:ascii="Arial" w:hAnsi="Arial" w:cs="Arial"/>
        </w:rPr>
        <w:t xml:space="preserve"> </w:t>
      </w:r>
      <w:r w:rsidRPr="007960EA">
        <w:rPr>
          <w:rFonts w:ascii="Arial" w:hAnsi="Arial" w:cs="Arial"/>
        </w:rPr>
        <w:t xml:space="preserve">Sutarties BD 12.4. punkto nuostata yra išdėstoma taip: „Bet kokie su Sutartimi susiję dokumentai, išskyrus pačią Sutartį, yra Kliento nuosavybė ir, Paslaugų teikėjui baigus vykdyti savo įsipareigojimus, Kliento reikalavimu turi būti grąžinti (kartu su visomis jų kopijomis) Klientui. Paslaugų teikėjas turi teisę, suteiktų Paslaugų atsekamumo ir darbo dokumentų dokumentavimo ar panašiais tikslais, pasilikti po vieną </w:t>
      </w:r>
      <w:r w:rsidRPr="007960EA">
        <w:rPr>
          <w:rFonts w:ascii="Arial" w:hAnsi="Arial" w:cs="Arial"/>
        </w:rPr>
        <w:lastRenderedPageBreak/>
        <w:t>kiekvieno su Paslaugų teikimu susijusio dokumento (bylos) kopiją.“</w:t>
      </w:r>
    </w:p>
    <w:p w14:paraId="2391F865" w14:textId="77777777" w:rsidR="00673642" w:rsidRPr="004A0C32" w:rsidRDefault="00673642" w:rsidP="00673642">
      <w:pPr>
        <w:widowControl w:val="0"/>
        <w:autoSpaceDE w:val="0"/>
        <w:autoSpaceDN w:val="0"/>
        <w:adjustRightInd w:val="0"/>
        <w:snapToGrid w:val="0"/>
        <w:spacing w:before="60" w:after="60"/>
        <w:jc w:val="both"/>
        <w:rPr>
          <w:rFonts w:ascii="Arial" w:hAnsi="Arial" w:cs="Arial"/>
          <w:b/>
          <w:bCs/>
        </w:rPr>
      </w:pPr>
    </w:p>
    <w:p w14:paraId="31F30326" w14:textId="77777777" w:rsidR="00673642" w:rsidRPr="007960EA" w:rsidRDefault="00673642" w:rsidP="00673642">
      <w:pPr>
        <w:pStyle w:val="ListParagraph"/>
        <w:widowControl w:val="0"/>
        <w:numPr>
          <w:ilvl w:val="0"/>
          <w:numId w:val="29"/>
        </w:numPr>
        <w:autoSpaceDE w:val="0"/>
        <w:autoSpaceDN w:val="0"/>
        <w:adjustRightInd w:val="0"/>
        <w:snapToGrid w:val="0"/>
        <w:spacing w:before="60" w:after="60"/>
        <w:jc w:val="center"/>
        <w:rPr>
          <w:rFonts w:ascii="Arial" w:hAnsi="Arial" w:cs="Arial"/>
          <w:b/>
          <w:bCs/>
        </w:rPr>
      </w:pPr>
      <w:r w:rsidRPr="007960EA">
        <w:rPr>
          <w:rFonts w:ascii="Arial" w:hAnsi="Arial" w:cs="Arial"/>
          <w:b/>
          <w:bCs/>
        </w:rPr>
        <w:t>SUTARTIES PRIEDAI</w:t>
      </w:r>
    </w:p>
    <w:p w14:paraId="52CC9515" w14:textId="77777777" w:rsidR="00673642" w:rsidRPr="007960EA" w:rsidRDefault="00673642" w:rsidP="00673642">
      <w:pPr>
        <w:pStyle w:val="ListParagraph"/>
        <w:widowControl w:val="0"/>
        <w:numPr>
          <w:ilvl w:val="1"/>
          <w:numId w:val="30"/>
        </w:numPr>
        <w:autoSpaceDE w:val="0"/>
        <w:autoSpaceDN w:val="0"/>
        <w:adjustRightInd w:val="0"/>
        <w:spacing w:before="60" w:after="60"/>
        <w:ind w:left="567" w:hanging="567"/>
        <w:jc w:val="both"/>
        <w:rPr>
          <w:rFonts w:ascii="Arial" w:hAnsi="Arial" w:cs="Arial"/>
          <w:lang w:eastAsia="lt-LT"/>
        </w:rPr>
      </w:pPr>
      <w:r w:rsidRPr="007960EA">
        <w:rPr>
          <w:rFonts w:ascii="Arial" w:hAnsi="Arial" w:cs="Arial"/>
          <w:lang w:eastAsia="lt-LT"/>
        </w:rPr>
        <w:t>Sutarties priedai yra neatskiriama Sutarties dalis. Sutarties nuostatos taikomos vieningai ir jos priedams. Esant neatitikimų tarp Sutarties ir jos priedų, Sutarties nuostatos turės viršesnę galią. Prie šios Sutarties pridedami priedai:</w:t>
      </w:r>
    </w:p>
    <w:p w14:paraId="0D801D06" w14:textId="77777777" w:rsidR="00673642" w:rsidRPr="004A0C32" w:rsidRDefault="00673642" w:rsidP="00673642">
      <w:pPr>
        <w:widowControl w:val="0"/>
        <w:autoSpaceDE w:val="0"/>
        <w:autoSpaceDN w:val="0"/>
        <w:adjustRightInd w:val="0"/>
        <w:snapToGrid w:val="0"/>
        <w:spacing w:before="60" w:after="60"/>
        <w:ind w:left="567"/>
        <w:jc w:val="both"/>
        <w:rPr>
          <w:rFonts w:ascii="Arial" w:hAnsi="Arial" w:cs="Arial"/>
        </w:rPr>
      </w:pPr>
      <w:r w:rsidRPr="004A0C32">
        <w:rPr>
          <w:rFonts w:ascii="Arial" w:hAnsi="Arial" w:cs="Arial"/>
        </w:rPr>
        <w:t>1 priedas. Susitarimas dėl konfidencialios informacijos;</w:t>
      </w:r>
    </w:p>
    <w:p w14:paraId="06E63338" w14:textId="77777777" w:rsidR="00673642" w:rsidRPr="004A0C32" w:rsidRDefault="00673642" w:rsidP="00673642">
      <w:pPr>
        <w:widowControl w:val="0"/>
        <w:autoSpaceDE w:val="0"/>
        <w:autoSpaceDN w:val="0"/>
        <w:adjustRightInd w:val="0"/>
        <w:snapToGrid w:val="0"/>
        <w:spacing w:before="60" w:after="60"/>
        <w:ind w:left="567"/>
        <w:jc w:val="both"/>
        <w:rPr>
          <w:rFonts w:ascii="Arial" w:hAnsi="Arial" w:cs="Arial"/>
        </w:rPr>
      </w:pPr>
      <w:r w:rsidRPr="004A0C32">
        <w:rPr>
          <w:rFonts w:ascii="Arial" w:hAnsi="Arial" w:cs="Arial"/>
        </w:rPr>
        <w:t>2 priedas. Techninė specifikacija;</w:t>
      </w:r>
    </w:p>
    <w:p w14:paraId="48479C1F" w14:textId="77777777" w:rsidR="00673642" w:rsidRPr="004A0C32" w:rsidRDefault="00673642" w:rsidP="00673642">
      <w:pPr>
        <w:widowControl w:val="0"/>
        <w:autoSpaceDE w:val="0"/>
        <w:autoSpaceDN w:val="0"/>
        <w:adjustRightInd w:val="0"/>
        <w:snapToGrid w:val="0"/>
        <w:spacing w:before="60" w:after="60"/>
        <w:ind w:left="567"/>
        <w:jc w:val="both"/>
        <w:rPr>
          <w:rFonts w:ascii="Arial" w:hAnsi="Arial" w:cs="Arial"/>
        </w:rPr>
      </w:pPr>
      <w:r w:rsidRPr="004A0C32">
        <w:rPr>
          <w:rFonts w:ascii="Arial" w:hAnsi="Arial" w:cs="Arial"/>
        </w:rPr>
        <w:t xml:space="preserve">3 priedas. Paslaugų apimtys ir įkainiai. </w:t>
      </w:r>
    </w:p>
    <w:p w14:paraId="7E3D349D" w14:textId="778129EB" w:rsidR="00673642" w:rsidRDefault="00673642" w:rsidP="00673642">
      <w:pPr>
        <w:pStyle w:val="ListParagraph"/>
        <w:widowControl w:val="0"/>
        <w:numPr>
          <w:ilvl w:val="0"/>
          <w:numId w:val="31"/>
        </w:numPr>
        <w:autoSpaceDE w:val="0"/>
        <w:autoSpaceDN w:val="0"/>
        <w:adjustRightInd w:val="0"/>
        <w:snapToGrid w:val="0"/>
        <w:spacing w:before="60" w:after="60"/>
        <w:jc w:val="both"/>
        <w:rPr>
          <w:rFonts w:ascii="Arial" w:hAnsi="Arial" w:cs="Arial"/>
        </w:rPr>
      </w:pPr>
      <w:r w:rsidRPr="002E23EF">
        <w:rPr>
          <w:rFonts w:ascii="Arial" w:hAnsi="Arial" w:cs="Arial"/>
        </w:rPr>
        <w:t>priedas. Kontaktiniai adresai pranešimams siųsti ir asmenys, atsakingi už sutarties vykdymą.</w:t>
      </w:r>
    </w:p>
    <w:p w14:paraId="313206EC" w14:textId="58B6D4C1" w:rsidR="00392E18" w:rsidRPr="002E23EF" w:rsidRDefault="00392E18" w:rsidP="00392E18">
      <w:pPr>
        <w:pStyle w:val="ListParagraph"/>
        <w:widowControl w:val="0"/>
        <w:autoSpaceDE w:val="0"/>
        <w:autoSpaceDN w:val="0"/>
        <w:adjustRightInd w:val="0"/>
        <w:snapToGrid w:val="0"/>
        <w:spacing w:before="60" w:after="60"/>
        <w:ind w:left="927"/>
        <w:jc w:val="both"/>
        <w:rPr>
          <w:rFonts w:ascii="Arial" w:hAnsi="Arial" w:cs="Arial"/>
        </w:rPr>
      </w:pPr>
    </w:p>
    <w:p w14:paraId="0D1865B2" w14:textId="77777777" w:rsidR="00673642" w:rsidRPr="004A0C32" w:rsidRDefault="00673642" w:rsidP="00673642">
      <w:pPr>
        <w:widowControl w:val="0"/>
        <w:autoSpaceDE w:val="0"/>
        <w:autoSpaceDN w:val="0"/>
        <w:adjustRightInd w:val="0"/>
        <w:snapToGrid w:val="0"/>
        <w:spacing w:before="60" w:after="60"/>
        <w:ind w:left="709"/>
        <w:jc w:val="both"/>
        <w:rPr>
          <w:rFonts w:ascii="Arial" w:hAnsi="Arial" w:cs="Arial"/>
        </w:rPr>
      </w:pPr>
    </w:p>
    <w:p w14:paraId="7C021E79" w14:textId="77777777" w:rsidR="00673642" w:rsidRPr="002E23EF" w:rsidRDefault="00673642" w:rsidP="00673642">
      <w:pPr>
        <w:pStyle w:val="ListParagraph"/>
        <w:widowControl w:val="0"/>
        <w:numPr>
          <w:ilvl w:val="0"/>
          <w:numId w:val="30"/>
        </w:numPr>
        <w:autoSpaceDE w:val="0"/>
        <w:autoSpaceDN w:val="0"/>
        <w:adjustRightInd w:val="0"/>
        <w:snapToGrid w:val="0"/>
        <w:spacing w:before="60" w:after="60"/>
        <w:jc w:val="center"/>
        <w:rPr>
          <w:rFonts w:ascii="Arial" w:hAnsi="Arial" w:cs="Arial"/>
          <w:b/>
          <w:bCs/>
        </w:rPr>
      </w:pPr>
      <w:r w:rsidRPr="002E23EF">
        <w:rPr>
          <w:rFonts w:ascii="Arial" w:hAnsi="Arial" w:cs="Arial"/>
          <w:b/>
          <w:bCs/>
        </w:rPr>
        <w:t>ŠALIŲ REKVIZITAI IR PARAŠAI</w:t>
      </w:r>
    </w:p>
    <w:p w14:paraId="530E28F1" w14:textId="77777777" w:rsidR="00271883" w:rsidRDefault="00271883" w:rsidP="00271883">
      <w:pPr>
        <w:widowControl w:val="0"/>
        <w:autoSpaceDE w:val="0"/>
        <w:autoSpaceDN w:val="0"/>
        <w:adjustRightInd w:val="0"/>
        <w:snapToGrid w:val="0"/>
        <w:spacing w:before="60" w:after="60"/>
        <w:ind w:left="709"/>
        <w:jc w:val="both"/>
        <w:rPr>
          <w:rFonts w:ascii="Arial" w:hAnsi="Arial" w:cs="Arial"/>
          <w:b/>
          <w:bCs/>
        </w:rPr>
      </w:pPr>
    </w:p>
    <w:p w14:paraId="614591F8" w14:textId="77777777" w:rsidR="00271883" w:rsidRDefault="00271883" w:rsidP="00271883">
      <w:pPr>
        <w:widowControl w:val="0"/>
        <w:autoSpaceDE w:val="0"/>
        <w:autoSpaceDN w:val="0"/>
        <w:adjustRightInd w:val="0"/>
        <w:snapToGrid w:val="0"/>
        <w:spacing w:before="60" w:after="60"/>
        <w:ind w:left="709"/>
        <w:jc w:val="both"/>
        <w:outlineLvl w:val="0"/>
        <w:rPr>
          <w:rFonts w:ascii="Arial" w:hAnsi="Arial" w:cs="Arial"/>
          <w:b/>
          <w:bCs/>
        </w:rPr>
      </w:pPr>
      <w:r>
        <w:rPr>
          <w:rFonts w:ascii="Arial" w:hAnsi="Arial" w:cs="Arial"/>
          <w:b/>
          <w:bCs/>
        </w:rPr>
        <w:t xml:space="preserve">UŽSAKOVAS:            </w:t>
      </w:r>
      <w:r>
        <w:rPr>
          <w:rFonts w:ascii="Arial" w:hAnsi="Arial" w:cs="Arial"/>
          <w:b/>
          <w:bCs/>
        </w:rPr>
        <w:tab/>
      </w:r>
      <w:r>
        <w:rPr>
          <w:rFonts w:ascii="Arial" w:hAnsi="Arial" w:cs="Arial"/>
          <w:b/>
          <w:bCs/>
        </w:rPr>
        <w:tab/>
        <w:t xml:space="preserve">  PASLAUGŲ TEIKĖJAS:</w:t>
      </w:r>
    </w:p>
    <w:p w14:paraId="44FDD0ED" w14:textId="77777777" w:rsidR="00271883" w:rsidRDefault="00271883" w:rsidP="00271883">
      <w:pPr>
        <w:widowControl w:val="0"/>
        <w:autoSpaceDE w:val="0"/>
        <w:autoSpaceDN w:val="0"/>
        <w:adjustRightInd w:val="0"/>
        <w:snapToGrid w:val="0"/>
        <w:spacing w:before="60" w:after="60"/>
        <w:ind w:left="709"/>
        <w:jc w:val="both"/>
        <w:rPr>
          <w:rFonts w:ascii="Arial" w:hAnsi="Arial" w:cs="Arial"/>
          <w:b/>
          <w:bCs/>
        </w:rPr>
      </w:pPr>
    </w:p>
    <w:tbl>
      <w:tblPr>
        <w:tblW w:w="12795" w:type="dxa"/>
        <w:tblLayout w:type="fixed"/>
        <w:tblLook w:val="01E0" w:firstRow="1" w:lastRow="1" w:firstColumn="1" w:lastColumn="1" w:noHBand="0" w:noVBand="0"/>
      </w:tblPr>
      <w:tblGrid>
        <w:gridCol w:w="3510"/>
        <w:gridCol w:w="1026"/>
        <w:gridCol w:w="142"/>
        <w:gridCol w:w="2977"/>
        <w:gridCol w:w="1359"/>
        <w:gridCol w:w="283"/>
        <w:gridCol w:w="425"/>
        <w:gridCol w:w="284"/>
        <w:gridCol w:w="438"/>
        <w:gridCol w:w="1359"/>
        <w:gridCol w:w="276"/>
        <w:gridCol w:w="432"/>
        <w:gridCol w:w="284"/>
      </w:tblGrid>
      <w:tr w:rsidR="00271883" w14:paraId="3E2BDF51" w14:textId="77777777" w:rsidTr="003A7AF4">
        <w:trPr>
          <w:gridAfter w:val="2"/>
          <w:wAfter w:w="716" w:type="dxa"/>
          <w:trHeight w:val="158"/>
        </w:trPr>
        <w:tc>
          <w:tcPr>
            <w:tcW w:w="3510" w:type="dxa"/>
          </w:tcPr>
          <w:p w14:paraId="227FF42E" w14:textId="77777777" w:rsidR="00271883" w:rsidRDefault="00830EE8" w:rsidP="00E1278A">
            <w:pPr>
              <w:widowControl w:val="0"/>
              <w:autoSpaceDE w:val="0"/>
              <w:autoSpaceDN w:val="0"/>
              <w:adjustRightInd w:val="0"/>
              <w:spacing w:before="60" w:after="60"/>
              <w:jc w:val="both"/>
              <w:rPr>
                <w:rFonts w:ascii="Arial" w:hAnsi="Arial" w:cs="Arial"/>
                <w:b/>
                <w:bCs/>
                <w:lang w:eastAsia="lt-LT"/>
              </w:rPr>
            </w:pPr>
            <w:r w:rsidRPr="00830EE8">
              <w:rPr>
                <w:rFonts w:ascii="Arial" w:hAnsi="Arial" w:cs="Arial"/>
                <w:b/>
                <w:bCs/>
                <w:lang w:eastAsia="lt-LT"/>
              </w:rPr>
              <w:t xml:space="preserve">UAB „VVP </w:t>
            </w:r>
            <w:proofErr w:type="spellStart"/>
            <w:r w:rsidRPr="00830EE8">
              <w:rPr>
                <w:rFonts w:ascii="Arial" w:hAnsi="Arial" w:cs="Arial"/>
                <w:b/>
                <w:bCs/>
                <w:lang w:eastAsia="lt-LT"/>
              </w:rPr>
              <w:t>Investment</w:t>
            </w:r>
            <w:proofErr w:type="spellEnd"/>
            <w:r w:rsidRPr="00830EE8">
              <w:rPr>
                <w:rFonts w:ascii="Arial" w:hAnsi="Arial" w:cs="Arial"/>
                <w:b/>
                <w:bCs/>
                <w:lang w:eastAsia="lt-LT"/>
              </w:rPr>
              <w:t>“</w:t>
            </w:r>
          </w:p>
          <w:p w14:paraId="748218EB" w14:textId="77777777" w:rsidR="00E02F53" w:rsidRDefault="00E02F53" w:rsidP="00E1278A">
            <w:pPr>
              <w:widowControl w:val="0"/>
              <w:autoSpaceDE w:val="0"/>
              <w:autoSpaceDN w:val="0"/>
              <w:adjustRightInd w:val="0"/>
              <w:spacing w:before="60" w:after="60"/>
              <w:jc w:val="both"/>
              <w:rPr>
                <w:rFonts w:ascii="Arial" w:hAnsi="Arial" w:cs="Arial"/>
                <w:b/>
                <w:bCs/>
                <w:lang w:eastAsia="lt-LT"/>
              </w:rPr>
            </w:pPr>
          </w:p>
          <w:p w14:paraId="5844FB46" w14:textId="5A714E7E" w:rsidR="00E02F53" w:rsidRPr="008E4488" w:rsidRDefault="00E02F53" w:rsidP="00E1278A">
            <w:pPr>
              <w:widowControl w:val="0"/>
              <w:autoSpaceDE w:val="0"/>
              <w:autoSpaceDN w:val="0"/>
              <w:adjustRightInd w:val="0"/>
              <w:spacing w:before="60" w:after="60"/>
              <w:jc w:val="both"/>
              <w:rPr>
                <w:rFonts w:ascii="Arial" w:hAnsi="Arial" w:cs="Arial"/>
                <w:lang w:eastAsia="lt-LT"/>
              </w:rPr>
            </w:pPr>
          </w:p>
        </w:tc>
        <w:tc>
          <w:tcPr>
            <w:tcW w:w="1026" w:type="dxa"/>
          </w:tcPr>
          <w:p w14:paraId="69688AD6"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c>
          <w:tcPr>
            <w:tcW w:w="4761" w:type="dxa"/>
            <w:gridSpan w:val="4"/>
          </w:tcPr>
          <w:p w14:paraId="688CC7BE" w14:textId="77777777" w:rsidR="003A7AF4" w:rsidRDefault="003A7AF4" w:rsidP="003A7AF4">
            <w:pPr>
              <w:widowControl w:val="0"/>
              <w:autoSpaceDE w:val="0"/>
              <w:autoSpaceDN w:val="0"/>
              <w:adjustRightInd w:val="0"/>
              <w:spacing w:before="60" w:after="60"/>
              <w:jc w:val="both"/>
              <w:rPr>
                <w:rFonts w:ascii="Arial" w:hAnsi="Arial" w:cs="Arial"/>
              </w:rPr>
            </w:pPr>
            <w:r>
              <w:rPr>
                <w:rFonts w:ascii="Arial" w:hAnsi="Arial" w:cs="Arial"/>
                <w:b/>
                <w:bCs/>
                <w:lang w:eastAsia="lt-LT"/>
              </w:rPr>
              <w:t>Uždaroji akcinė bendrovė „ERNST &amp; YOUNG BALTIC</w:t>
            </w:r>
            <w:r w:rsidRPr="003A7AF4">
              <w:rPr>
                <w:rFonts w:ascii="Arial" w:hAnsi="Arial" w:cs="Arial"/>
              </w:rPr>
              <w:t xml:space="preserve"> </w:t>
            </w:r>
          </w:p>
          <w:p w14:paraId="6AA32ED9" w14:textId="706835E6" w:rsidR="00271883" w:rsidRPr="003A7AF4" w:rsidRDefault="00271883" w:rsidP="003A7AF4">
            <w:pPr>
              <w:widowControl w:val="0"/>
              <w:autoSpaceDE w:val="0"/>
              <w:autoSpaceDN w:val="0"/>
              <w:adjustRightInd w:val="0"/>
              <w:spacing w:before="60" w:after="60"/>
              <w:jc w:val="both"/>
              <w:rPr>
                <w:rFonts w:ascii="Arial" w:hAnsi="Arial" w:cs="Arial"/>
                <w:lang w:eastAsia="lt-LT"/>
              </w:rPr>
            </w:pPr>
          </w:p>
        </w:tc>
        <w:tc>
          <w:tcPr>
            <w:tcW w:w="2782" w:type="dxa"/>
            <w:gridSpan w:val="5"/>
          </w:tcPr>
          <w:p w14:paraId="11492562"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r>
      <w:tr w:rsidR="00271883" w14:paraId="6F48ACF1" w14:textId="77777777" w:rsidTr="003A7AF4">
        <w:trPr>
          <w:gridAfter w:val="4"/>
          <w:wAfter w:w="2351" w:type="dxa"/>
          <w:trHeight w:val="158"/>
        </w:trPr>
        <w:tc>
          <w:tcPr>
            <w:tcW w:w="3510" w:type="dxa"/>
          </w:tcPr>
          <w:p w14:paraId="16FA753E" w14:textId="78458D34" w:rsidR="00271883" w:rsidRDefault="00271883" w:rsidP="00E1278A">
            <w:pPr>
              <w:widowControl w:val="0"/>
              <w:autoSpaceDE w:val="0"/>
              <w:autoSpaceDN w:val="0"/>
              <w:adjustRightInd w:val="0"/>
              <w:spacing w:before="60" w:after="60"/>
              <w:jc w:val="both"/>
              <w:rPr>
                <w:rFonts w:ascii="Arial" w:hAnsi="Arial" w:cs="Arial"/>
                <w:lang w:eastAsia="lt-LT"/>
              </w:rPr>
            </w:pPr>
          </w:p>
        </w:tc>
        <w:tc>
          <w:tcPr>
            <w:tcW w:w="1168" w:type="dxa"/>
            <w:gridSpan w:val="2"/>
          </w:tcPr>
          <w:p w14:paraId="21707B68"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c>
          <w:tcPr>
            <w:tcW w:w="2977" w:type="dxa"/>
          </w:tcPr>
          <w:p w14:paraId="733AFAE0" w14:textId="1F88AB05" w:rsidR="00271883" w:rsidRDefault="00271883" w:rsidP="003A7AF4">
            <w:pPr>
              <w:widowControl w:val="0"/>
              <w:autoSpaceDE w:val="0"/>
              <w:autoSpaceDN w:val="0"/>
              <w:adjustRightInd w:val="0"/>
              <w:spacing w:before="60" w:after="60"/>
              <w:ind w:left="-107"/>
              <w:rPr>
                <w:rFonts w:ascii="Arial" w:hAnsi="Arial" w:cs="Arial"/>
                <w:lang w:eastAsia="lt-LT"/>
              </w:rPr>
            </w:pPr>
          </w:p>
        </w:tc>
        <w:tc>
          <w:tcPr>
            <w:tcW w:w="2789" w:type="dxa"/>
            <w:gridSpan w:val="5"/>
          </w:tcPr>
          <w:p w14:paraId="38B7691F" w14:textId="77777777" w:rsidR="00271883" w:rsidRDefault="00271883" w:rsidP="003A7AF4">
            <w:pPr>
              <w:widowControl w:val="0"/>
              <w:autoSpaceDE w:val="0"/>
              <w:autoSpaceDN w:val="0"/>
              <w:adjustRightInd w:val="0"/>
              <w:spacing w:before="60" w:after="60"/>
              <w:ind w:firstLine="1112"/>
              <w:jc w:val="both"/>
              <w:rPr>
                <w:rFonts w:ascii="Arial" w:hAnsi="Arial" w:cs="Arial"/>
                <w:lang w:eastAsia="lt-LT"/>
              </w:rPr>
            </w:pPr>
          </w:p>
        </w:tc>
      </w:tr>
      <w:tr w:rsidR="00271883" w14:paraId="3EEDD009" w14:textId="77777777" w:rsidTr="003A7AF4">
        <w:trPr>
          <w:gridAfter w:val="3"/>
          <w:wAfter w:w="992" w:type="dxa"/>
          <w:trHeight w:val="158"/>
        </w:trPr>
        <w:tc>
          <w:tcPr>
            <w:tcW w:w="3510" w:type="dxa"/>
          </w:tcPr>
          <w:p w14:paraId="521F7BDB" w14:textId="1F470A9D" w:rsidR="00271883" w:rsidRDefault="00271883" w:rsidP="00E1278A">
            <w:pPr>
              <w:widowControl w:val="0"/>
              <w:autoSpaceDE w:val="0"/>
              <w:autoSpaceDN w:val="0"/>
              <w:adjustRightInd w:val="0"/>
              <w:spacing w:before="60" w:after="60"/>
              <w:jc w:val="both"/>
              <w:rPr>
                <w:rFonts w:ascii="Arial" w:hAnsi="Arial" w:cs="Arial"/>
                <w:lang w:eastAsia="lt-LT"/>
              </w:rPr>
            </w:pPr>
          </w:p>
        </w:tc>
        <w:tc>
          <w:tcPr>
            <w:tcW w:w="1168" w:type="dxa"/>
            <w:gridSpan w:val="2"/>
          </w:tcPr>
          <w:p w14:paraId="1CDF6663"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c>
          <w:tcPr>
            <w:tcW w:w="4336" w:type="dxa"/>
            <w:gridSpan w:val="2"/>
          </w:tcPr>
          <w:p w14:paraId="4167B809" w14:textId="5915931D" w:rsidR="00271883" w:rsidRDefault="00271883" w:rsidP="003A7AF4">
            <w:pPr>
              <w:widowControl w:val="0"/>
              <w:autoSpaceDE w:val="0"/>
              <w:autoSpaceDN w:val="0"/>
              <w:adjustRightInd w:val="0"/>
              <w:spacing w:before="60" w:after="60"/>
              <w:ind w:left="-107"/>
              <w:rPr>
                <w:rFonts w:ascii="Arial" w:hAnsi="Arial" w:cs="Arial"/>
                <w:lang w:eastAsia="lt-LT"/>
              </w:rPr>
            </w:pPr>
          </w:p>
        </w:tc>
        <w:tc>
          <w:tcPr>
            <w:tcW w:w="2789" w:type="dxa"/>
            <w:gridSpan w:val="5"/>
          </w:tcPr>
          <w:p w14:paraId="430C0377"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r>
      <w:tr w:rsidR="00271883" w14:paraId="0C4E4E3B" w14:textId="77777777" w:rsidTr="003A7AF4">
        <w:trPr>
          <w:gridAfter w:val="1"/>
          <w:wAfter w:w="284" w:type="dxa"/>
          <w:trHeight w:val="158"/>
        </w:trPr>
        <w:tc>
          <w:tcPr>
            <w:tcW w:w="3510" w:type="dxa"/>
          </w:tcPr>
          <w:p w14:paraId="4452C103" w14:textId="036EF34B" w:rsidR="00271883" w:rsidRDefault="00271883" w:rsidP="00E1278A">
            <w:pPr>
              <w:widowControl w:val="0"/>
              <w:autoSpaceDE w:val="0"/>
              <w:autoSpaceDN w:val="0"/>
              <w:adjustRightInd w:val="0"/>
              <w:spacing w:before="60" w:after="60"/>
              <w:jc w:val="both"/>
              <w:rPr>
                <w:rFonts w:ascii="Arial" w:hAnsi="Arial" w:cs="Arial"/>
                <w:lang w:eastAsia="lt-LT"/>
              </w:rPr>
            </w:pPr>
          </w:p>
        </w:tc>
        <w:tc>
          <w:tcPr>
            <w:tcW w:w="1168" w:type="dxa"/>
            <w:gridSpan w:val="2"/>
          </w:tcPr>
          <w:p w14:paraId="35C35E77"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c>
          <w:tcPr>
            <w:tcW w:w="5044" w:type="dxa"/>
            <w:gridSpan w:val="4"/>
          </w:tcPr>
          <w:p w14:paraId="230BD4EC" w14:textId="2BB9B77F" w:rsidR="00271883" w:rsidRDefault="00271883" w:rsidP="003A7AF4">
            <w:pPr>
              <w:widowControl w:val="0"/>
              <w:autoSpaceDE w:val="0"/>
              <w:autoSpaceDN w:val="0"/>
              <w:adjustRightInd w:val="0"/>
              <w:spacing w:before="60" w:after="60"/>
              <w:ind w:hanging="107"/>
              <w:rPr>
                <w:rFonts w:ascii="Arial" w:hAnsi="Arial" w:cs="Arial"/>
                <w:lang w:eastAsia="lt-LT"/>
              </w:rPr>
            </w:pPr>
          </w:p>
        </w:tc>
        <w:tc>
          <w:tcPr>
            <w:tcW w:w="2789" w:type="dxa"/>
            <w:gridSpan w:val="5"/>
          </w:tcPr>
          <w:p w14:paraId="17F42579"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r>
      <w:tr w:rsidR="00271883" w14:paraId="3589DC0A" w14:textId="77777777" w:rsidTr="00DB2CFA">
        <w:trPr>
          <w:trHeight w:val="80"/>
        </w:trPr>
        <w:tc>
          <w:tcPr>
            <w:tcW w:w="3510" w:type="dxa"/>
          </w:tcPr>
          <w:p w14:paraId="331BD48C" w14:textId="694A176B" w:rsidR="00830EE8" w:rsidRDefault="00830EE8" w:rsidP="00E1278A">
            <w:pPr>
              <w:widowControl w:val="0"/>
              <w:autoSpaceDE w:val="0"/>
              <w:autoSpaceDN w:val="0"/>
              <w:adjustRightInd w:val="0"/>
              <w:spacing w:before="60" w:after="60"/>
              <w:jc w:val="both"/>
              <w:rPr>
                <w:rFonts w:ascii="Arial" w:hAnsi="Arial" w:cs="Arial"/>
                <w:lang w:eastAsia="lt-LT"/>
              </w:rPr>
            </w:pPr>
          </w:p>
        </w:tc>
        <w:tc>
          <w:tcPr>
            <w:tcW w:w="1168" w:type="dxa"/>
            <w:gridSpan w:val="2"/>
          </w:tcPr>
          <w:p w14:paraId="4DB5D1A8"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c>
          <w:tcPr>
            <w:tcW w:w="5328" w:type="dxa"/>
            <w:gridSpan w:val="5"/>
          </w:tcPr>
          <w:p w14:paraId="5338E8DB" w14:textId="184028C1" w:rsidR="003A7AF4" w:rsidRDefault="003A7AF4" w:rsidP="003A7AF4">
            <w:pPr>
              <w:widowControl w:val="0"/>
              <w:autoSpaceDE w:val="0"/>
              <w:autoSpaceDN w:val="0"/>
              <w:adjustRightInd w:val="0"/>
              <w:spacing w:before="60" w:after="60"/>
              <w:ind w:left="-249" w:firstLine="142"/>
              <w:rPr>
                <w:rFonts w:ascii="Arial" w:hAnsi="Arial" w:cs="Arial"/>
                <w:lang w:eastAsia="lt-LT"/>
              </w:rPr>
            </w:pPr>
          </w:p>
        </w:tc>
        <w:tc>
          <w:tcPr>
            <w:tcW w:w="2789" w:type="dxa"/>
            <w:gridSpan w:val="5"/>
          </w:tcPr>
          <w:p w14:paraId="4949F6B2" w14:textId="77777777" w:rsidR="00271883" w:rsidRDefault="00271883" w:rsidP="00E1278A">
            <w:pPr>
              <w:widowControl w:val="0"/>
              <w:autoSpaceDE w:val="0"/>
              <w:autoSpaceDN w:val="0"/>
              <w:adjustRightInd w:val="0"/>
              <w:spacing w:before="60" w:after="60"/>
              <w:jc w:val="both"/>
              <w:rPr>
                <w:rFonts w:ascii="Arial" w:hAnsi="Arial" w:cs="Arial"/>
                <w:lang w:eastAsia="lt-LT"/>
              </w:rPr>
            </w:pPr>
          </w:p>
        </w:tc>
      </w:tr>
    </w:tbl>
    <w:p w14:paraId="04CB2927" w14:textId="12197FE6" w:rsidR="00271883" w:rsidRDefault="00271883" w:rsidP="00271883">
      <w:pPr>
        <w:spacing w:after="200" w:line="276" w:lineRule="auto"/>
        <w:jc w:val="both"/>
        <w:rPr>
          <w:rFonts w:ascii="Arial" w:hAnsi="Arial" w:cs="Arial"/>
        </w:rPr>
      </w:pPr>
    </w:p>
    <w:p w14:paraId="4D5DBF81" w14:textId="77777777" w:rsidR="00271883" w:rsidRDefault="00271883" w:rsidP="00271883">
      <w:pPr>
        <w:rPr>
          <w:rFonts w:ascii="Arial" w:hAnsi="Arial" w:cs="Arial"/>
        </w:rPr>
      </w:pPr>
    </w:p>
    <w:p w14:paraId="20889394" w14:textId="77777777" w:rsidR="00271883" w:rsidRPr="008E4488" w:rsidRDefault="00271883" w:rsidP="00271883">
      <w:pPr>
        <w:rPr>
          <w:rFonts w:ascii="Arial" w:hAnsi="Arial" w:cs="Arial"/>
          <w:lang w:val="en-US"/>
        </w:rPr>
      </w:pPr>
      <w:r>
        <w:rPr>
          <w:rFonts w:ascii="Arial" w:hAnsi="Arial" w:cs="Arial"/>
        </w:rPr>
        <w:br w:type="page"/>
      </w:r>
    </w:p>
    <w:tbl>
      <w:tblPr>
        <w:tblW w:w="30708" w:type="dxa"/>
        <w:jc w:val="center"/>
        <w:tblLook w:val="01E0" w:firstRow="1" w:lastRow="1" w:firstColumn="1" w:lastColumn="1" w:noHBand="0" w:noVBand="0"/>
      </w:tblPr>
      <w:tblGrid>
        <w:gridCol w:w="10773"/>
        <w:gridCol w:w="5078"/>
        <w:gridCol w:w="5078"/>
        <w:gridCol w:w="5078"/>
        <w:gridCol w:w="4701"/>
      </w:tblGrid>
      <w:tr w:rsidR="003A7AF4" w:rsidRPr="00BE4B9F" w14:paraId="35218859" w14:textId="77777777" w:rsidTr="003A7AF4">
        <w:trPr>
          <w:jc w:val="center"/>
        </w:trPr>
        <w:tc>
          <w:tcPr>
            <w:tcW w:w="10773" w:type="dxa"/>
          </w:tcPr>
          <w:p w14:paraId="52865E0B" w14:textId="77777777" w:rsidR="003A7AF4" w:rsidRDefault="003A7AF4" w:rsidP="00DB2CFA">
            <w:pPr>
              <w:rPr>
                <w:rFonts w:ascii="Arial" w:hAnsi="Arial" w:cs="Arial"/>
                <w:b/>
                <w:bCs/>
                <w:lang w:eastAsia="lt-LT"/>
              </w:rPr>
            </w:pPr>
          </w:p>
        </w:tc>
        <w:tc>
          <w:tcPr>
            <w:tcW w:w="5078" w:type="dxa"/>
          </w:tcPr>
          <w:p w14:paraId="07D2B952" w14:textId="01859162" w:rsidR="003A7AF4" w:rsidRDefault="003A7AF4" w:rsidP="003A7AF4">
            <w:pPr>
              <w:rPr>
                <w:rFonts w:ascii="Arial" w:hAnsi="Arial" w:cs="Arial"/>
                <w:lang w:eastAsia="lt-LT"/>
              </w:rPr>
            </w:pPr>
          </w:p>
        </w:tc>
        <w:tc>
          <w:tcPr>
            <w:tcW w:w="5078" w:type="dxa"/>
          </w:tcPr>
          <w:p w14:paraId="3A1C32CA" w14:textId="77777777" w:rsidR="003A7AF4" w:rsidRPr="00BE4B9F" w:rsidRDefault="003A7AF4" w:rsidP="003A7AF4">
            <w:pPr>
              <w:rPr>
                <w:rFonts w:ascii="Arial" w:hAnsi="Arial" w:cs="Arial"/>
              </w:rPr>
            </w:pPr>
          </w:p>
        </w:tc>
        <w:tc>
          <w:tcPr>
            <w:tcW w:w="5078" w:type="dxa"/>
          </w:tcPr>
          <w:p w14:paraId="66D54B78" w14:textId="77777777" w:rsidR="003A7AF4" w:rsidRPr="00BE4B9F" w:rsidRDefault="003A7AF4" w:rsidP="003A7AF4">
            <w:pPr>
              <w:rPr>
                <w:rFonts w:ascii="Arial" w:hAnsi="Arial" w:cs="Arial"/>
              </w:rPr>
            </w:pPr>
          </w:p>
        </w:tc>
        <w:tc>
          <w:tcPr>
            <w:tcW w:w="4701" w:type="dxa"/>
          </w:tcPr>
          <w:p w14:paraId="1FBD1D80" w14:textId="77777777" w:rsidR="003A7AF4" w:rsidRPr="00BE4B9F" w:rsidRDefault="003A7AF4" w:rsidP="003A7AF4">
            <w:pPr>
              <w:rPr>
                <w:rFonts w:ascii="Arial" w:hAnsi="Arial" w:cs="Arial"/>
              </w:rPr>
            </w:pPr>
          </w:p>
        </w:tc>
      </w:tr>
    </w:tbl>
    <w:p w14:paraId="799729CD" w14:textId="77777777" w:rsidR="00271883" w:rsidRPr="00BE4B9F" w:rsidRDefault="00271883" w:rsidP="00271883">
      <w:pPr>
        <w:rPr>
          <w:rFonts w:ascii="Arial" w:hAnsi="Arial" w:cs="Arial"/>
        </w:rPr>
      </w:pPr>
    </w:p>
    <w:p w14:paraId="1B07B3F9" w14:textId="59DF9B83" w:rsidR="002247B4" w:rsidRDefault="002247B4" w:rsidP="002247B4">
      <w:pPr>
        <w:jc w:val="right"/>
        <w:rPr>
          <w:rFonts w:ascii="Arial" w:hAnsi="Arial" w:cs="Arial"/>
          <w:b/>
        </w:rPr>
      </w:pPr>
      <w:r>
        <w:rPr>
          <w:rFonts w:ascii="Arial" w:hAnsi="Arial" w:cs="Arial"/>
          <w:b/>
        </w:rPr>
        <w:t>3 priedas</w:t>
      </w:r>
      <w:r w:rsidRPr="006B107B">
        <w:rPr>
          <w:rFonts w:ascii="Arial" w:hAnsi="Arial" w:cs="Arial"/>
          <w:b/>
        </w:rPr>
        <w:t xml:space="preserve"> </w:t>
      </w:r>
    </w:p>
    <w:p w14:paraId="06673ECE" w14:textId="41E10954" w:rsidR="002247B4" w:rsidRDefault="002247B4" w:rsidP="00271883">
      <w:pPr>
        <w:jc w:val="both"/>
        <w:rPr>
          <w:rFonts w:ascii="Arial" w:hAnsi="Arial" w:cs="Arial"/>
        </w:rPr>
      </w:pPr>
    </w:p>
    <w:p w14:paraId="712FA099" w14:textId="52CA7716" w:rsidR="002247B4" w:rsidRDefault="002247B4" w:rsidP="002247B4">
      <w:pPr>
        <w:jc w:val="center"/>
        <w:rPr>
          <w:rFonts w:ascii="Arial" w:hAnsi="Arial" w:cs="Arial"/>
          <w:b/>
        </w:rPr>
      </w:pPr>
      <w:r w:rsidRPr="002247B4">
        <w:rPr>
          <w:rFonts w:ascii="Arial" w:hAnsi="Arial" w:cs="Arial"/>
          <w:b/>
        </w:rPr>
        <w:t>PASLAUGŲ APIMTYS IR ĮKAINIAI</w:t>
      </w:r>
    </w:p>
    <w:p w14:paraId="3C4762B4" w14:textId="19A279D2" w:rsidR="002247B4" w:rsidRDefault="002247B4" w:rsidP="002247B4">
      <w:pPr>
        <w:jc w:val="center"/>
        <w:rPr>
          <w:rFonts w:ascii="Arial" w:hAnsi="Arial" w:cs="Arial"/>
          <w:b/>
        </w:rPr>
      </w:pPr>
    </w:p>
    <w:p w14:paraId="09282C62" w14:textId="444CCAF9" w:rsidR="002247B4" w:rsidRDefault="00612A3C" w:rsidP="002247B4">
      <w:pPr>
        <w:jc w:val="center"/>
        <w:rPr>
          <w:rFonts w:ascii="Arial" w:hAnsi="Arial" w:cs="Arial"/>
          <w:b/>
        </w:rPr>
      </w:pPr>
      <w:r w:rsidRPr="00612A3C">
        <w:rPr>
          <w:rFonts w:ascii="Arial" w:hAnsi="Arial" w:cs="Arial"/>
          <w:b/>
          <w:noProof/>
        </w:rPr>
        <w:drawing>
          <wp:inline distT="0" distB="0" distL="0" distR="0" wp14:anchorId="0E0C40CA" wp14:editId="64B267E1">
            <wp:extent cx="6209665" cy="199009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9665" cy="1990090"/>
                    </a:xfrm>
                    <a:prstGeom prst="rect">
                      <a:avLst/>
                    </a:prstGeom>
                    <a:noFill/>
                    <a:ln>
                      <a:noFill/>
                    </a:ln>
                  </pic:spPr>
                </pic:pic>
              </a:graphicData>
            </a:graphic>
          </wp:inline>
        </w:drawing>
      </w:r>
    </w:p>
    <w:p w14:paraId="4A067CDB" w14:textId="77777777" w:rsidR="002247B4" w:rsidRDefault="002247B4" w:rsidP="002247B4">
      <w:pPr>
        <w:jc w:val="center"/>
        <w:rPr>
          <w:rFonts w:ascii="Arial" w:hAnsi="Arial" w:cs="Arial"/>
          <w:b/>
          <w:noProof/>
        </w:rPr>
      </w:pPr>
    </w:p>
    <w:p w14:paraId="316517D2" w14:textId="5D637FD6" w:rsidR="002247B4" w:rsidRDefault="002247B4" w:rsidP="002247B4">
      <w:pPr>
        <w:jc w:val="center"/>
        <w:rPr>
          <w:rFonts w:ascii="Arial" w:hAnsi="Arial" w:cs="Arial"/>
          <w:b/>
          <w:noProof/>
        </w:rPr>
      </w:pPr>
    </w:p>
    <w:p w14:paraId="2D6B24BB" w14:textId="197B0CB3" w:rsidR="002247B4" w:rsidRPr="002247B4" w:rsidRDefault="002247B4" w:rsidP="002247B4">
      <w:pPr>
        <w:rPr>
          <w:rFonts w:ascii="Arial" w:hAnsi="Arial" w:cs="Arial"/>
        </w:rPr>
      </w:pPr>
    </w:p>
    <w:p w14:paraId="20A2E654" w14:textId="246AD9F1" w:rsidR="002247B4" w:rsidRPr="002247B4" w:rsidRDefault="002247B4" w:rsidP="002247B4">
      <w:pPr>
        <w:rPr>
          <w:rFonts w:ascii="Arial" w:hAnsi="Arial" w:cs="Arial"/>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4"/>
      </w:tblGrid>
      <w:tr w:rsidR="002247B4" w14:paraId="2F1F64E2" w14:textId="77777777" w:rsidTr="006A0155">
        <w:trPr>
          <w:trHeight w:val="219"/>
        </w:trPr>
        <w:tc>
          <w:tcPr>
            <w:tcW w:w="4884" w:type="dxa"/>
          </w:tcPr>
          <w:p w14:paraId="17A8587F" w14:textId="77777777" w:rsidR="002247B4" w:rsidRDefault="002247B4" w:rsidP="006A0155">
            <w:pPr>
              <w:rPr>
                <w:rFonts w:ascii="Arial" w:hAnsi="Arial" w:cs="Arial"/>
                <w:b/>
              </w:rPr>
            </w:pPr>
            <w:r>
              <w:rPr>
                <w:rFonts w:ascii="Arial" w:hAnsi="Arial" w:cs="Arial"/>
                <w:b/>
                <w:bCs/>
              </w:rPr>
              <w:t xml:space="preserve">UŽSAKOVAS:            </w:t>
            </w:r>
          </w:p>
        </w:tc>
        <w:tc>
          <w:tcPr>
            <w:tcW w:w="5034" w:type="dxa"/>
          </w:tcPr>
          <w:p w14:paraId="3057B09E" w14:textId="77777777" w:rsidR="002247B4" w:rsidRDefault="002247B4" w:rsidP="006A0155">
            <w:pPr>
              <w:rPr>
                <w:rFonts w:ascii="Arial" w:hAnsi="Arial" w:cs="Arial"/>
                <w:b/>
              </w:rPr>
            </w:pPr>
            <w:r>
              <w:rPr>
                <w:rFonts w:ascii="Arial" w:hAnsi="Arial" w:cs="Arial"/>
                <w:b/>
                <w:bCs/>
              </w:rPr>
              <w:t>PASLAUGŲ TEIKĖJAS:</w:t>
            </w:r>
          </w:p>
        </w:tc>
      </w:tr>
      <w:tr w:rsidR="002247B4" w14:paraId="1A9C575D" w14:textId="77777777" w:rsidTr="00DB2CFA">
        <w:trPr>
          <w:trHeight w:val="1027"/>
        </w:trPr>
        <w:tc>
          <w:tcPr>
            <w:tcW w:w="4884" w:type="dxa"/>
          </w:tcPr>
          <w:p w14:paraId="6801FB92" w14:textId="77777777" w:rsidR="00830EE8" w:rsidRDefault="00830EE8" w:rsidP="00830EE8">
            <w:pPr>
              <w:rPr>
                <w:rFonts w:ascii="Arial" w:hAnsi="Arial" w:cs="Arial"/>
                <w:b/>
                <w:bCs/>
                <w:lang w:eastAsia="lt-LT"/>
              </w:rPr>
            </w:pPr>
            <w:r w:rsidRPr="00830EE8">
              <w:rPr>
                <w:rFonts w:ascii="Arial" w:hAnsi="Arial" w:cs="Arial"/>
                <w:b/>
                <w:bCs/>
                <w:lang w:eastAsia="lt-LT"/>
              </w:rPr>
              <w:t xml:space="preserve">UAB „VVP </w:t>
            </w:r>
            <w:proofErr w:type="spellStart"/>
            <w:r w:rsidRPr="00830EE8">
              <w:rPr>
                <w:rFonts w:ascii="Arial" w:hAnsi="Arial" w:cs="Arial"/>
                <w:b/>
                <w:bCs/>
                <w:lang w:eastAsia="lt-LT"/>
              </w:rPr>
              <w:t>Investment</w:t>
            </w:r>
            <w:proofErr w:type="spellEnd"/>
            <w:r w:rsidRPr="00830EE8">
              <w:rPr>
                <w:rFonts w:ascii="Arial" w:hAnsi="Arial" w:cs="Arial"/>
                <w:b/>
                <w:bCs/>
                <w:lang w:eastAsia="lt-LT"/>
              </w:rPr>
              <w:t>“</w:t>
            </w:r>
          </w:p>
          <w:p w14:paraId="2F1D0813" w14:textId="77777777" w:rsidR="00830EE8" w:rsidRDefault="00830EE8" w:rsidP="00830EE8">
            <w:pPr>
              <w:rPr>
                <w:rFonts w:ascii="Arial" w:hAnsi="Arial" w:cs="Arial"/>
                <w:b/>
                <w:bCs/>
              </w:rPr>
            </w:pPr>
          </w:p>
          <w:p w14:paraId="07CB9A4C" w14:textId="77777777" w:rsidR="00830EE8" w:rsidRDefault="00830EE8" w:rsidP="00830EE8">
            <w:pPr>
              <w:rPr>
                <w:rFonts w:ascii="Arial" w:hAnsi="Arial" w:cs="Arial"/>
                <w:b/>
                <w:bCs/>
              </w:rPr>
            </w:pPr>
          </w:p>
          <w:p w14:paraId="626DF084" w14:textId="1B75B9DD" w:rsidR="002247B4" w:rsidRDefault="002247B4" w:rsidP="00830EE8">
            <w:pPr>
              <w:rPr>
                <w:rFonts w:ascii="Arial" w:hAnsi="Arial" w:cs="Arial"/>
                <w:b/>
              </w:rPr>
            </w:pPr>
          </w:p>
        </w:tc>
        <w:tc>
          <w:tcPr>
            <w:tcW w:w="5034" w:type="dxa"/>
          </w:tcPr>
          <w:p w14:paraId="2EB0DD8F" w14:textId="77777777" w:rsidR="002247B4" w:rsidRDefault="002247B4" w:rsidP="006A0155">
            <w:pPr>
              <w:widowControl w:val="0"/>
              <w:autoSpaceDE w:val="0"/>
              <w:autoSpaceDN w:val="0"/>
              <w:adjustRightInd w:val="0"/>
              <w:spacing w:before="60" w:after="60"/>
              <w:ind w:right="-112"/>
              <w:rPr>
                <w:rFonts w:ascii="Arial" w:hAnsi="Arial" w:cs="Arial"/>
                <w:lang w:eastAsia="lt-LT"/>
              </w:rPr>
            </w:pPr>
            <w:r>
              <w:rPr>
                <w:rFonts w:ascii="Arial" w:hAnsi="Arial" w:cs="Arial"/>
                <w:b/>
                <w:bCs/>
                <w:lang w:eastAsia="lt-LT"/>
              </w:rPr>
              <w:t>Uždaroji akcinė bendrovė „ERNST &amp; YOUNG BALTIC</w:t>
            </w:r>
          </w:p>
          <w:p w14:paraId="5230761D" w14:textId="77777777" w:rsidR="002247B4" w:rsidRDefault="002247B4" w:rsidP="006A0155">
            <w:pPr>
              <w:widowControl w:val="0"/>
              <w:autoSpaceDE w:val="0"/>
              <w:autoSpaceDN w:val="0"/>
              <w:adjustRightInd w:val="0"/>
              <w:spacing w:before="60" w:after="60"/>
              <w:ind w:left="-249" w:firstLine="249"/>
              <w:rPr>
                <w:rFonts w:ascii="Arial" w:hAnsi="Arial" w:cs="Arial"/>
                <w:lang w:eastAsia="lt-LT"/>
              </w:rPr>
            </w:pPr>
          </w:p>
          <w:p w14:paraId="57A61C66" w14:textId="78CE8C6E" w:rsidR="002247B4" w:rsidRDefault="002247B4" w:rsidP="006A0155">
            <w:pPr>
              <w:rPr>
                <w:rFonts w:ascii="Arial" w:hAnsi="Arial" w:cs="Arial"/>
                <w:b/>
                <w:bCs/>
                <w:lang w:eastAsia="lt-LT"/>
              </w:rPr>
            </w:pPr>
          </w:p>
        </w:tc>
      </w:tr>
    </w:tbl>
    <w:p w14:paraId="5F45600F" w14:textId="0383062E" w:rsidR="002247B4" w:rsidRPr="002247B4" w:rsidRDefault="002247B4" w:rsidP="002247B4">
      <w:pPr>
        <w:rPr>
          <w:rFonts w:ascii="Arial" w:hAnsi="Arial" w:cs="Arial"/>
        </w:rPr>
      </w:pPr>
    </w:p>
    <w:p w14:paraId="5490C74F" w14:textId="513B0F2B" w:rsidR="002247B4" w:rsidRPr="002247B4" w:rsidRDefault="002247B4" w:rsidP="002247B4">
      <w:pPr>
        <w:rPr>
          <w:rFonts w:ascii="Arial" w:hAnsi="Arial" w:cs="Arial"/>
        </w:rPr>
      </w:pPr>
    </w:p>
    <w:p w14:paraId="61C1CCEB" w14:textId="62DF4D94" w:rsidR="002247B4" w:rsidRPr="002247B4" w:rsidRDefault="002247B4" w:rsidP="002247B4">
      <w:pPr>
        <w:rPr>
          <w:rFonts w:ascii="Arial" w:hAnsi="Arial" w:cs="Arial"/>
        </w:rPr>
      </w:pPr>
    </w:p>
    <w:p w14:paraId="2BB00A6C" w14:textId="1B8C9B0B" w:rsidR="002247B4" w:rsidRPr="002247B4" w:rsidRDefault="002247B4" w:rsidP="002247B4">
      <w:pPr>
        <w:rPr>
          <w:rFonts w:ascii="Arial" w:hAnsi="Arial" w:cs="Arial"/>
        </w:rPr>
      </w:pPr>
    </w:p>
    <w:p w14:paraId="7C24A53F" w14:textId="24E46131" w:rsidR="002247B4" w:rsidRPr="002247B4" w:rsidRDefault="002247B4" w:rsidP="002247B4">
      <w:pPr>
        <w:rPr>
          <w:rFonts w:ascii="Arial" w:hAnsi="Arial" w:cs="Arial"/>
        </w:rPr>
      </w:pPr>
    </w:p>
    <w:p w14:paraId="68715FA7" w14:textId="606F751D" w:rsidR="002247B4" w:rsidRPr="002247B4" w:rsidRDefault="002247B4" w:rsidP="002247B4">
      <w:pPr>
        <w:rPr>
          <w:rFonts w:ascii="Arial" w:hAnsi="Arial" w:cs="Arial"/>
        </w:rPr>
      </w:pPr>
    </w:p>
    <w:p w14:paraId="2EECC582" w14:textId="4C61DC40" w:rsidR="002247B4" w:rsidRPr="002247B4" w:rsidRDefault="002247B4" w:rsidP="002247B4">
      <w:pPr>
        <w:rPr>
          <w:rFonts w:ascii="Arial" w:hAnsi="Arial" w:cs="Arial"/>
        </w:rPr>
      </w:pPr>
    </w:p>
    <w:p w14:paraId="614B5CCA" w14:textId="23338D8C" w:rsidR="002247B4" w:rsidRPr="002247B4" w:rsidRDefault="002247B4" w:rsidP="002247B4">
      <w:pPr>
        <w:rPr>
          <w:rFonts w:ascii="Arial" w:hAnsi="Arial" w:cs="Arial"/>
        </w:rPr>
      </w:pPr>
    </w:p>
    <w:p w14:paraId="0BC9F760" w14:textId="5E23C43D" w:rsidR="002247B4" w:rsidRPr="002247B4" w:rsidRDefault="002247B4" w:rsidP="002247B4">
      <w:pPr>
        <w:rPr>
          <w:rFonts w:ascii="Arial" w:hAnsi="Arial" w:cs="Arial"/>
        </w:rPr>
      </w:pPr>
    </w:p>
    <w:p w14:paraId="1D2C3200" w14:textId="4386FBAC" w:rsidR="002247B4" w:rsidRPr="002247B4" w:rsidRDefault="002247B4" w:rsidP="002247B4">
      <w:pPr>
        <w:rPr>
          <w:rFonts w:ascii="Arial" w:hAnsi="Arial" w:cs="Arial"/>
        </w:rPr>
      </w:pPr>
    </w:p>
    <w:p w14:paraId="2C71CEE0" w14:textId="251A359A" w:rsidR="002247B4" w:rsidRPr="002247B4" w:rsidRDefault="002247B4" w:rsidP="002247B4">
      <w:pPr>
        <w:rPr>
          <w:rFonts w:ascii="Arial" w:hAnsi="Arial" w:cs="Arial"/>
        </w:rPr>
      </w:pPr>
    </w:p>
    <w:p w14:paraId="798720B2" w14:textId="4FFE3F01" w:rsidR="002247B4" w:rsidRPr="002247B4" w:rsidRDefault="002247B4" w:rsidP="002247B4">
      <w:pPr>
        <w:rPr>
          <w:rFonts w:ascii="Arial" w:hAnsi="Arial" w:cs="Arial"/>
        </w:rPr>
      </w:pPr>
    </w:p>
    <w:p w14:paraId="67C3EA65" w14:textId="62040725" w:rsidR="002247B4" w:rsidRPr="002247B4" w:rsidRDefault="002247B4" w:rsidP="002247B4">
      <w:pPr>
        <w:rPr>
          <w:rFonts w:ascii="Arial" w:hAnsi="Arial" w:cs="Arial"/>
        </w:rPr>
      </w:pPr>
    </w:p>
    <w:p w14:paraId="4F930A34" w14:textId="56FB5F15" w:rsidR="002247B4" w:rsidRPr="002247B4" w:rsidRDefault="002247B4" w:rsidP="002247B4">
      <w:pPr>
        <w:rPr>
          <w:rFonts w:ascii="Arial" w:hAnsi="Arial" w:cs="Arial"/>
        </w:rPr>
      </w:pPr>
    </w:p>
    <w:p w14:paraId="047B7B94" w14:textId="1040932B" w:rsidR="002247B4" w:rsidRPr="002247B4" w:rsidRDefault="002247B4" w:rsidP="002247B4">
      <w:pPr>
        <w:rPr>
          <w:rFonts w:ascii="Arial" w:hAnsi="Arial" w:cs="Arial"/>
        </w:rPr>
      </w:pPr>
    </w:p>
    <w:p w14:paraId="185A8728" w14:textId="63FFB54A" w:rsidR="002247B4" w:rsidRPr="002247B4" w:rsidRDefault="002247B4" w:rsidP="002247B4">
      <w:pPr>
        <w:rPr>
          <w:rFonts w:ascii="Arial" w:hAnsi="Arial" w:cs="Arial"/>
        </w:rPr>
      </w:pPr>
    </w:p>
    <w:p w14:paraId="63DAB4B8" w14:textId="5853D2B4" w:rsidR="002247B4" w:rsidRPr="002247B4" w:rsidRDefault="002247B4" w:rsidP="002247B4">
      <w:pPr>
        <w:rPr>
          <w:rFonts w:ascii="Arial" w:hAnsi="Arial" w:cs="Arial"/>
        </w:rPr>
      </w:pPr>
    </w:p>
    <w:p w14:paraId="22C737C2" w14:textId="4FB2C453" w:rsidR="002247B4" w:rsidRPr="002247B4" w:rsidRDefault="002247B4" w:rsidP="002247B4">
      <w:pPr>
        <w:rPr>
          <w:rFonts w:ascii="Arial" w:hAnsi="Arial" w:cs="Arial"/>
        </w:rPr>
      </w:pPr>
    </w:p>
    <w:p w14:paraId="18227C7F" w14:textId="7E0ECD87" w:rsidR="002247B4" w:rsidRPr="002247B4" w:rsidRDefault="002247B4" w:rsidP="002247B4">
      <w:pPr>
        <w:rPr>
          <w:rFonts w:ascii="Arial" w:hAnsi="Arial" w:cs="Arial"/>
        </w:rPr>
      </w:pPr>
    </w:p>
    <w:p w14:paraId="18EFB97E" w14:textId="3FABDD95" w:rsidR="002247B4" w:rsidRPr="002247B4" w:rsidRDefault="002247B4" w:rsidP="002247B4">
      <w:pPr>
        <w:rPr>
          <w:rFonts w:ascii="Arial" w:hAnsi="Arial" w:cs="Arial"/>
        </w:rPr>
      </w:pPr>
    </w:p>
    <w:p w14:paraId="3F60698E" w14:textId="70BE50EA" w:rsidR="002247B4" w:rsidRPr="002247B4" w:rsidRDefault="002247B4" w:rsidP="002247B4">
      <w:pPr>
        <w:rPr>
          <w:rFonts w:ascii="Arial" w:hAnsi="Arial" w:cs="Arial"/>
        </w:rPr>
      </w:pPr>
    </w:p>
    <w:p w14:paraId="5033032A" w14:textId="500D3A4C" w:rsidR="002247B4" w:rsidRPr="002247B4" w:rsidRDefault="002247B4" w:rsidP="002247B4">
      <w:pPr>
        <w:rPr>
          <w:rFonts w:ascii="Arial" w:hAnsi="Arial" w:cs="Arial"/>
        </w:rPr>
      </w:pPr>
    </w:p>
    <w:p w14:paraId="26825FDC" w14:textId="72A44420" w:rsidR="002247B4" w:rsidRPr="002247B4" w:rsidRDefault="002247B4" w:rsidP="002247B4">
      <w:pPr>
        <w:rPr>
          <w:rFonts w:ascii="Arial" w:hAnsi="Arial" w:cs="Arial"/>
        </w:rPr>
      </w:pPr>
    </w:p>
    <w:p w14:paraId="22D66B39" w14:textId="16DC3D41" w:rsidR="002247B4" w:rsidRDefault="002247B4" w:rsidP="002247B4">
      <w:pPr>
        <w:rPr>
          <w:rFonts w:ascii="Arial" w:hAnsi="Arial" w:cs="Arial"/>
          <w:b/>
          <w:noProof/>
        </w:rPr>
      </w:pPr>
    </w:p>
    <w:p w14:paraId="1A26AE66" w14:textId="58FD32FB" w:rsidR="002247B4" w:rsidRDefault="002247B4" w:rsidP="002247B4">
      <w:pPr>
        <w:rPr>
          <w:rFonts w:ascii="Arial" w:hAnsi="Arial" w:cs="Arial"/>
          <w:b/>
          <w:noProof/>
        </w:rPr>
      </w:pPr>
    </w:p>
    <w:p w14:paraId="2C177934" w14:textId="0E6811A1" w:rsidR="002247B4" w:rsidRDefault="002247B4" w:rsidP="002247B4">
      <w:pPr>
        <w:tabs>
          <w:tab w:val="left" w:pos="8565"/>
        </w:tabs>
        <w:rPr>
          <w:rFonts w:ascii="Arial" w:hAnsi="Arial" w:cs="Arial"/>
        </w:rPr>
      </w:pPr>
      <w:bookmarkStart w:id="14" w:name="_GoBack"/>
      <w:bookmarkEnd w:id="14"/>
    </w:p>
    <w:p w14:paraId="497905C2" w14:textId="77777777" w:rsidR="00DB2CFA" w:rsidRDefault="00DB2CFA" w:rsidP="002247B4">
      <w:pPr>
        <w:tabs>
          <w:tab w:val="left" w:pos="8565"/>
        </w:tabs>
        <w:rPr>
          <w:rFonts w:ascii="Arial" w:hAnsi="Arial" w:cs="Arial"/>
        </w:rPr>
      </w:pPr>
    </w:p>
    <w:tbl>
      <w:tblPr>
        <w:tblW w:w="15354" w:type="dxa"/>
        <w:jc w:val="center"/>
        <w:tblLook w:val="01E0" w:firstRow="1" w:lastRow="1" w:firstColumn="1" w:lastColumn="1" w:noHBand="0" w:noVBand="0"/>
      </w:tblPr>
      <w:tblGrid>
        <w:gridCol w:w="15354"/>
      </w:tblGrid>
      <w:tr w:rsidR="002247B4" w:rsidRPr="00BE4B9F" w14:paraId="701B8D95" w14:textId="77777777" w:rsidTr="002247B4">
        <w:trPr>
          <w:jc w:val="center"/>
        </w:trPr>
        <w:tc>
          <w:tcPr>
            <w:tcW w:w="15354" w:type="dxa"/>
          </w:tcPr>
          <w:p w14:paraId="54F9FB5B" w14:textId="77777777" w:rsidR="002247B4" w:rsidRPr="00BE4B9F" w:rsidRDefault="002247B4" w:rsidP="006A0155">
            <w:pPr>
              <w:rPr>
                <w:rFonts w:ascii="Arial" w:hAnsi="Arial" w:cs="Arial"/>
              </w:rPr>
            </w:pPr>
          </w:p>
        </w:tc>
      </w:tr>
      <w:tr w:rsidR="002247B4" w:rsidRPr="00BE4B9F" w14:paraId="38265D6E" w14:textId="77777777" w:rsidTr="002247B4">
        <w:trPr>
          <w:jc w:val="center"/>
        </w:trPr>
        <w:tc>
          <w:tcPr>
            <w:tcW w:w="15354" w:type="dxa"/>
          </w:tcPr>
          <w:p w14:paraId="6C1387EF" w14:textId="77777777" w:rsidR="002247B4" w:rsidRPr="00BE4B9F" w:rsidRDefault="002247B4" w:rsidP="006A0155">
            <w:pPr>
              <w:rPr>
                <w:rFonts w:ascii="Arial" w:hAnsi="Arial" w:cs="Arial"/>
              </w:rPr>
            </w:pPr>
          </w:p>
        </w:tc>
      </w:tr>
      <w:tr w:rsidR="002247B4" w:rsidRPr="00BE4B9F" w14:paraId="76EAF4B3" w14:textId="77777777" w:rsidTr="002247B4">
        <w:trPr>
          <w:trHeight w:val="80"/>
          <w:jc w:val="center"/>
        </w:trPr>
        <w:tc>
          <w:tcPr>
            <w:tcW w:w="15354" w:type="dxa"/>
          </w:tcPr>
          <w:p w14:paraId="32DB216C" w14:textId="77777777" w:rsidR="002247B4" w:rsidRDefault="002247B4" w:rsidP="006A0155">
            <w:pPr>
              <w:rPr>
                <w:rFonts w:ascii="Arial" w:hAnsi="Arial" w:cs="Arial"/>
                <w:lang w:eastAsia="lt-LT"/>
              </w:rPr>
            </w:pPr>
          </w:p>
        </w:tc>
      </w:tr>
    </w:tbl>
    <w:p w14:paraId="2B7F7D63" w14:textId="77777777" w:rsidR="002247B4" w:rsidRPr="002247B4" w:rsidRDefault="002247B4" w:rsidP="00DB2CFA">
      <w:pPr>
        <w:rPr>
          <w:rFonts w:ascii="Arial" w:hAnsi="Arial" w:cs="Arial"/>
          <w:b/>
        </w:rPr>
      </w:pPr>
    </w:p>
    <w:sectPr w:rsidR="002247B4" w:rsidRPr="002247B4" w:rsidSect="0025678E">
      <w:headerReference w:type="even" r:id="rId10"/>
      <w:headerReference w:type="default" r:id="rId11"/>
      <w:footerReference w:type="even" r:id="rId12"/>
      <w:footerReference w:type="default" r:id="rId13"/>
      <w:headerReference w:type="first" r:id="rId14"/>
      <w:footerReference w:type="first" r:id="rId15"/>
      <w:pgSz w:w="11906" w:h="16838"/>
      <w:pgMar w:top="683" w:right="567" w:bottom="1134" w:left="1560"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F1E53" w14:textId="77777777" w:rsidR="002761CF" w:rsidRDefault="002761CF">
      <w:r>
        <w:separator/>
      </w:r>
    </w:p>
  </w:endnote>
  <w:endnote w:type="continuationSeparator" w:id="0">
    <w:p w14:paraId="3FD14E5B" w14:textId="77777777" w:rsidR="002761CF" w:rsidRDefault="002761CF">
      <w:r>
        <w:continuationSeparator/>
      </w:r>
    </w:p>
  </w:endnote>
  <w:endnote w:type="continuationNotice" w:id="1">
    <w:p w14:paraId="33C9CE42" w14:textId="77777777" w:rsidR="002761CF" w:rsidRDefault="00276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17807" w14:textId="77777777" w:rsidR="00673642" w:rsidRDefault="00673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B5637">
          <w:rPr>
            <w:rFonts w:ascii="Arial" w:hAnsi="Arial" w:cs="Arial"/>
            <w:noProof/>
          </w:rPr>
          <w:t>14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72C6F" w14:textId="77777777" w:rsidR="00673642" w:rsidRDefault="0067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0717" w14:textId="77777777" w:rsidR="002761CF" w:rsidRDefault="002761CF">
      <w:r>
        <w:separator/>
      </w:r>
    </w:p>
  </w:footnote>
  <w:footnote w:type="continuationSeparator" w:id="0">
    <w:p w14:paraId="2EC7FAD2" w14:textId="77777777" w:rsidR="002761CF" w:rsidRDefault="002761CF">
      <w:r>
        <w:continuationSeparator/>
      </w:r>
    </w:p>
  </w:footnote>
  <w:footnote w:type="continuationNotice" w:id="1">
    <w:p w14:paraId="6FB6BCA5" w14:textId="77777777" w:rsidR="002761CF" w:rsidRDefault="00276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C4B4C" w14:textId="55B2CFC6" w:rsidR="00673642" w:rsidRDefault="00673642">
    <w:pPr>
      <w:pStyle w:val="Header"/>
    </w:pPr>
    <w:r>
      <w:rPr>
        <w:noProof/>
        <w:lang w:eastAsia="lt-LT"/>
      </w:rPr>
      <mc:AlternateContent>
        <mc:Choice Requires="wps">
          <w:drawing>
            <wp:anchor distT="0" distB="0" distL="114300" distR="114300" simplePos="0" relativeHeight="251659264" behindDoc="0" locked="0" layoutInCell="0" allowOverlap="1" wp14:anchorId="47D9B399" wp14:editId="0B45E701">
              <wp:simplePos x="0" y="0"/>
              <wp:positionH relativeFrom="page">
                <wp:posOffset>0</wp:posOffset>
              </wp:positionH>
              <wp:positionV relativeFrom="page">
                <wp:posOffset>190500</wp:posOffset>
              </wp:positionV>
              <wp:extent cx="7560310" cy="266700"/>
              <wp:effectExtent l="0" t="0" r="0" b="0"/>
              <wp:wrapNone/>
              <wp:docPr id="1" name="MSIPCM42154e348b6d55cdcb1b1879"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315E26" w14:textId="076E8746" w:rsidR="00673642" w:rsidRPr="00673642" w:rsidRDefault="00673642" w:rsidP="00673642">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D9B399" id="_x0000_t202" coordsize="21600,21600" o:spt="202" path="m,l,21600r21600,l21600,xe">
              <v:stroke joinstyle="miter"/>
              <v:path gradientshapeok="t" o:connecttype="rect"/>
            </v:shapetype>
            <v:shape id="MSIPCM42154e348b6d55cdcb1b1879"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cE2AQW8DAABHBwAADgAAAAAAAAAAAAAAAAAuAgAAZHJzL2Uyb0RvYy54bWxQSwECLQAUAAYA&#10;CAAAACEAN6R6OtwAAAAHAQAADwAAAAAAAAAAAAAAAADJBQAAZHJzL2Rvd25yZXYueG1sUEsFBgAA&#10;AAAEAAQA8wAAANIGAAAAAA==&#10;" o:allowincell="f" filled="f" stroked="f" strokeweight=".5pt">
              <v:textbox inset=",0,20pt,0">
                <w:txbxContent>
                  <w:p w14:paraId="0C315E26" w14:textId="076E8746" w:rsidR="00673642" w:rsidRPr="00673642" w:rsidRDefault="00673642" w:rsidP="00673642">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2694F11B" w:rsidR="00202820" w:rsidRDefault="00673642">
    <w:pPr>
      <w:pStyle w:val="Header"/>
    </w:pPr>
    <w:r>
      <w:rPr>
        <w:noProof/>
        <w:lang w:eastAsia="lt-LT"/>
      </w:rPr>
      <mc:AlternateContent>
        <mc:Choice Requires="wps">
          <w:drawing>
            <wp:anchor distT="0" distB="0" distL="114300" distR="114300" simplePos="0" relativeHeight="251660288" behindDoc="0" locked="0" layoutInCell="0" allowOverlap="1" wp14:anchorId="3AF25DF8" wp14:editId="35B5ACD9">
              <wp:simplePos x="0" y="0"/>
              <wp:positionH relativeFrom="page">
                <wp:posOffset>0</wp:posOffset>
              </wp:positionH>
              <wp:positionV relativeFrom="page">
                <wp:posOffset>190500</wp:posOffset>
              </wp:positionV>
              <wp:extent cx="7560310" cy="266700"/>
              <wp:effectExtent l="0" t="0" r="0" b="0"/>
              <wp:wrapNone/>
              <wp:docPr id="2" name="MSIPCM327d4fada31d281a0ffe2c8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06B0F5" w14:textId="3648316B" w:rsidR="00673642" w:rsidRPr="00673642" w:rsidRDefault="00673642" w:rsidP="00673642">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AF25DF8" id="_x0000_t202" coordsize="21600,21600" o:spt="202" path="m,l,21600r21600,l21600,xe">
              <v:stroke joinstyle="miter"/>
              <v:path gradientshapeok="t" o:connecttype="rect"/>
            </v:shapetype>
            <v:shape id="MSIPCM327d4fada31d281a0ffe2c8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DK4wnKbgMAAFAHAAAOAAAAAAAAAAAAAAAAAC4CAABkcnMvZTJvRG9jLnhtbFBLAQItABQABgAI&#10;AAAAIQA3pHo63AAAAAcBAAAPAAAAAAAAAAAAAAAAAMgFAABkcnMvZG93bnJldi54bWxQSwUGAAAA&#10;AAQABADzAAAA0QYAAAAA&#10;" o:allowincell="f" filled="f" stroked="f" strokeweight=".5pt">
              <v:textbox inset=",0,20pt,0">
                <w:txbxContent>
                  <w:p w14:paraId="1F06B0F5" w14:textId="3648316B" w:rsidR="00673642" w:rsidRPr="00673642" w:rsidRDefault="00673642" w:rsidP="00673642">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455DEB"/>
    <w:multiLevelType w:val="multilevel"/>
    <w:tmpl w:val="ECF043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3F31546"/>
    <w:multiLevelType w:val="hybridMultilevel"/>
    <w:tmpl w:val="1C9AA4DC"/>
    <w:lvl w:ilvl="0" w:tplc="54E446E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4BD19CB"/>
    <w:multiLevelType w:val="hybridMultilevel"/>
    <w:tmpl w:val="87843B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F602C0A"/>
    <w:multiLevelType w:val="hybridMultilevel"/>
    <w:tmpl w:val="A84CFF10"/>
    <w:lvl w:ilvl="0" w:tplc="DCD45156">
      <w:start w:val="2013"/>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676CA"/>
    <w:multiLevelType w:val="multilevel"/>
    <w:tmpl w:val="E44863E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3074AFC"/>
    <w:multiLevelType w:val="multilevel"/>
    <w:tmpl w:val="B3E4BE4E"/>
    <w:lvl w:ilvl="0">
      <w:start w:val="22"/>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673BA6"/>
    <w:multiLevelType w:val="multilevel"/>
    <w:tmpl w:val="53401716"/>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6EB30DA1"/>
    <w:multiLevelType w:val="hybridMultilevel"/>
    <w:tmpl w:val="9014DA86"/>
    <w:lvl w:ilvl="0" w:tplc="FFFFFFFF">
      <w:start w:val="1"/>
      <w:numFmt w:val="upperLetter"/>
      <w:lvlText w:val="(%1)"/>
      <w:lvlJc w:val="left"/>
      <w:pPr>
        <w:tabs>
          <w:tab w:val="num" w:pos="709"/>
        </w:tabs>
        <w:ind w:left="709" w:hanging="709"/>
      </w:pPr>
      <w:rPr>
        <w:rFonts w:cs="Times New Roman"/>
      </w:rPr>
    </w:lvl>
    <w:lvl w:ilvl="1" w:tplc="FFFFFFFF">
      <w:start w:val="1"/>
      <w:numFmt w:val="lowerLetter"/>
      <w:lvlText w:val="%2."/>
      <w:lvlJc w:val="left"/>
      <w:pPr>
        <w:tabs>
          <w:tab w:val="num" w:pos="1440"/>
        </w:tabs>
        <w:ind w:left="1440" w:hanging="360"/>
      </w:pPr>
      <w:rPr>
        <w:rFonts w:cs="Times New Roman"/>
      </w:rPr>
    </w:lvl>
    <w:lvl w:ilvl="2" w:tplc="E0A82DEE">
      <w:start w:val="1"/>
      <w:numFmt w:val="upperRoman"/>
      <w:lvlText w:val="%3."/>
      <w:lvlJc w:val="left"/>
      <w:pPr>
        <w:tabs>
          <w:tab w:val="num" w:pos="2700"/>
        </w:tabs>
        <w:ind w:left="2700" w:hanging="72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73EC7E33"/>
    <w:multiLevelType w:val="multilevel"/>
    <w:tmpl w:val="D99CEE5A"/>
    <w:lvl w:ilvl="0">
      <w:start w:val="1"/>
      <w:numFmt w:val="decimal"/>
      <w:lvlText w:val="%1."/>
      <w:lvlJc w:val="left"/>
      <w:pPr>
        <w:ind w:left="360" w:hanging="360"/>
      </w:pPr>
      <w:rPr>
        <w:rFonts w:hint="default"/>
        <w:i w:val="0"/>
        <w:color w:val="0D0D0D"/>
        <w:u w:val="none"/>
      </w:rPr>
    </w:lvl>
    <w:lvl w:ilvl="1">
      <w:start w:val="5"/>
      <w:numFmt w:val="decimal"/>
      <w:lvlText w:val="%1.%2."/>
      <w:lvlJc w:val="left"/>
      <w:pPr>
        <w:ind w:left="644" w:hanging="360"/>
      </w:pPr>
      <w:rPr>
        <w:rFonts w:hint="default"/>
        <w:b w:val="0"/>
        <w:i w:val="0"/>
        <w:color w:val="0D0D0D"/>
        <w:u w:val="none"/>
      </w:rPr>
    </w:lvl>
    <w:lvl w:ilvl="2">
      <w:start w:val="1"/>
      <w:numFmt w:val="decimal"/>
      <w:lvlText w:val="%1.%2.%3."/>
      <w:lvlJc w:val="left"/>
      <w:pPr>
        <w:ind w:left="1287" w:hanging="720"/>
      </w:pPr>
      <w:rPr>
        <w:rFonts w:hint="default"/>
        <w:b w:val="0"/>
        <w:i w:val="0"/>
        <w:color w:val="0D0D0D"/>
        <w:u w:val="none"/>
      </w:rPr>
    </w:lvl>
    <w:lvl w:ilvl="3">
      <w:start w:val="1"/>
      <w:numFmt w:val="decimal"/>
      <w:lvlText w:val="%1.%2.%3.%4."/>
      <w:lvlJc w:val="left"/>
      <w:pPr>
        <w:ind w:left="2880" w:hanging="720"/>
      </w:pPr>
      <w:rPr>
        <w:rFonts w:hint="default"/>
        <w:i w:val="0"/>
        <w:color w:val="0D0D0D"/>
        <w:u w:val="none"/>
      </w:rPr>
    </w:lvl>
    <w:lvl w:ilvl="4">
      <w:start w:val="1"/>
      <w:numFmt w:val="decimal"/>
      <w:lvlText w:val="%1.%2.%3.%4.%5."/>
      <w:lvlJc w:val="left"/>
      <w:pPr>
        <w:ind w:left="3960" w:hanging="1080"/>
      </w:pPr>
      <w:rPr>
        <w:rFonts w:hint="default"/>
        <w:i w:val="0"/>
        <w:color w:val="0D0D0D"/>
        <w:u w:val="none"/>
      </w:rPr>
    </w:lvl>
    <w:lvl w:ilvl="5">
      <w:start w:val="1"/>
      <w:numFmt w:val="decimal"/>
      <w:lvlText w:val="%1.%2.%3.%4.%5.%6."/>
      <w:lvlJc w:val="left"/>
      <w:pPr>
        <w:ind w:left="4680" w:hanging="1080"/>
      </w:pPr>
      <w:rPr>
        <w:rFonts w:hint="default"/>
        <w:i w:val="0"/>
        <w:color w:val="0D0D0D"/>
        <w:u w:val="none"/>
      </w:rPr>
    </w:lvl>
    <w:lvl w:ilvl="6">
      <w:start w:val="1"/>
      <w:numFmt w:val="decimal"/>
      <w:lvlText w:val="%1.%2.%3.%4.%5.%6.%7."/>
      <w:lvlJc w:val="left"/>
      <w:pPr>
        <w:ind w:left="5760" w:hanging="1440"/>
      </w:pPr>
      <w:rPr>
        <w:rFonts w:hint="default"/>
        <w:i w:val="0"/>
        <w:color w:val="0D0D0D"/>
        <w:u w:val="none"/>
      </w:rPr>
    </w:lvl>
    <w:lvl w:ilvl="7">
      <w:start w:val="1"/>
      <w:numFmt w:val="decimal"/>
      <w:lvlText w:val="%1.%2.%3.%4.%5.%6.%7.%8."/>
      <w:lvlJc w:val="left"/>
      <w:pPr>
        <w:ind w:left="6480" w:hanging="1440"/>
      </w:pPr>
      <w:rPr>
        <w:rFonts w:hint="default"/>
        <w:i w:val="0"/>
        <w:color w:val="0D0D0D"/>
        <w:u w:val="none"/>
      </w:rPr>
    </w:lvl>
    <w:lvl w:ilvl="8">
      <w:start w:val="1"/>
      <w:numFmt w:val="decimal"/>
      <w:lvlText w:val="%1.%2.%3.%4.%5.%6.%7.%8.%9."/>
      <w:lvlJc w:val="left"/>
      <w:pPr>
        <w:ind w:left="7560" w:hanging="1800"/>
      </w:pPr>
      <w:rPr>
        <w:rFonts w:hint="default"/>
        <w:i w:val="0"/>
        <w:color w:val="0D0D0D"/>
        <w:u w:val="none"/>
      </w:rPr>
    </w:lvl>
  </w:abstractNum>
  <w:abstractNum w:abstractNumId="2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5"/>
  </w:num>
  <w:num w:numId="3">
    <w:abstractNumId w:val="2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23"/>
  </w:num>
  <w:num w:numId="8">
    <w:abstractNumId w:val="5"/>
  </w:num>
  <w:num w:numId="9">
    <w:abstractNumId w:val="8"/>
  </w:num>
  <w:num w:numId="10">
    <w:abstractNumId w:val="7"/>
  </w:num>
  <w:num w:numId="11">
    <w:abstractNumId w:val="21"/>
  </w:num>
  <w:num w:numId="12">
    <w:abstractNumId w:val="1"/>
  </w:num>
  <w:num w:numId="13">
    <w:abstractNumId w:val="19"/>
  </w:num>
  <w:num w:numId="14">
    <w:abstractNumId w:val="1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26"/>
  </w:num>
  <w:num w:numId="19">
    <w:abstractNumId w:val="9"/>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24"/>
  </w:num>
  <w:num w:numId="24">
    <w:abstractNumId w:val="11"/>
  </w:num>
  <w:num w:numId="25">
    <w:abstractNumId w:val="25"/>
  </w:num>
  <w:num w:numId="26">
    <w:abstractNumId w:val="20"/>
  </w:num>
  <w:num w:numId="27">
    <w:abstractNumId w:val="2"/>
  </w:num>
  <w:num w:numId="28">
    <w:abstractNumId w:val="10"/>
  </w:num>
  <w:num w:numId="29">
    <w:abstractNumId w:val="4"/>
  </w:num>
  <w:num w:numId="30">
    <w:abstractNumId w:val="14"/>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164"/>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CAE"/>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46C2"/>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613"/>
    <w:rsid w:val="000A5D44"/>
    <w:rsid w:val="000A6F4B"/>
    <w:rsid w:val="000A728D"/>
    <w:rsid w:val="000A7917"/>
    <w:rsid w:val="000A7982"/>
    <w:rsid w:val="000A7CB2"/>
    <w:rsid w:val="000B05A7"/>
    <w:rsid w:val="000B0DAD"/>
    <w:rsid w:val="000B195B"/>
    <w:rsid w:val="000B2292"/>
    <w:rsid w:val="000B2E91"/>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0E1"/>
    <w:rsid w:val="000E23A9"/>
    <w:rsid w:val="000E2730"/>
    <w:rsid w:val="000E3DAF"/>
    <w:rsid w:val="000E3FB5"/>
    <w:rsid w:val="000E42D4"/>
    <w:rsid w:val="000E447A"/>
    <w:rsid w:val="000E4CF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1C38"/>
    <w:rsid w:val="00132189"/>
    <w:rsid w:val="00133335"/>
    <w:rsid w:val="00133E82"/>
    <w:rsid w:val="0013415A"/>
    <w:rsid w:val="00134483"/>
    <w:rsid w:val="001356C4"/>
    <w:rsid w:val="001359F2"/>
    <w:rsid w:val="00135C74"/>
    <w:rsid w:val="001360DA"/>
    <w:rsid w:val="00137049"/>
    <w:rsid w:val="00137058"/>
    <w:rsid w:val="001375B9"/>
    <w:rsid w:val="0014020C"/>
    <w:rsid w:val="00140430"/>
    <w:rsid w:val="00140D16"/>
    <w:rsid w:val="0014145E"/>
    <w:rsid w:val="0014217F"/>
    <w:rsid w:val="001424DF"/>
    <w:rsid w:val="00144406"/>
    <w:rsid w:val="0014488E"/>
    <w:rsid w:val="001455DC"/>
    <w:rsid w:val="00145681"/>
    <w:rsid w:val="00147F91"/>
    <w:rsid w:val="00150965"/>
    <w:rsid w:val="00150AED"/>
    <w:rsid w:val="00151680"/>
    <w:rsid w:val="001517CB"/>
    <w:rsid w:val="00151DFD"/>
    <w:rsid w:val="00152E08"/>
    <w:rsid w:val="001533C9"/>
    <w:rsid w:val="001544A0"/>
    <w:rsid w:val="001545B9"/>
    <w:rsid w:val="00154E82"/>
    <w:rsid w:val="001551AA"/>
    <w:rsid w:val="001553CB"/>
    <w:rsid w:val="00155ABE"/>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10"/>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45E2"/>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321F"/>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5F4"/>
    <w:rsid w:val="00202820"/>
    <w:rsid w:val="002034C6"/>
    <w:rsid w:val="00204893"/>
    <w:rsid w:val="002064B2"/>
    <w:rsid w:val="00206581"/>
    <w:rsid w:val="00206B28"/>
    <w:rsid w:val="00206D52"/>
    <w:rsid w:val="00207546"/>
    <w:rsid w:val="00212948"/>
    <w:rsid w:val="00212CEB"/>
    <w:rsid w:val="00213370"/>
    <w:rsid w:val="00213DC7"/>
    <w:rsid w:val="00214D3E"/>
    <w:rsid w:val="00215518"/>
    <w:rsid w:val="00215B46"/>
    <w:rsid w:val="0021658D"/>
    <w:rsid w:val="00216C49"/>
    <w:rsid w:val="00217CC9"/>
    <w:rsid w:val="002202C0"/>
    <w:rsid w:val="00220806"/>
    <w:rsid w:val="00221BD3"/>
    <w:rsid w:val="00221F25"/>
    <w:rsid w:val="0022302A"/>
    <w:rsid w:val="00223423"/>
    <w:rsid w:val="002247B4"/>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23FF"/>
    <w:rsid w:val="00243A26"/>
    <w:rsid w:val="00244464"/>
    <w:rsid w:val="00244C83"/>
    <w:rsid w:val="0024534E"/>
    <w:rsid w:val="0024542B"/>
    <w:rsid w:val="00245459"/>
    <w:rsid w:val="002500FD"/>
    <w:rsid w:val="00250B97"/>
    <w:rsid w:val="00250CE9"/>
    <w:rsid w:val="00254BD7"/>
    <w:rsid w:val="00254DD2"/>
    <w:rsid w:val="00254DEB"/>
    <w:rsid w:val="0025567D"/>
    <w:rsid w:val="002560F6"/>
    <w:rsid w:val="0025678E"/>
    <w:rsid w:val="00261041"/>
    <w:rsid w:val="00262A8E"/>
    <w:rsid w:val="00262BF0"/>
    <w:rsid w:val="00263486"/>
    <w:rsid w:val="002658C8"/>
    <w:rsid w:val="0026629F"/>
    <w:rsid w:val="00271883"/>
    <w:rsid w:val="00271BDD"/>
    <w:rsid w:val="00273E4F"/>
    <w:rsid w:val="00274F26"/>
    <w:rsid w:val="002750A9"/>
    <w:rsid w:val="00276080"/>
    <w:rsid w:val="002761CF"/>
    <w:rsid w:val="002779B6"/>
    <w:rsid w:val="002809D1"/>
    <w:rsid w:val="00281259"/>
    <w:rsid w:val="00284A3E"/>
    <w:rsid w:val="00286113"/>
    <w:rsid w:val="00287336"/>
    <w:rsid w:val="00287AF3"/>
    <w:rsid w:val="00287BD3"/>
    <w:rsid w:val="00290DF7"/>
    <w:rsid w:val="002911E0"/>
    <w:rsid w:val="00294FEB"/>
    <w:rsid w:val="00295084"/>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69B6"/>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60FE"/>
    <w:rsid w:val="00337128"/>
    <w:rsid w:val="003402EB"/>
    <w:rsid w:val="00340483"/>
    <w:rsid w:val="003411BB"/>
    <w:rsid w:val="003413ED"/>
    <w:rsid w:val="00341B98"/>
    <w:rsid w:val="0034388E"/>
    <w:rsid w:val="00344CD0"/>
    <w:rsid w:val="00345F47"/>
    <w:rsid w:val="00346B78"/>
    <w:rsid w:val="00346CAF"/>
    <w:rsid w:val="00346DD2"/>
    <w:rsid w:val="00347D79"/>
    <w:rsid w:val="00347EAE"/>
    <w:rsid w:val="00352452"/>
    <w:rsid w:val="003528E2"/>
    <w:rsid w:val="00353667"/>
    <w:rsid w:val="0035370A"/>
    <w:rsid w:val="00353F0D"/>
    <w:rsid w:val="003547CC"/>
    <w:rsid w:val="00356B98"/>
    <w:rsid w:val="0036218B"/>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01DA"/>
    <w:rsid w:val="0038366D"/>
    <w:rsid w:val="00385388"/>
    <w:rsid w:val="00386292"/>
    <w:rsid w:val="00386B89"/>
    <w:rsid w:val="00386CFC"/>
    <w:rsid w:val="0038714A"/>
    <w:rsid w:val="00387225"/>
    <w:rsid w:val="00387F4C"/>
    <w:rsid w:val="00392E18"/>
    <w:rsid w:val="0039313E"/>
    <w:rsid w:val="00393F29"/>
    <w:rsid w:val="003946FA"/>
    <w:rsid w:val="00394F97"/>
    <w:rsid w:val="0039602C"/>
    <w:rsid w:val="003977D6"/>
    <w:rsid w:val="003A19B4"/>
    <w:rsid w:val="003A1F31"/>
    <w:rsid w:val="003A302E"/>
    <w:rsid w:val="003A56A5"/>
    <w:rsid w:val="003A5B6A"/>
    <w:rsid w:val="003A7AF4"/>
    <w:rsid w:val="003B00F8"/>
    <w:rsid w:val="003B1628"/>
    <w:rsid w:val="003B2097"/>
    <w:rsid w:val="003B520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4C91"/>
    <w:rsid w:val="00405A3C"/>
    <w:rsid w:val="00405AED"/>
    <w:rsid w:val="00405CA6"/>
    <w:rsid w:val="00406A3E"/>
    <w:rsid w:val="0040741C"/>
    <w:rsid w:val="00411FC8"/>
    <w:rsid w:val="00412178"/>
    <w:rsid w:val="00412821"/>
    <w:rsid w:val="00413F41"/>
    <w:rsid w:val="00413F60"/>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3F9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A54"/>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1657"/>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62C7"/>
    <w:rsid w:val="004E783F"/>
    <w:rsid w:val="004E7915"/>
    <w:rsid w:val="004E7B46"/>
    <w:rsid w:val="004E7B90"/>
    <w:rsid w:val="004F04E7"/>
    <w:rsid w:val="004F1150"/>
    <w:rsid w:val="004F2383"/>
    <w:rsid w:val="004F2B9F"/>
    <w:rsid w:val="004F2DF6"/>
    <w:rsid w:val="004F6851"/>
    <w:rsid w:val="004F6937"/>
    <w:rsid w:val="004F6F96"/>
    <w:rsid w:val="004F7D20"/>
    <w:rsid w:val="00500AE6"/>
    <w:rsid w:val="00500DC4"/>
    <w:rsid w:val="00500FB0"/>
    <w:rsid w:val="00501456"/>
    <w:rsid w:val="00502931"/>
    <w:rsid w:val="005037E3"/>
    <w:rsid w:val="005037EB"/>
    <w:rsid w:val="0050667C"/>
    <w:rsid w:val="00507204"/>
    <w:rsid w:val="00507605"/>
    <w:rsid w:val="0051044C"/>
    <w:rsid w:val="0051156C"/>
    <w:rsid w:val="00512A1A"/>
    <w:rsid w:val="0051318B"/>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191"/>
    <w:rsid w:val="00526462"/>
    <w:rsid w:val="0052674A"/>
    <w:rsid w:val="00526EA4"/>
    <w:rsid w:val="00527035"/>
    <w:rsid w:val="00527887"/>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4E50"/>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7A6"/>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A3C"/>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1E3B"/>
    <w:rsid w:val="00673642"/>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3879"/>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1781"/>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7F0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0EE8"/>
    <w:rsid w:val="00832BF6"/>
    <w:rsid w:val="00834020"/>
    <w:rsid w:val="008348BC"/>
    <w:rsid w:val="0083597E"/>
    <w:rsid w:val="00841C7D"/>
    <w:rsid w:val="00843343"/>
    <w:rsid w:val="0084382C"/>
    <w:rsid w:val="00843F8F"/>
    <w:rsid w:val="0084454F"/>
    <w:rsid w:val="008459BE"/>
    <w:rsid w:val="00845DB4"/>
    <w:rsid w:val="00850031"/>
    <w:rsid w:val="00850CF2"/>
    <w:rsid w:val="00853651"/>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3D4"/>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5D0"/>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9D1"/>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725"/>
    <w:rsid w:val="008E4488"/>
    <w:rsid w:val="008E47B0"/>
    <w:rsid w:val="008E59C7"/>
    <w:rsid w:val="008E6A83"/>
    <w:rsid w:val="008E71DC"/>
    <w:rsid w:val="008F03D9"/>
    <w:rsid w:val="008F0FC2"/>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4DA6"/>
    <w:rsid w:val="00945DA7"/>
    <w:rsid w:val="00946201"/>
    <w:rsid w:val="0094756A"/>
    <w:rsid w:val="009514B7"/>
    <w:rsid w:val="00951B4D"/>
    <w:rsid w:val="00951EB0"/>
    <w:rsid w:val="009529E2"/>
    <w:rsid w:val="0095552F"/>
    <w:rsid w:val="00955B2F"/>
    <w:rsid w:val="00956004"/>
    <w:rsid w:val="00957F11"/>
    <w:rsid w:val="00960424"/>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925"/>
    <w:rsid w:val="00991A97"/>
    <w:rsid w:val="00992BB4"/>
    <w:rsid w:val="00992E5C"/>
    <w:rsid w:val="00996141"/>
    <w:rsid w:val="00997191"/>
    <w:rsid w:val="009973F1"/>
    <w:rsid w:val="009976CA"/>
    <w:rsid w:val="0099785C"/>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C16"/>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488F"/>
    <w:rsid w:val="00A4719E"/>
    <w:rsid w:val="00A474DA"/>
    <w:rsid w:val="00A47DE6"/>
    <w:rsid w:val="00A507D3"/>
    <w:rsid w:val="00A51520"/>
    <w:rsid w:val="00A5490D"/>
    <w:rsid w:val="00A55034"/>
    <w:rsid w:val="00A55B74"/>
    <w:rsid w:val="00A55B85"/>
    <w:rsid w:val="00A56356"/>
    <w:rsid w:val="00A56EB6"/>
    <w:rsid w:val="00A5735C"/>
    <w:rsid w:val="00A5791D"/>
    <w:rsid w:val="00A615B1"/>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5556"/>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0AF"/>
    <w:rsid w:val="00AC171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8D2"/>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280F"/>
    <w:rsid w:val="00B143FD"/>
    <w:rsid w:val="00B15AB2"/>
    <w:rsid w:val="00B17173"/>
    <w:rsid w:val="00B17A4D"/>
    <w:rsid w:val="00B17A8C"/>
    <w:rsid w:val="00B201FB"/>
    <w:rsid w:val="00B2020B"/>
    <w:rsid w:val="00B20AD8"/>
    <w:rsid w:val="00B21950"/>
    <w:rsid w:val="00B2264A"/>
    <w:rsid w:val="00B233D9"/>
    <w:rsid w:val="00B239E5"/>
    <w:rsid w:val="00B23C97"/>
    <w:rsid w:val="00B23D44"/>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4F0D"/>
    <w:rsid w:val="00B750A1"/>
    <w:rsid w:val="00B75678"/>
    <w:rsid w:val="00B75CC2"/>
    <w:rsid w:val="00B7676E"/>
    <w:rsid w:val="00B77E4E"/>
    <w:rsid w:val="00B824C3"/>
    <w:rsid w:val="00B83308"/>
    <w:rsid w:val="00B840E7"/>
    <w:rsid w:val="00B846E9"/>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73"/>
    <w:rsid w:val="00BA2DD9"/>
    <w:rsid w:val="00BA3CD9"/>
    <w:rsid w:val="00BA3DDE"/>
    <w:rsid w:val="00BA4874"/>
    <w:rsid w:val="00BA4AFA"/>
    <w:rsid w:val="00BA6E66"/>
    <w:rsid w:val="00BA71F1"/>
    <w:rsid w:val="00BA7C79"/>
    <w:rsid w:val="00BB16C3"/>
    <w:rsid w:val="00BB1882"/>
    <w:rsid w:val="00BB3B85"/>
    <w:rsid w:val="00BB40CB"/>
    <w:rsid w:val="00BB450B"/>
    <w:rsid w:val="00BB5056"/>
    <w:rsid w:val="00BB5637"/>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EE4"/>
    <w:rsid w:val="00C05F75"/>
    <w:rsid w:val="00C07C40"/>
    <w:rsid w:val="00C10405"/>
    <w:rsid w:val="00C114EB"/>
    <w:rsid w:val="00C134FD"/>
    <w:rsid w:val="00C13760"/>
    <w:rsid w:val="00C14EE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467F"/>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0EA"/>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0CA"/>
    <w:rsid w:val="00D367E9"/>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51F"/>
    <w:rsid w:val="00DB0B73"/>
    <w:rsid w:val="00DB199A"/>
    <w:rsid w:val="00DB2CFA"/>
    <w:rsid w:val="00DB5CD4"/>
    <w:rsid w:val="00DB70A2"/>
    <w:rsid w:val="00DC02C1"/>
    <w:rsid w:val="00DC238A"/>
    <w:rsid w:val="00DC47B8"/>
    <w:rsid w:val="00DC623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31E"/>
    <w:rsid w:val="00DE3FDB"/>
    <w:rsid w:val="00DE7346"/>
    <w:rsid w:val="00DF0328"/>
    <w:rsid w:val="00DF244B"/>
    <w:rsid w:val="00DF3526"/>
    <w:rsid w:val="00DF5512"/>
    <w:rsid w:val="00E0006C"/>
    <w:rsid w:val="00E01A5B"/>
    <w:rsid w:val="00E02F53"/>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32C"/>
    <w:rsid w:val="00E51C02"/>
    <w:rsid w:val="00E51E20"/>
    <w:rsid w:val="00E525A8"/>
    <w:rsid w:val="00E531D4"/>
    <w:rsid w:val="00E5458B"/>
    <w:rsid w:val="00E5667E"/>
    <w:rsid w:val="00E56C11"/>
    <w:rsid w:val="00E56D3D"/>
    <w:rsid w:val="00E57181"/>
    <w:rsid w:val="00E579C6"/>
    <w:rsid w:val="00E610BB"/>
    <w:rsid w:val="00E619B3"/>
    <w:rsid w:val="00E6279F"/>
    <w:rsid w:val="00E62F5F"/>
    <w:rsid w:val="00E639BE"/>
    <w:rsid w:val="00E6525F"/>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0F10"/>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A18"/>
    <w:rsid w:val="00ED0E4D"/>
    <w:rsid w:val="00ED142B"/>
    <w:rsid w:val="00ED251D"/>
    <w:rsid w:val="00ED261F"/>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0E96"/>
    <w:rsid w:val="00EF2E30"/>
    <w:rsid w:val="00EF3629"/>
    <w:rsid w:val="00EF3C48"/>
    <w:rsid w:val="00EF4682"/>
    <w:rsid w:val="00EF5709"/>
    <w:rsid w:val="00EF6607"/>
    <w:rsid w:val="00EF6B6B"/>
    <w:rsid w:val="00EF6D45"/>
    <w:rsid w:val="00EF760D"/>
    <w:rsid w:val="00EF7951"/>
    <w:rsid w:val="00EF7BEF"/>
    <w:rsid w:val="00F0116D"/>
    <w:rsid w:val="00F013FB"/>
    <w:rsid w:val="00F01EEE"/>
    <w:rsid w:val="00F04150"/>
    <w:rsid w:val="00F05AEF"/>
    <w:rsid w:val="00F05D6D"/>
    <w:rsid w:val="00F10EED"/>
    <w:rsid w:val="00F10F17"/>
    <w:rsid w:val="00F1148D"/>
    <w:rsid w:val="00F11E82"/>
    <w:rsid w:val="00F15158"/>
    <w:rsid w:val="00F1662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C7"/>
    <w:rsid w:val="00F416E4"/>
    <w:rsid w:val="00F42975"/>
    <w:rsid w:val="00F4299B"/>
    <w:rsid w:val="00F42B48"/>
    <w:rsid w:val="00F43744"/>
    <w:rsid w:val="00F43D78"/>
    <w:rsid w:val="00F43EC1"/>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668"/>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033"/>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4BE"/>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customStyle="1" w:styleId="Default">
    <w:name w:val="Default"/>
    <w:rsid w:val="0067364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4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2491763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82967919">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18C52-F460-4CD8-A109-CA682A1E755F}">
  <ds:schemaRefs>
    <ds:schemaRef ds:uri="http://schemas.openxmlformats.org/officeDocument/2006/bibliography"/>
  </ds:schemaRefs>
</ds:datastoreItem>
</file>

<file path=customXml/itemProps2.xml><?xml version="1.0" encoding="utf-8"?>
<ds:datastoreItem xmlns:ds="http://schemas.openxmlformats.org/officeDocument/2006/customXml" ds:itemID="{90DF8058-FE4A-451C-B7C6-CAC563C3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5524</Words>
  <Characters>38838</Characters>
  <Application>Microsoft Office Word</Application>
  <DocSecurity>0</DocSecurity>
  <Lines>323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Vaida Buklienė</cp:lastModifiedBy>
  <cp:revision>18</cp:revision>
  <cp:lastPrinted>2018-07-05T06:33:00Z</cp:lastPrinted>
  <dcterms:created xsi:type="dcterms:W3CDTF">2019-12-11T12:14:00Z</dcterms:created>
  <dcterms:modified xsi:type="dcterms:W3CDTF">2020-02-14T11:22:00Z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Mindaugas.Brusokas@le.lt</vt:lpwstr>
  </property>
  <property fmtid="{D5CDD505-2E9C-101B-9397-08002B2CF9AE}" pid="153" name="MSIP_Label_320c693d-44b7-4e16-b3dd-4fcd87401cf5_SetDate">
    <vt:lpwstr>2019-03-04T13:10:14.3055076Z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Mindaugas.Brusokas@le.lt</vt:lpwstr>
  </property>
  <property fmtid="{D5CDD505-2E9C-101B-9397-08002B2CF9AE}" pid="160" name="MSIP_Label_190751af-2442-49a7-b7b9-9f0bcce858c9_SetDate">
    <vt:lpwstr>2019-03-04T13:10:14.3055076Z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