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91B8" w14:textId="4DB247CF" w:rsidR="004F3828" w:rsidRPr="006E0E7D" w:rsidRDefault="006D58A2" w:rsidP="00FF69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0E7D">
        <w:rPr>
          <w:rFonts w:ascii="Times New Roman" w:hAnsi="Times New Roman" w:cs="Times New Roman"/>
          <w:b/>
          <w:bCs/>
          <w:sz w:val="22"/>
          <w:szCs w:val="22"/>
        </w:rPr>
        <w:t xml:space="preserve">PROCESŲ, VYKDOMŲ  ŪKIO SUBJEKTŲ, VEIKIANČIŲ ŪKINIŲ GYVŪNŲ VEISLININKYSTĖS SRITYJE, AUTOMATIZAVIMO TECHNINĖ SPECIFIKACIJA </w:t>
      </w:r>
    </w:p>
    <w:p w14:paraId="7495ADE2" w14:textId="48A30B8E" w:rsidR="00FF69CB" w:rsidRDefault="00FF69CB" w:rsidP="00FF69CB">
      <w:pPr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8942084" w14:textId="77777777" w:rsidR="004A2E28" w:rsidRPr="004A2E28" w:rsidRDefault="006907C1" w:rsidP="002E1EE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A2E28">
        <w:rPr>
          <w:rFonts w:ascii="Times New Roman" w:hAnsi="Times New Roman" w:cs="Times New Roman"/>
          <w:b/>
          <w:bCs/>
          <w:sz w:val="22"/>
          <w:szCs w:val="22"/>
        </w:rPr>
        <w:t>Pirkimo objektas</w:t>
      </w:r>
      <w:r w:rsidR="006D58A2" w:rsidRPr="004A2E28">
        <w:rPr>
          <w:rFonts w:ascii="Times New Roman" w:hAnsi="Times New Roman" w:cs="Times New Roman"/>
          <w:b/>
          <w:bCs/>
          <w:sz w:val="22"/>
          <w:szCs w:val="22"/>
        </w:rPr>
        <w:t xml:space="preserve"> –</w:t>
      </w:r>
      <w:r w:rsidR="006A526F" w:rsidRPr="004A2E2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2E28" w:rsidRPr="004A2E28">
        <w:rPr>
          <w:rFonts w:ascii="Times New Roman" w:hAnsi="Times New Roman" w:cs="Times New Roman"/>
          <w:b/>
          <w:bCs/>
          <w:sz w:val="22"/>
          <w:szCs w:val="22"/>
        </w:rPr>
        <w:t>Vidaus veiklos procesų automatizavimas.</w:t>
      </w:r>
    </w:p>
    <w:p w14:paraId="1ED7B436" w14:textId="23252F68" w:rsidR="002E1EE1" w:rsidRPr="007C5212" w:rsidRDefault="004A2E28" w:rsidP="002E1EE1">
      <w:pPr>
        <w:pStyle w:val="ListParagraph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C5212">
        <w:rPr>
          <w:rFonts w:ascii="Times New Roman" w:hAnsi="Times New Roman" w:cs="Times New Roman"/>
          <w:sz w:val="22"/>
          <w:szCs w:val="22"/>
        </w:rPr>
        <w:t xml:space="preserve">Turi būti sukurti  </w:t>
      </w:r>
      <w:r w:rsidR="006A526F" w:rsidRPr="007C5212">
        <w:rPr>
          <w:rFonts w:ascii="Times New Roman" w:hAnsi="Times New Roman" w:cs="Times New Roman"/>
          <w:sz w:val="22"/>
          <w:szCs w:val="22"/>
        </w:rPr>
        <w:t>nuolatini</w:t>
      </w:r>
      <w:r w:rsidRPr="007C5212">
        <w:rPr>
          <w:rFonts w:ascii="Times New Roman" w:hAnsi="Times New Roman" w:cs="Times New Roman"/>
          <w:sz w:val="22"/>
          <w:szCs w:val="22"/>
        </w:rPr>
        <w:t>ai</w:t>
      </w:r>
      <w:r w:rsidR="006A526F" w:rsidRPr="007C5212">
        <w:rPr>
          <w:rFonts w:ascii="Times New Roman" w:hAnsi="Times New Roman" w:cs="Times New Roman"/>
          <w:sz w:val="22"/>
          <w:szCs w:val="22"/>
        </w:rPr>
        <w:t xml:space="preserve"> automatizuot</w:t>
      </w:r>
      <w:r w:rsidRPr="007C5212">
        <w:rPr>
          <w:rFonts w:ascii="Times New Roman" w:hAnsi="Times New Roman" w:cs="Times New Roman"/>
          <w:sz w:val="22"/>
          <w:szCs w:val="22"/>
        </w:rPr>
        <w:t>i</w:t>
      </w:r>
      <w:r w:rsidR="006A526F" w:rsidRPr="007C5212">
        <w:rPr>
          <w:rFonts w:ascii="Times New Roman" w:hAnsi="Times New Roman" w:cs="Times New Roman"/>
          <w:sz w:val="22"/>
          <w:szCs w:val="22"/>
        </w:rPr>
        <w:t xml:space="preserve"> įranki</w:t>
      </w:r>
      <w:r w:rsidRPr="007C5212">
        <w:rPr>
          <w:rFonts w:ascii="Times New Roman" w:hAnsi="Times New Roman" w:cs="Times New Roman"/>
          <w:sz w:val="22"/>
          <w:szCs w:val="22"/>
        </w:rPr>
        <w:t xml:space="preserve">ai, kuriais </w:t>
      </w:r>
      <w:r w:rsidR="006A526F" w:rsidRPr="007C5212">
        <w:rPr>
          <w:rFonts w:ascii="Times New Roman" w:hAnsi="Times New Roman" w:cs="Times New Roman"/>
          <w:sz w:val="22"/>
          <w:szCs w:val="22"/>
        </w:rPr>
        <w:t xml:space="preserve">Žemės ūkio agentūros darbuotojams naudojantis </w:t>
      </w:r>
      <w:r w:rsidR="002E1EE1" w:rsidRPr="007C5212">
        <w:rPr>
          <w:rFonts w:ascii="Times New Roman" w:hAnsi="Times New Roman" w:cs="Times New Roman"/>
          <w:sz w:val="22"/>
          <w:szCs w:val="22"/>
        </w:rPr>
        <w:t>būtų galimybė:</w:t>
      </w:r>
    </w:p>
    <w:p w14:paraId="65E4044D" w14:textId="25A96EC1" w:rsidR="00DB075C" w:rsidRPr="007C5212" w:rsidRDefault="007C5212" w:rsidP="007C521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C5212">
        <w:rPr>
          <w:rFonts w:ascii="Times New Roman" w:hAnsi="Times New Roman" w:cs="Times New Roman"/>
          <w:sz w:val="22"/>
          <w:szCs w:val="22"/>
        </w:rPr>
        <w:t>I</w:t>
      </w:r>
      <w:r w:rsidR="006A526F" w:rsidRPr="007C5212">
        <w:rPr>
          <w:rFonts w:ascii="Times New Roman" w:hAnsi="Times New Roman" w:cs="Times New Roman"/>
          <w:sz w:val="22"/>
          <w:szCs w:val="22"/>
        </w:rPr>
        <w:t>dentifikuoti ūkio subjektus</w:t>
      </w:r>
      <w:r w:rsidR="005F0C96" w:rsidRPr="007C5212">
        <w:rPr>
          <w:rFonts w:ascii="Times New Roman" w:hAnsi="Times New Roman" w:cs="Times New Roman"/>
          <w:sz w:val="22"/>
          <w:szCs w:val="22"/>
        </w:rPr>
        <w:t>, veikiančius ūkinių gyvūnų veislininkystės srityje,</w:t>
      </w:r>
      <w:r w:rsidR="002A492E" w:rsidRPr="007C5212">
        <w:rPr>
          <w:rFonts w:ascii="Times New Roman" w:hAnsi="Times New Roman" w:cs="Times New Roman"/>
          <w:sz w:val="22"/>
          <w:szCs w:val="22"/>
        </w:rPr>
        <w:t xml:space="preserve"> ir </w:t>
      </w:r>
      <w:r w:rsidR="006A526F" w:rsidRPr="007C5212">
        <w:rPr>
          <w:rFonts w:ascii="Times New Roman" w:hAnsi="Times New Roman" w:cs="Times New Roman"/>
          <w:sz w:val="22"/>
          <w:szCs w:val="22"/>
        </w:rPr>
        <w:t>nustatyti šių subjektų veiklos rizikingumą</w:t>
      </w:r>
      <w:r w:rsidR="002A492E" w:rsidRPr="007C521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D841B5F" w14:textId="5435D7A0" w:rsidR="006907C1" w:rsidRPr="007C5212" w:rsidRDefault="007C5212" w:rsidP="002E1EE1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DB075C" w:rsidRPr="007C5212">
        <w:rPr>
          <w:rFonts w:ascii="Times New Roman" w:hAnsi="Times New Roman" w:cs="Times New Roman"/>
          <w:sz w:val="22"/>
          <w:szCs w:val="22"/>
        </w:rPr>
        <w:t xml:space="preserve">tlikti </w:t>
      </w:r>
      <w:r w:rsidRPr="007C5212">
        <w:rPr>
          <w:rFonts w:ascii="Times New Roman" w:hAnsi="Times New Roman" w:cs="Times New Roman"/>
          <w:sz w:val="22"/>
          <w:szCs w:val="22"/>
        </w:rPr>
        <w:t xml:space="preserve">duomenų, pateiktų pažymose dėl pagalbos veislininkystei lėšų skyrimo, </w:t>
      </w:r>
      <w:r w:rsidR="00736E24" w:rsidRPr="007C5212">
        <w:rPr>
          <w:rFonts w:ascii="Times New Roman" w:hAnsi="Times New Roman" w:cs="Times New Roman"/>
          <w:sz w:val="22"/>
          <w:szCs w:val="22"/>
        </w:rPr>
        <w:t>patikrinimą</w:t>
      </w:r>
      <w:r w:rsidR="002A492E" w:rsidRPr="007C5212">
        <w:rPr>
          <w:rFonts w:ascii="Times New Roman" w:hAnsi="Times New Roman" w:cs="Times New Roman"/>
          <w:sz w:val="22"/>
          <w:szCs w:val="22"/>
        </w:rPr>
        <w:t xml:space="preserve">. </w:t>
      </w:r>
      <w:r w:rsidR="006A526F" w:rsidRPr="007C521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F51283B" w14:textId="77777777" w:rsidR="006907C1" w:rsidRDefault="006907C1" w:rsidP="006907C1">
      <w:pPr>
        <w:pStyle w:val="ListParagraph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762"/>
        <w:gridCol w:w="6"/>
        <w:gridCol w:w="7147"/>
        <w:gridCol w:w="1559"/>
      </w:tblGrid>
      <w:tr w:rsidR="007C5212" w14:paraId="34EB05DA" w14:textId="77777777" w:rsidTr="003A6746">
        <w:tc>
          <w:tcPr>
            <w:tcW w:w="693" w:type="dxa"/>
          </w:tcPr>
          <w:p w14:paraId="3F3050B1" w14:textId="2B0C9AD4" w:rsidR="007C5212" w:rsidRPr="00294F1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4F14">
              <w:rPr>
                <w:rFonts w:ascii="Times New Roman" w:hAnsi="Times New Roman" w:cs="Times New Roman"/>
                <w:sz w:val="22"/>
                <w:szCs w:val="22"/>
              </w:rPr>
              <w:t xml:space="preserve">Eil. Nr. </w:t>
            </w:r>
          </w:p>
        </w:tc>
        <w:tc>
          <w:tcPr>
            <w:tcW w:w="10915" w:type="dxa"/>
            <w:gridSpan w:val="3"/>
          </w:tcPr>
          <w:p w14:paraId="4A091674" w14:textId="290AD760" w:rsidR="007C5212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Automatizuojamas  procesas</w:t>
            </w:r>
          </w:p>
        </w:tc>
        <w:tc>
          <w:tcPr>
            <w:tcW w:w="1559" w:type="dxa"/>
          </w:tcPr>
          <w:p w14:paraId="59AF4B5D" w14:textId="2374345A" w:rsidR="007C5212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Terminai </w:t>
            </w:r>
          </w:p>
        </w:tc>
      </w:tr>
      <w:tr w:rsidR="007C5212" w14:paraId="7761E83D" w14:textId="77777777" w:rsidTr="00732C82">
        <w:tc>
          <w:tcPr>
            <w:tcW w:w="693" w:type="dxa"/>
          </w:tcPr>
          <w:p w14:paraId="2345DF66" w14:textId="7519E39A" w:rsidR="007C5212" w:rsidRPr="00294F1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4F1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915" w:type="dxa"/>
            <w:gridSpan w:val="3"/>
          </w:tcPr>
          <w:p w14:paraId="442476BA" w14:textId="3118C10F" w:rsidR="007C5212" w:rsidRPr="007C5212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52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identifikuoti ūkio subjektus, veikiančius ūkinių gyvūnų veislininkystės srityje, ir nustatyti šių subjektų veiklos rizikingumą;</w:t>
            </w:r>
          </w:p>
        </w:tc>
        <w:tc>
          <w:tcPr>
            <w:tcW w:w="1559" w:type="dxa"/>
          </w:tcPr>
          <w:p w14:paraId="45EB8534" w14:textId="632B7C27" w:rsidR="007C5212" w:rsidRDefault="007C5212" w:rsidP="007C521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212" w14:paraId="50B3EF2B" w14:textId="77777777" w:rsidTr="007C5212">
        <w:tc>
          <w:tcPr>
            <w:tcW w:w="693" w:type="dxa"/>
          </w:tcPr>
          <w:p w14:paraId="7EECF777" w14:textId="77777777" w:rsidR="007C5212" w:rsidRPr="00294F1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8" w:type="dxa"/>
            <w:gridSpan w:val="2"/>
          </w:tcPr>
          <w:p w14:paraId="63DE91B4" w14:textId="3FB338C3" w:rsidR="007C5212" w:rsidRPr="007C5212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automatizuojamo proceso veiksmas </w:t>
            </w:r>
          </w:p>
        </w:tc>
        <w:tc>
          <w:tcPr>
            <w:tcW w:w="7147" w:type="dxa"/>
          </w:tcPr>
          <w:p w14:paraId="2E56B723" w14:textId="603A004D" w:rsidR="007C5212" w:rsidRPr="007C5212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Reikalavimai</w:t>
            </w:r>
          </w:p>
        </w:tc>
        <w:tc>
          <w:tcPr>
            <w:tcW w:w="1559" w:type="dxa"/>
          </w:tcPr>
          <w:p w14:paraId="6C88A1CC" w14:textId="5D700AAF" w:rsidR="007C5212" w:rsidRDefault="007C5212" w:rsidP="007C521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273E" w14:paraId="0388227D" w14:textId="77777777" w:rsidTr="0045273E">
        <w:tc>
          <w:tcPr>
            <w:tcW w:w="693" w:type="dxa"/>
          </w:tcPr>
          <w:p w14:paraId="4AD8D5E3" w14:textId="7D3D92B6" w:rsidR="0045273E" w:rsidRPr="00294F14" w:rsidRDefault="009951B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4F1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C5212" w:rsidRPr="00294F1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62" w:type="dxa"/>
          </w:tcPr>
          <w:p w14:paraId="7B92490B" w14:textId="14BBDFC3" w:rsidR="0045273E" w:rsidRDefault="005B47C9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47C9">
              <w:rPr>
                <w:rFonts w:ascii="Times New Roman" w:hAnsi="Times New Roman" w:cs="Times New Roman"/>
                <w:sz w:val="22"/>
                <w:szCs w:val="22"/>
              </w:rPr>
              <w:t>Ūkinių gyvūnų registro (toliau – ŪGR) ir Ūkinių gyvūnų veislininkystės informacinės sistemos (toliau – ŪGVIS) duomenų gavimas</w:t>
            </w:r>
            <w:r w:rsidR="00345F6E">
              <w:rPr>
                <w:rFonts w:ascii="Times New Roman" w:hAnsi="Times New Roman" w:cs="Times New Roman"/>
                <w:sz w:val="22"/>
                <w:szCs w:val="22"/>
              </w:rPr>
              <w:t xml:space="preserve"> iš </w:t>
            </w:r>
            <w:r w:rsidR="00E4047F">
              <w:rPr>
                <w:rFonts w:ascii="Times New Roman" w:hAnsi="Times New Roman" w:cs="Times New Roman"/>
                <w:sz w:val="22"/>
                <w:szCs w:val="22"/>
              </w:rPr>
              <w:t xml:space="preserve">VĮ </w:t>
            </w:r>
            <w:r w:rsidR="00345F6E">
              <w:rPr>
                <w:rFonts w:ascii="Times New Roman" w:hAnsi="Times New Roman" w:cs="Times New Roman"/>
                <w:sz w:val="22"/>
                <w:szCs w:val="22"/>
              </w:rPr>
              <w:t>Ž</w:t>
            </w:r>
            <w:r w:rsidR="00E4047F">
              <w:rPr>
                <w:rFonts w:ascii="Times New Roman" w:hAnsi="Times New Roman" w:cs="Times New Roman"/>
                <w:sz w:val="22"/>
                <w:szCs w:val="22"/>
              </w:rPr>
              <w:t>emės ūkio duo</w:t>
            </w:r>
            <w:r w:rsidR="00FC5BE6">
              <w:rPr>
                <w:rFonts w:ascii="Times New Roman" w:hAnsi="Times New Roman" w:cs="Times New Roman"/>
                <w:sz w:val="22"/>
                <w:szCs w:val="22"/>
              </w:rPr>
              <w:t xml:space="preserve">menų centro </w:t>
            </w:r>
          </w:p>
        </w:tc>
        <w:tc>
          <w:tcPr>
            <w:tcW w:w="7153" w:type="dxa"/>
            <w:gridSpan w:val="2"/>
          </w:tcPr>
          <w:p w14:paraId="4F576AFB" w14:textId="65A5B3DE" w:rsidR="00982843" w:rsidRDefault="00D57418" w:rsidP="0098284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Ū</w:t>
            </w:r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GR ir ŪGVIS duomenų </w:t>
            </w:r>
            <w:r w:rsidR="008F2B80">
              <w:rPr>
                <w:rFonts w:ascii="Times New Roman" w:hAnsi="Times New Roman" w:cs="Times New Roman"/>
                <w:sz w:val="22"/>
                <w:szCs w:val="22"/>
              </w:rPr>
              <w:t xml:space="preserve">gavimas </w:t>
            </w:r>
            <w:r w:rsidR="00E4047F">
              <w:rPr>
                <w:rFonts w:ascii="Times New Roman" w:hAnsi="Times New Roman" w:cs="Times New Roman"/>
                <w:sz w:val="22"/>
                <w:szCs w:val="22"/>
              </w:rPr>
              <w:t xml:space="preserve">iš ŽŪDC </w:t>
            </w:r>
            <w:r w:rsidR="008F2B80">
              <w:rPr>
                <w:rFonts w:ascii="Times New Roman" w:hAnsi="Times New Roman" w:cs="Times New Roman"/>
                <w:sz w:val="22"/>
                <w:szCs w:val="22"/>
              </w:rPr>
              <w:t xml:space="preserve">į Žemės ūkio agentūros </w:t>
            </w:r>
            <w:r w:rsidR="00CD4158">
              <w:rPr>
                <w:rFonts w:ascii="Times New Roman" w:hAnsi="Times New Roman" w:cs="Times New Roman"/>
                <w:sz w:val="22"/>
                <w:szCs w:val="22"/>
              </w:rPr>
              <w:t xml:space="preserve">prie Žemės ūkio ministerijos (toliau – Žemės ūkio agentūra) </w:t>
            </w:r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informacinę sistemą vykdomas naudojantis </w:t>
            </w:r>
            <w:proofErr w:type="spellStart"/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>saityno</w:t>
            </w:r>
            <w:proofErr w:type="spellEnd"/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 paslauga (angl. </w:t>
            </w:r>
            <w:proofErr w:type="spellStart"/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>web</w:t>
            </w:r>
            <w:proofErr w:type="spellEnd"/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>service</w:t>
            </w:r>
            <w:proofErr w:type="spellEnd"/>
            <w:r w:rsidR="00F23C4F"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</w:p>
          <w:p w14:paraId="64223629" w14:textId="77777777" w:rsidR="00982843" w:rsidRDefault="00F23C4F" w:rsidP="0098284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Duomenų teikimo protokolas – REST. Duomenų transportavimo protokolas – HTTPS. </w:t>
            </w:r>
          </w:p>
          <w:p w14:paraId="36091432" w14:textId="67AFF3A0" w:rsidR="0045273E" w:rsidRDefault="00F23C4F" w:rsidP="0098284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Duomenų perdavimo tipas – JSON, CSV. Autentifikacijos tipas – naudotojo vardas ir slaptažodis naudojant </w:t>
            </w:r>
            <w:proofErr w:type="spellStart"/>
            <w:r w:rsidRPr="00F23C4F">
              <w:rPr>
                <w:rFonts w:ascii="Times New Roman" w:hAnsi="Times New Roman" w:cs="Times New Roman"/>
                <w:sz w:val="22"/>
                <w:szCs w:val="22"/>
              </w:rPr>
              <w:t>OAuth</w:t>
            </w:r>
            <w:proofErr w:type="spellEnd"/>
            <w:r w:rsidRPr="00F23C4F">
              <w:rPr>
                <w:rFonts w:ascii="Times New Roman" w:hAnsi="Times New Roman" w:cs="Times New Roman"/>
                <w:sz w:val="22"/>
                <w:szCs w:val="22"/>
              </w:rPr>
              <w:t xml:space="preserve"> 2.0 protokolą.</w:t>
            </w:r>
          </w:p>
        </w:tc>
        <w:tc>
          <w:tcPr>
            <w:tcW w:w="1559" w:type="dxa"/>
          </w:tcPr>
          <w:p w14:paraId="15589CE8" w14:textId="0DBB3C79" w:rsidR="0045273E" w:rsidRDefault="0045273E" w:rsidP="00E4047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43B3" w14:paraId="7B40C597" w14:textId="77777777" w:rsidTr="0019029F">
        <w:trPr>
          <w:trHeight w:val="699"/>
        </w:trPr>
        <w:tc>
          <w:tcPr>
            <w:tcW w:w="693" w:type="dxa"/>
            <w:vMerge w:val="restart"/>
          </w:tcPr>
          <w:p w14:paraId="374C5895" w14:textId="2C03A2BE" w:rsidR="005343B3" w:rsidRPr="00294F1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4F1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9951B2" w:rsidRPr="00294F1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62" w:type="dxa"/>
            <w:vMerge w:val="restart"/>
          </w:tcPr>
          <w:p w14:paraId="44998DAC" w14:textId="65A8A509" w:rsidR="009222DD" w:rsidRDefault="00075877" w:rsidP="00287D1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Tam tikrų ū</w:t>
            </w:r>
            <w:r w:rsidR="000157F5">
              <w:rPr>
                <w:rFonts w:ascii="Times New Roman" w:hAnsi="Times New Roman" w:cs="Times New Roman"/>
                <w:sz w:val="22"/>
                <w:szCs w:val="22"/>
              </w:rPr>
              <w:t xml:space="preserve">kio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subjektų</w:t>
            </w:r>
            <w:r w:rsidR="000157F5">
              <w:rPr>
                <w:rFonts w:ascii="Times New Roman" w:hAnsi="Times New Roman" w:cs="Times New Roman"/>
                <w:sz w:val="22"/>
                <w:szCs w:val="22"/>
              </w:rPr>
              <w:t xml:space="preserve"> identifikavimas ir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jų veiklos rizikingumo įvertinimas</w:t>
            </w:r>
            <w:r w:rsidR="003C6F18">
              <w:rPr>
                <w:rFonts w:ascii="Times New Roman" w:hAnsi="Times New Roman" w:cs="Times New Roman"/>
                <w:sz w:val="22"/>
                <w:szCs w:val="22"/>
              </w:rPr>
              <w:t xml:space="preserve">, siekiant papildyti šių metų, 2025 metų </w:t>
            </w:r>
            <w:r w:rsidR="009222DD" w:rsidRPr="00162B84">
              <w:rPr>
                <w:rFonts w:ascii="Times New Roman" w:hAnsi="Times New Roman" w:cs="Times New Roman"/>
                <w:sz w:val="22"/>
                <w:szCs w:val="22"/>
              </w:rPr>
              <w:t xml:space="preserve"> ūkio subjektų, veikiančių ūkinių gyvūnų veislininkystės srityje, patikrinimų plan</w:t>
            </w:r>
            <w:r w:rsidR="009222DD">
              <w:rPr>
                <w:rFonts w:ascii="Times New Roman" w:hAnsi="Times New Roman" w:cs="Times New Roman"/>
                <w:sz w:val="22"/>
                <w:szCs w:val="22"/>
              </w:rPr>
              <w:t xml:space="preserve">ą, patvirtintą Žemės ūkio agentūros direktoriaus </w:t>
            </w:r>
            <w:r w:rsidR="00287D15" w:rsidRPr="00287D1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287D15">
              <w:rPr>
                <w:rFonts w:ascii="Times New Roman" w:hAnsi="Times New Roman" w:cs="Times New Roman"/>
                <w:sz w:val="22"/>
                <w:szCs w:val="22"/>
              </w:rPr>
              <w:t xml:space="preserve"> m. vasario </w:t>
            </w:r>
            <w:r w:rsidR="00287D15" w:rsidRPr="00287D1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87D15">
              <w:rPr>
                <w:rFonts w:ascii="Times New Roman" w:hAnsi="Times New Roman" w:cs="Times New Roman"/>
                <w:sz w:val="22"/>
                <w:szCs w:val="22"/>
              </w:rPr>
              <w:t xml:space="preserve"> d. įsakymu Nr. </w:t>
            </w:r>
            <w:r w:rsidR="00287D15" w:rsidRPr="00287D15">
              <w:rPr>
                <w:rFonts w:ascii="Times New Roman" w:hAnsi="Times New Roman" w:cs="Times New Roman"/>
                <w:sz w:val="22"/>
                <w:szCs w:val="22"/>
              </w:rPr>
              <w:t>VĮ-74</w:t>
            </w:r>
            <w:r w:rsidR="00287D15">
              <w:rPr>
                <w:rFonts w:ascii="Times New Roman" w:hAnsi="Times New Roman" w:cs="Times New Roman"/>
                <w:sz w:val="22"/>
                <w:szCs w:val="22"/>
              </w:rPr>
              <w:t xml:space="preserve"> „Dėl </w:t>
            </w:r>
            <w:r w:rsidR="004A6FA7" w:rsidRPr="004A6FA7">
              <w:rPr>
                <w:rFonts w:ascii="Times New Roman" w:hAnsi="Times New Roman" w:cs="Times New Roman"/>
                <w:sz w:val="22"/>
                <w:szCs w:val="22"/>
              </w:rPr>
              <w:t xml:space="preserve"> 2025 metų ūkio subjektų, veikiančių ūkinių gyvūnų veislininkystės srityje, patikrinimų plano patvirtinimo</w:t>
            </w:r>
            <w:r w:rsidR="004A6FA7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2050996A" w14:textId="77777777" w:rsidR="009222DD" w:rsidRDefault="009222DD" w:rsidP="00013C7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F248C" w14:textId="37170DE3" w:rsidR="005343B3" w:rsidRDefault="005343B3" w:rsidP="00013C7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3" w:type="dxa"/>
            <w:gridSpan w:val="2"/>
          </w:tcPr>
          <w:p w14:paraId="67228E6C" w14:textId="675D9F70" w:rsidR="00C9307A" w:rsidRPr="004F5D3D" w:rsidRDefault="005343B3" w:rsidP="0019029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1B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ūkio subjekt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1B1B46">
              <w:rPr>
                <w:rFonts w:ascii="Times New Roman" w:hAnsi="Times New Roman" w:cs="Times New Roman"/>
                <w:sz w:val="22"/>
                <w:szCs w:val="22"/>
              </w:rPr>
              <w:t>, turin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čių </w:t>
            </w:r>
            <w:r w:rsidRPr="001B1B46">
              <w:rPr>
                <w:rFonts w:ascii="Times New Roman" w:hAnsi="Times New Roman" w:cs="Times New Roman"/>
                <w:sz w:val="22"/>
                <w:szCs w:val="22"/>
              </w:rPr>
              <w:t xml:space="preserve">pagal </w:t>
            </w:r>
            <w:r w:rsidR="00E61327" w:rsidRPr="00E61327">
              <w:rPr>
                <w:rFonts w:ascii="Times New Roman" w:hAnsi="Times New Roman" w:cs="Times New Roman"/>
                <w:sz w:val="22"/>
                <w:szCs w:val="22"/>
              </w:rPr>
              <w:t>Leidimų teikti ūkinių gyvūnų sėklinimo paslaugas išdavimo taisykl</w:t>
            </w:r>
            <w:r w:rsidR="00E61327">
              <w:rPr>
                <w:rFonts w:ascii="Times New Roman" w:hAnsi="Times New Roman" w:cs="Times New Roman"/>
                <w:sz w:val="22"/>
                <w:szCs w:val="22"/>
              </w:rPr>
              <w:t xml:space="preserve">ių, patvirtintų </w:t>
            </w:r>
            <w:r w:rsidRPr="001B1B46">
              <w:rPr>
                <w:rFonts w:ascii="Times New Roman" w:hAnsi="Times New Roman" w:cs="Times New Roman"/>
                <w:sz w:val="22"/>
                <w:szCs w:val="22"/>
              </w:rPr>
              <w:t>Lietuvos Respublikos žemės ūkio ministro 2000 m. spalio 3 d. įsakym</w:t>
            </w:r>
            <w:r w:rsidR="00E61327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1B1B46">
              <w:rPr>
                <w:rFonts w:ascii="Times New Roman" w:hAnsi="Times New Roman" w:cs="Times New Roman"/>
                <w:sz w:val="22"/>
                <w:szCs w:val="22"/>
              </w:rPr>
              <w:t xml:space="preserve"> Nr. 282 „Dėl Leidimų teikti ūkinių gyvūnų veislininkystės paslaugas išdavimo, jų galiojimo sustabdymo, galiojimo sustabdymo panaikinimo ir šių leidimų galiojimo panaikinimo taisyklių patvirtinimo“ reikalavimus išduotą leidimą teikti ūkinių gyvūnų sėklinimo paslaugas</w:t>
            </w:r>
            <w:r w:rsidR="00082203">
              <w:rPr>
                <w:rFonts w:ascii="Times New Roman" w:hAnsi="Times New Roman" w:cs="Times New Roman"/>
                <w:sz w:val="22"/>
                <w:szCs w:val="22"/>
              </w:rPr>
              <w:t xml:space="preserve"> (toliau – </w:t>
            </w:r>
            <w:r w:rsidR="004A076E"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ūkio subjektai, teikiantys sėklinimo paslaugas)</w:t>
            </w:r>
            <w:r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identifikavimas</w:t>
            </w:r>
            <w:r w:rsidR="00C9307A"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</w:t>
            </w:r>
          </w:p>
          <w:p w14:paraId="7A82B99D" w14:textId="1AD7D098" w:rsidR="00C9307A" w:rsidRPr="00C9307A" w:rsidRDefault="0019029F" w:rsidP="0019029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ūkio subjekt</w:t>
            </w:r>
            <w:r w:rsidR="00013C7D">
              <w:rPr>
                <w:rFonts w:ascii="Times New Roman" w:hAnsi="Times New Roman" w:cs="Times New Roman"/>
                <w:sz w:val="22"/>
                <w:szCs w:val="22"/>
              </w:rPr>
              <w:t>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teikian</w:t>
            </w:r>
            <w:r w:rsidR="00013C7D">
              <w:rPr>
                <w:rFonts w:ascii="Times New Roman" w:hAnsi="Times New Roman" w:cs="Times New Roman"/>
                <w:sz w:val="22"/>
                <w:szCs w:val="22"/>
              </w:rPr>
              <w:t>tys</w:t>
            </w:r>
            <w:r w:rsidR="000157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sėklinimo paslaugas, </w:t>
            </w:r>
            <w:r w:rsidR="000157F5">
              <w:rPr>
                <w:rFonts w:ascii="Times New Roman" w:hAnsi="Times New Roman" w:cs="Times New Roman"/>
                <w:sz w:val="22"/>
                <w:szCs w:val="22"/>
              </w:rPr>
              <w:t xml:space="preserve">identifikuojami pagal  </w:t>
            </w:r>
            <w:r w:rsidR="00C9307A" w:rsidRPr="00C9307A">
              <w:rPr>
                <w:rFonts w:ascii="Times New Roman" w:hAnsi="Times New Roman" w:cs="Times New Roman"/>
                <w:sz w:val="22"/>
                <w:szCs w:val="22"/>
              </w:rPr>
              <w:t>Ūkio subjektų, veikiančių ūkinių gyvūnų veislininkystės srityje, veiklos rizikingumo nustatymo tvarkos apraš</w:t>
            </w:r>
            <w:r w:rsidR="00011AFE"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="00C9307A" w:rsidRPr="00C9307A">
              <w:rPr>
                <w:rFonts w:ascii="Times New Roman" w:hAnsi="Times New Roman" w:cs="Times New Roman"/>
                <w:sz w:val="22"/>
                <w:szCs w:val="22"/>
              </w:rPr>
              <w:t>, patvirtinta</w:t>
            </w:r>
            <w:r w:rsidR="00011AFE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 w:rsidR="00C9307A" w:rsidRPr="00C9307A">
              <w:rPr>
                <w:rFonts w:ascii="Times New Roman" w:hAnsi="Times New Roman" w:cs="Times New Roman"/>
                <w:sz w:val="22"/>
                <w:szCs w:val="22"/>
              </w:rPr>
              <w:t xml:space="preserve">Žemės </w:t>
            </w:r>
            <w:r w:rsidR="00C9307A" w:rsidRPr="00C93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ūkio agentūros prie Žemės ūkio ministerijos direktoriaus 2024 m. spalio 9 d. įsakymu Nr. VĮ-271 „Dėl Ūkio subjektų, veikiančių ūkinių gyvūnų veislininkystės srityje, veiklos rizikingumo nustatymo tvarkos aprašo patvirtinimo“ (toliau – Veiklos rizikingumo nustatymo tvarkos aprašas)</w:t>
            </w:r>
          </w:p>
          <w:p w14:paraId="74FB154E" w14:textId="77777777" w:rsidR="005343B3" w:rsidRDefault="00011AFE" w:rsidP="0019029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011AFE">
              <w:rPr>
                <w:rFonts w:ascii="Times New Roman" w:hAnsi="Times New Roman" w:cs="Times New Roman"/>
                <w:sz w:val="22"/>
                <w:szCs w:val="22"/>
              </w:rPr>
              <w:t xml:space="preserve">esant poreikiui, gali būti teikiami pasiūlymai tikslinti Veiklos </w:t>
            </w:r>
            <w:r w:rsidR="0019029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011AFE">
              <w:rPr>
                <w:rFonts w:ascii="Times New Roman" w:hAnsi="Times New Roman" w:cs="Times New Roman"/>
                <w:sz w:val="22"/>
                <w:szCs w:val="22"/>
              </w:rPr>
              <w:t xml:space="preserve">izikingumo nustatymo tvarkos aprašą; </w:t>
            </w:r>
          </w:p>
          <w:p w14:paraId="1F59CF3A" w14:textId="7A40ED66" w:rsidR="0019029F" w:rsidRDefault="0019029F" w:rsidP="0019029F">
            <w:pPr>
              <w:pStyle w:val="ListParagraph"/>
              <w:spacing w:line="276" w:lineRule="auto"/>
              <w:ind w:left="71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6F98AB" w14:textId="564304D4" w:rsidR="005343B3" w:rsidRDefault="002C2884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ne vėliau kaip iki </w:t>
            </w:r>
            <w:r w:rsidR="005343B3">
              <w:rPr>
                <w:rFonts w:ascii="Times New Roman" w:hAnsi="Times New Roman" w:cs="Times New Roman"/>
                <w:sz w:val="22"/>
                <w:szCs w:val="22"/>
              </w:rPr>
              <w:t>2025-05-01</w:t>
            </w:r>
          </w:p>
        </w:tc>
      </w:tr>
      <w:tr w:rsidR="005343B3" w14:paraId="5CD541EC" w14:textId="77777777" w:rsidTr="005343B3">
        <w:trPr>
          <w:trHeight w:val="283"/>
        </w:trPr>
        <w:tc>
          <w:tcPr>
            <w:tcW w:w="693" w:type="dxa"/>
            <w:vMerge/>
          </w:tcPr>
          <w:p w14:paraId="312021F1" w14:textId="77777777" w:rsidR="005343B3" w:rsidRPr="009951B2" w:rsidRDefault="005343B3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762" w:type="dxa"/>
            <w:vMerge/>
          </w:tcPr>
          <w:p w14:paraId="38C2E8B4" w14:textId="77777777" w:rsidR="005343B3" w:rsidRPr="006D58A2" w:rsidRDefault="005343B3" w:rsidP="006D58A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3" w:type="dxa"/>
            <w:gridSpan w:val="2"/>
          </w:tcPr>
          <w:p w14:paraId="3A2CB994" w14:textId="034979AC" w:rsidR="008567CE" w:rsidRDefault="00013C7D" w:rsidP="00300ED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ū</w:t>
            </w:r>
            <w:r w:rsidR="004A076E"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kio </w:t>
            </w:r>
            <w:r w:rsidR="000A12B4"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subjektų, teikiančių sėklinimo paslaugas, </w:t>
            </w:r>
            <w:r w:rsidR="0070648B"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veiklos rizikingumo nustaty</w:t>
            </w:r>
            <w:r w:rsidR="008567CE"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</w:t>
            </w:r>
            <w:r w:rsidR="004A076E" w:rsidRPr="004F5D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567CE">
              <w:rPr>
                <w:rFonts w:ascii="Times New Roman" w:hAnsi="Times New Roman" w:cs="Times New Roman"/>
                <w:sz w:val="22"/>
                <w:szCs w:val="22"/>
              </w:rPr>
              <w:t xml:space="preserve">pagal </w:t>
            </w:r>
            <w:r w:rsidR="008567CE" w:rsidRPr="008567CE">
              <w:rPr>
                <w:rFonts w:ascii="Times New Roman" w:hAnsi="Times New Roman" w:cs="Times New Roman"/>
                <w:sz w:val="22"/>
                <w:szCs w:val="22"/>
              </w:rPr>
              <w:t>Veiklos rizikingumo nustatymo tvarkos apraš</w:t>
            </w:r>
            <w:r w:rsidR="008567CE">
              <w:rPr>
                <w:rFonts w:ascii="Times New Roman" w:hAnsi="Times New Roman" w:cs="Times New Roman"/>
                <w:sz w:val="22"/>
                <w:szCs w:val="22"/>
              </w:rPr>
              <w:t>ą;</w:t>
            </w:r>
          </w:p>
          <w:p w14:paraId="72697DD3" w14:textId="77777777" w:rsidR="005343B3" w:rsidRDefault="008567CE" w:rsidP="008567C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8567CE">
              <w:rPr>
                <w:rFonts w:ascii="Times New Roman" w:hAnsi="Times New Roman" w:cs="Times New Roman"/>
                <w:sz w:val="22"/>
                <w:szCs w:val="22"/>
              </w:rPr>
              <w:t xml:space="preserve">sant poreikiui, gali būti teikiami pasiūlymai tikslinti Veiklos rizikingumo nustatymo tvarkos aprašą; </w:t>
            </w:r>
          </w:p>
          <w:p w14:paraId="2866062D" w14:textId="41C9FC71" w:rsidR="001F1395" w:rsidRPr="001B1B46" w:rsidRDefault="001F1395" w:rsidP="001F1395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07BC72" w14:textId="4F7750BA" w:rsidR="005343B3" w:rsidRDefault="002C2884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vėliau kaip iki </w:t>
            </w:r>
            <w:r w:rsidR="008567CE">
              <w:rPr>
                <w:rFonts w:ascii="Times New Roman" w:hAnsi="Times New Roman" w:cs="Times New Roman"/>
                <w:sz w:val="22"/>
                <w:szCs w:val="22"/>
              </w:rPr>
              <w:t>2025-06-01</w:t>
            </w:r>
          </w:p>
        </w:tc>
      </w:tr>
      <w:tr w:rsidR="001F1395" w14:paraId="712F92E6" w14:textId="77777777" w:rsidTr="005343B3">
        <w:trPr>
          <w:trHeight w:val="283"/>
        </w:trPr>
        <w:tc>
          <w:tcPr>
            <w:tcW w:w="693" w:type="dxa"/>
            <w:vMerge/>
          </w:tcPr>
          <w:p w14:paraId="4835B746" w14:textId="77777777" w:rsidR="001F1395" w:rsidRPr="009951B2" w:rsidRDefault="001F1395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762" w:type="dxa"/>
            <w:vMerge/>
          </w:tcPr>
          <w:p w14:paraId="4FC4DAF6" w14:textId="77777777" w:rsidR="001F1395" w:rsidRPr="006D58A2" w:rsidRDefault="001F1395" w:rsidP="006D58A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3" w:type="dxa"/>
            <w:gridSpan w:val="2"/>
          </w:tcPr>
          <w:p w14:paraId="26A82E4F" w14:textId="64C25C08" w:rsidR="004B2A8A" w:rsidRPr="004B2A8A" w:rsidRDefault="00740322" w:rsidP="004B2A8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Lietuvoje </w:t>
            </w:r>
            <w:r w:rsidR="004B2A8A" w:rsidRPr="007403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pripažintų veisimo organizacijų veiklos</w:t>
            </w:r>
            <w:r w:rsidR="004B2A8A" w:rsidRPr="00E910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rizikingumo nustatymas</w:t>
            </w:r>
            <w:r w:rsidR="004B2A8A">
              <w:rPr>
                <w:rFonts w:ascii="Times New Roman" w:hAnsi="Times New Roman" w:cs="Times New Roman"/>
                <w:sz w:val="22"/>
                <w:szCs w:val="22"/>
              </w:rPr>
              <w:t xml:space="preserve"> pagal </w:t>
            </w:r>
            <w:r w:rsidR="004B2A8A" w:rsidRPr="004B2A8A">
              <w:rPr>
                <w:rFonts w:ascii="Times New Roman" w:hAnsi="Times New Roman" w:cs="Times New Roman"/>
                <w:sz w:val="22"/>
                <w:szCs w:val="22"/>
              </w:rPr>
              <w:t>Veiklos rizikingumo nustatymo tvarkos aprašą;</w:t>
            </w:r>
          </w:p>
          <w:p w14:paraId="38D1F70A" w14:textId="77777777" w:rsidR="001F1395" w:rsidRDefault="004B2A8A" w:rsidP="002F3A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2A8A">
              <w:rPr>
                <w:rFonts w:ascii="Times New Roman" w:hAnsi="Times New Roman" w:cs="Times New Roman"/>
                <w:sz w:val="22"/>
                <w:szCs w:val="22"/>
              </w:rPr>
              <w:t xml:space="preserve">esant poreikiui, gali būti teikiami pasiūlymai tikslinti Veiklos rizikingumo nustatymo tvarkos aprašą; </w:t>
            </w:r>
          </w:p>
          <w:p w14:paraId="4E10FABD" w14:textId="14F7553F" w:rsidR="002F3A2F" w:rsidRDefault="002F3A2F" w:rsidP="002F3A2F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7009A9" w14:textId="00470794" w:rsidR="001F1395" w:rsidRDefault="002C2884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vėliau kaip iki </w:t>
            </w:r>
            <w:r w:rsidR="0091766D">
              <w:rPr>
                <w:rFonts w:ascii="Times New Roman" w:hAnsi="Times New Roman" w:cs="Times New Roman"/>
                <w:sz w:val="22"/>
                <w:szCs w:val="22"/>
              </w:rPr>
              <w:t>2025-06-01</w:t>
            </w:r>
          </w:p>
        </w:tc>
      </w:tr>
      <w:tr w:rsidR="008C5CBE" w14:paraId="0FAE87E9" w14:textId="77777777" w:rsidTr="00B374FD">
        <w:tc>
          <w:tcPr>
            <w:tcW w:w="693" w:type="dxa"/>
          </w:tcPr>
          <w:p w14:paraId="2A818AFF" w14:textId="7E2572D6" w:rsidR="008C5CBE" w:rsidRPr="00294F1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4F1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9951B2" w:rsidRPr="00294F1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62" w:type="dxa"/>
            <w:tcBorders>
              <w:top w:val="nil"/>
            </w:tcBorders>
          </w:tcPr>
          <w:p w14:paraId="497CA45F" w14:textId="77777777" w:rsidR="00013C7D" w:rsidRPr="006D58A2" w:rsidRDefault="00013C7D" w:rsidP="00013C7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8A2">
              <w:rPr>
                <w:rFonts w:ascii="Times New Roman" w:hAnsi="Times New Roman" w:cs="Times New Roman"/>
                <w:sz w:val="22"/>
                <w:szCs w:val="22"/>
              </w:rPr>
              <w:t xml:space="preserve">Ūkio subjektų, veikiančių ūkinių gyvūnų veislininkystės srityje,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kurių veiklą Žemės ūkio agentūra privalo prižiūrėti (toliau – prižiūrimi ūkio subjektai), </w:t>
            </w:r>
            <w:r w:rsidRPr="006D58A2">
              <w:rPr>
                <w:rFonts w:ascii="Times New Roman" w:hAnsi="Times New Roman" w:cs="Times New Roman"/>
                <w:sz w:val="22"/>
                <w:szCs w:val="22"/>
              </w:rPr>
              <w:t>identifikavimas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BE1ACC" w14:textId="77777777" w:rsidR="008C5CBE" w:rsidRPr="006D58A2" w:rsidRDefault="008C5CBE" w:rsidP="00013C7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3" w:type="dxa"/>
            <w:gridSpan w:val="2"/>
          </w:tcPr>
          <w:p w14:paraId="402F449F" w14:textId="77777777" w:rsidR="00013C7D" w:rsidRPr="00973DC1" w:rsidRDefault="00013C7D" w:rsidP="00013C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4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nuolatinio automatizuoto įrankio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kuriuo Žemės ūkio agentūros darbuotojams naudojantis kiekvienų kalendorinių metų pradžioje galėtų </w:t>
            </w:r>
            <w:r w:rsidRPr="00014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identifikuoti prižiūrimus ūkio subjektus, sukūrimas;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3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0686EDC" w14:textId="77777777" w:rsidR="00013C7D" w:rsidRDefault="00013C7D" w:rsidP="00013C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DC1">
              <w:rPr>
                <w:rFonts w:ascii="Times New Roman" w:hAnsi="Times New Roman" w:cs="Times New Roman"/>
                <w:sz w:val="22"/>
                <w:szCs w:val="22"/>
              </w:rPr>
              <w:t>prižiūrimi ūkio subjektai identifikuojami pagal Veiklos rizikingumo</w:t>
            </w:r>
            <w:r w:rsidRPr="000F697C">
              <w:rPr>
                <w:rFonts w:ascii="Times New Roman" w:hAnsi="Times New Roman" w:cs="Times New Roman"/>
                <w:sz w:val="22"/>
                <w:szCs w:val="22"/>
              </w:rPr>
              <w:t xml:space="preserve"> nustatymo tvarkos apraš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ą;</w:t>
            </w:r>
          </w:p>
          <w:p w14:paraId="7171EBB9" w14:textId="77777777" w:rsidR="00013C7D" w:rsidRPr="005D362A" w:rsidRDefault="00013C7D" w:rsidP="00013C7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D362A">
              <w:rPr>
                <w:rFonts w:ascii="Times New Roman" w:hAnsi="Times New Roman" w:cs="Times New Roman"/>
                <w:sz w:val="22"/>
                <w:szCs w:val="22"/>
              </w:rPr>
              <w:t xml:space="preserve">esant poreikiui, gali būti teikiami pasiūlymai tikslinti Veiklos rizikingumo nustatymo tvarkos aprašą; </w:t>
            </w:r>
          </w:p>
          <w:p w14:paraId="0616ECDD" w14:textId="664B50A0" w:rsidR="000947CE" w:rsidRPr="0020473B" w:rsidRDefault="000947CE" w:rsidP="003255FB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898B37" w14:textId="55F8E298" w:rsidR="008C5CBE" w:rsidRDefault="002C2884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vėliau kaip iki </w:t>
            </w:r>
            <w:r w:rsidR="00013C7D">
              <w:rPr>
                <w:rFonts w:ascii="Times New Roman" w:hAnsi="Times New Roman" w:cs="Times New Roman"/>
                <w:sz w:val="22"/>
                <w:szCs w:val="22"/>
              </w:rPr>
              <w:t>2025-10-31</w:t>
            </w:r>
          </w:p>
        </w:tc>
      </w:tr>
      <w:tr w:rsidR="00013C7D" w14:paraId="37792B17" w14:textId="77777777" w:rsidTr="00B374FD">
        <w:tc>
          <w:tcPr>
            <w:tcW w:w="693" w:type="dxa"/>
          </w:tcPr>
          <w:p w14:paraId="555B1EDB" w14:textId="6AC357EE" w:rsidR="00013C7D" w:rsidRPr="00294F1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4F1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9951B2" w:rsidRPr="00294F1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62" w:type="dxa"/>
            <w:tcBorders>
              <w:top w:val="nil"/>
            </w:tcBorders>
          </w:tcPr>
          <w:p w14:paraId="3594E3A9" w14:textId="77777777" w:rsidR="00013C7D" w:rsidRPr="008C5CBE" w:rsidRDefault="00013C7D" w:rsidP="00013C7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Prižiūrimų </w:t>
            </w:r>
            <w:r w:rsidRPr="008C5CBE">
              <w:rPr>
                <w:rFonts w:ascii="Times New Roman" w:hAnsi="Times New Roman" w:cs="Times New Roman"/>
                <w:sz w:val="22"/>
                <w:szCs w:val="22"/>
              </w:rPr>
              <w:t>ūkio subjektų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5CBE">
              <w:rPr>
                <w:rFonts w:ascii="Times New Roman" w:hAnsi="Times New Roman" w:cs="Times New Roman"/>
                <w:sz w:val="22"/>
                <w:szCs w:val="22"/>
              </w:rPr>
              <w:t xml:space="preserve">veiklos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rizikingumo </w:t>
            </w:r>
            <w:r w:rsidRPr="008C5CBE">
              <w:rPr>
                <w:rFonts w:ascii="Times New Roman" w:hAnsi="Times New Roman" w:cs="Times New Roman"/>
                <w:sz w:val="22"/>
                <w:szCs w:val="22"/>
              </w:rPr>
              <w:t>vertinimas</w:t>
            </w:r>
          </w:p>
          <w:p w14:paraId="23BB8EA1" w14:textId="77777777" w:rsidR="00013C7D" w:rsidRDefault="00013C7D" w:rsidP="008C5C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3" w:type="dxa"/>
            <w:gridSpan w:val="2"/>
          </w:tcPr>
          <w:p w14:paraId="5751B107" w14:textId="4787675E" w:rsidR="00013C7D" w:rsidRPr="0001485C" w:rsidRDefault="00013C7D" w:rsidP="00013C7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nuolatinio automatizuoto įrankio</w:t>
            </w:r>
            <w:r w:rsidRPr="00D06249">
              <w:rPr>
                <w:rFonts w:ascii="Times New Roman" w:hAnsi="Times New Roman" w:cs="Times New Roman"/>
                <w:sz w:val="22"/>
                <w:szCs w:val="22"/>
              </w:rPr>
              <w:t xml:space="preserve">, kuriuo Žemės ūkio agentūros darbuotojams naudojantis kiekvienų kalendorinių metų pradžioje būtų </w:t>
            </w:r>
            <w:r w:rsidR="003255FB">
              <w:rPr>
                <w:rFonts w:ascii="Times New Roman" w:hAnsi="Times New Roman" w:cs="Times New Roman"/>
                <w:sz w:val="22"/>
                <w:szCs w:val="22"/>
              </w:rPr>
              <w:t xml:space="preserve">galimybė </w:t>
            </w:r>
            <w:r w:rsidRPr="00014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įvertinti prižiūrimų ūkio subjektų veikl</w:t>
            </w:r>
            <w:r w:rsidR="003255FB" w:rsidRPr="00014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ą</w:t>
            </w:r>
            <w:r w:rsidRPr="00014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pagal rizikos kriterijus, </w:t>
            </w:r>
            <w:r w:rsidR="0001485C" w:rsidRPr="00014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sukūrimas;</w:t>
            </w:r>
          </w:p>
          <w:p w14:paraId="7401357A" w14:textId="77777777" w:rsidR="00013C7D" w:rsidRPr="00D06249" w:rsidRDefault="00013C7D" w:rsidP="00013C7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06249">
              <w:rPr>
                <w:rFonts w:ascii="Times New Roman" w:hAnsi="Times New Roman" w:cs="Times New Roman"/>
                <w:sz w:val="22"/>
                <w:szCs w:val="22"/>
              </w:rPr>
              <w:t>prižiūrim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D06249">
              <w:rPr>
                <w:rFonts w:ascii="Times New Roman" w:hAnsi="Times New Roman" w:cs="Times New Roman"/>
                <w:sz w:val="22"/>
                <w:szCs w:val="22"/>
              </w:rPr>
              <w:t xml:space="preserve"> ūkio subjekt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ų veiklos rizikingumo vertinimas atliekamas  p</w:t>
            </w:r>
            <w:r w:rsidRPr="00D06249">
              <w:rPr>
                <w:rFonts w:ascii="Times New Roman" w:hAnsi="Times New Roman" w:cs="Times New Roman"/>
                <w:sz w:val="22"/>
                <w:szCs w:val="22"/>
              </w:rPr>
              <w:t>agal Veiklos rizikingumo nustatymo tvarkos aprašą;</w:t>
            </w:r>
          </w:p>
          <w:p w14:paraId="6D6D84A6" w14:textId="77777777" w:rsidR="00013C7D" w:rsidRPr="00D06249" w:rsidRDefault="00013C7D" w:rsidP="00013C7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06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esant poreikiui, gali būti teikiami pasiūlymai tikslinti Veiklos rizikingumo nustatymo tvarkos aprašą; </w:t>
            </w:r>
          </w:p>
          <w:p w14:paraId="6D5B6C82" w14:textId="77777777" w:rsidR="00013C7D" w:rsidRPr="00D06249" w:rsidRDefault="00013C7D" w:rsidP="00827146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5EB601" w14:textId="761E381A" w:rsidR="00013C7D" w:rsidRDefault="002C2884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ne vėliau kaip iki </w:t>
            </w:r>
            <w:r w:rsidR="00013C7D">
              <w:rPr>
                <w:rFonts w:ascii="Times New Roman" w:hAnsi="Times New Roman" w:cs="Times New Roman"/>
                <w:sz w:val="22"/>
                <w:szCs w:val="22"/>
              </w:rPr>
              <w:t>2025-10-31</w:t>
            </w:r>
          </w:p>
        </w:tc>
      </w:tr>
      <w:tr w:rsidR="007C5212" w14:paraId="42E1BEC0" w14:textId="77777777" w:rsidTr="009175A0">
        <w:tc>
          <w:tcPr>
            <w:tcW w:w="693" w:type="dxa"/>
          </w:tcPr>
          <w:p w14:paraId="48EC5D27" w14:textId="0D7DD95B" w:rsidR="007C5212" w:rsidRPr="00294F1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294F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915" w:type="dxa"/>
            <w:gridSpan w:val="3"/>
            <w:tcBorders>
              <w:top w:val="nil"/>
            </w:tcBorders>
          </w:tcPr>
          <w:p w14:paraId="5A85044A" w14:textId="3C41F129" w:rsidR="007C5212" w:rsidRPr="00294F14" w:rsidRDefault="007C5212" w:rsidP="007C5212">
            <w:pPr>
              <w:pStyle w:val="ListParagrap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4F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Pažymų dėl pagalbos veislininkystei lėšų skyrimo prižiūrimiems ūkio subjektams vertinimas</w:t>
            </w:r>
          </w:p>
        </w:tc>
        <w:tc>
          <w:tcPr>
            <w:tcW w:w="1559" w:type="dxa"/>
          </w:tcPr>
          <w:p w14:paraId="3C0264CC" w14:textId="77777777" w:rsidR="007C5212" w:rsidRPr="002C2884" w:rsidRDefault="007C5212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311" w14:paraId="247BF046" w14:textId="77777777" w:rsidTr="0045273E">
        <w:tc>
          <w:tcPr>
            <w:tcW w:w="693" w:type="dxa"/>
          </w:tcPr>
          <w:p w14:paraId="218B6456" w14:textId="314A6127" w:rsidR="002E3311" w:rsidRDefault="002E3311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2" w:type="dxa"/>
          </w:tcPr>
          <w:p w14:paraId="7B94F056" w14:textId="2DF72BC6" w:rsidR="002E3311" w:rsidRPr="008C5CBE" w:rsidRDefault="00C0535A" w:rsidP="008C5C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4061951"/>
            <w:r w:rsidRPr="00C0535A">
              <w:rPr>
                <w:rFonts w:ascii="Times New Roman" w:hAnsi="Times New Roman" w:cs="Times New Roman"/>
                <w:sz w:val="22"/>
                <w:szCs w:val="22"/>
              </w:rPr>
              <w:t xml:space="preserve">Pažymų dėl pagalbos veislininkystei lėšų skyrimo </w:t>
            </w:r>
            <w:r w:rsidR="00827146">
              <w:rPr>
                <w:rFonts w:ascii="Times New Roman" w:hAnsi="Times New Roman" w:cs="Times New Roman"/>
                <w:sz w:val="22"/>
                <w:szCs w:val="22"/>
              </w:rPr>
              <w:t xml:space="preserve">prižiūrimiems ūkio subjektams </w:t>
            </w:r>
            <w:r w:rsidRPr="00C0535A">
              <w:rPr>
                <w:rFonts w:ascii="Times New Roman" w:hAnsi="Times New Roman" w:cs="Times New Roman"/>
                <w:sz w:val="22"/>
                <w:szCs w:val="22"/>
              </w:rPr>
              <w:t xml:space="preserve">vertinimas </w:t>
            </w:r>
            <w:bookmarkEnd w:id="0"/>
          </w:p>
        </w:tc>
        <w:tc>
          <w:tcPr>
            <w:tcW w:w="7153" w:type="dxa"/>
            <w:gridSpan w:val="2"/>
          </w:tcPr>
          <w:p w14:paraId="07D6235F" w14:textId="08842822" w:rsidR="005B58CD" w:rsidRPr="00D13EA6" w:rsidRDefault="005B58CD" w:rsidP="00C0535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nuolatinio automatizuoto įrankio</w:t>
            </w:r>
            <w:r w:rsidRPr="005B58CD">
              <w:rPr>
                <w:rFonts w:ascii="Times New Roman" w:hAnsi="Times New Roman" w:cs="Times New Roman"/>
                <w:sz w:val="22"/>
                <w:szCs w:val="22"/>
              </w:rPr>
              <w:t xml:space="preserve">, kuriuo Žemės ūkio agentūros darbuotojams naudojantis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būtų galimybė </w:t>
            </w:r>
            <w:r w:rsidR="00385E7E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sutikrinti d</w:t>
            </w:r>
            <w:r w:rsidR="00C0535A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uomen</w:t>
            </w:r>
            <w:r w:rsidR="00385E7E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is, </w:t>
            </w:r>
            <w:r w:rsidR="00C0535A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pateikt</w:t>
            </w:r>
            <w:r w:rsidR="00385E7E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</w:t>
            </w:r>
            <w:r w:rsidR="00C0535A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77AF5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pažymose dėl pagalbos veislininkystei lėšų skyrimo</w:t>
            </w:r>
            <w:r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385E7E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 d</w:t>
            </w:r>
            <w:r w:rsidR="0018361D"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uomenimis, esančiais </w:t>
            </w:r>
            <w:r w:rsidRPr="00D13E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ŪGR ir ŪGVIS;</w:t>
            </w:r>
          </w:p>
          <w:p w14:paraId="06796830" w14:textId="4493D07C" w:rsidR="00C0535A" w:rsidRDefault="001163C2" w:rsidP="00C0535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duomenų tikrinimas atliekamas pagal </w:t>
            </w:r>
            <w:r w:rsidRPr="001163C2">
              <w:rPr>
                <w:rFonts w:ascii="Times New Roman" w:hAnsi="Times New Roman" w:cs="Times New Roman"/>
                <w:sz w:val="22"/>
                <w:szCs w:val="22"/>
              </w:rPr>
              <w:t>Pagalbos veislininkystei taisyklių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patvirtintų </w:t>
            </w:r>
            <w:r w:rsidR="00C0535A" w:rsidRPr="00891D15">
              <w:rPr>
                <w:rFonts w:ascii="Times New Roman" w:hAnsi="Times New Roman" w:cs="Times New Roman"/>
                <w:sz w:val="22"/>
                <w:szCs w:val="22"/>
              </w:rPr>
              <w:t>Lietuvos Respublikos žemės ūkio ministro 2010 m. kovo 30 d. įsakym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C0535A" w:rsidRPr="00891D15">
              <w:rPr>
                <w:rFonts w:ascii="Times New Roman" w:hAnsi="Times New Roman" w:cs="Times New Roman"/>
                <w:sz w:val="22"/>
                <w:szCs w:val="22"/>
              </w:rPr>
              <w:t xml:space="preserve"> Nr. 3D-290 „Dėl Pagalbos veislininkystei taisyklių patvirtinimo“</w:t>
            </w:r>
            <w:r w:rsidR="00525F2B">
              <w:rPr>
                <w:rFonts w:ascii="Times New Roman" w:hAnsi="Times New Roman" w:cs="Times New Roman"/>
                <w:sz w:val="22"/>
                <w:szCs w:val="22"/>
              </w:rPr>
              <w:t xml:space="preserve"> (toliau – Pagalbos veislininkystei taisyklės)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0535A" w:rsidRPr="00891D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535A">
              <w:rPr>
                <w:rFonts w:ascii="Times New Roman" w:hAnsi="Times New Roman" w:cs="Times New Roman"/>
                <w:sz w:val="22"/>
                <w:szCs w:val="22"/>
              </w:rPr>
              <w:t>34 punktą</w:t>
            </w:r>
            <w:r w:rsidR="00BF73D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C0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2DF99C" w14:textId="70534A2B" w:rsidR="00BF73D8" w:rsidRPr="00525F2B" w:rsidRDefault="00BF73D8" w:rsidP="00525F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25F2B">
              <w:rPr>
                <w:rFonts w:ascii="Times New Roman" w:hAnsi="Times New Roman" w:cs="Times New Roman"/>
                <w:sz w:val="22"/>
                <w:szCs w:val="22"/>
              </w:rPr>
              <w:t xml:space="preserve">esant poreikiui, gali būti teikiami pasiūlymai tikslinti Pagalbos veislininkystei taisykles ar </w:t>
            </w:r>
            <w:r w:rsidR="00525F2B" w:rsidRPr="00525F2B">
              <w:rPr>
                <w:rFonts w:ascii="Times New Roman" w:hAnsi="Times New Roman" w:cs="Times New Roman"/>
                <w:sz w:val="22"/>
                <w:szCs w:val="22"/>
              </w:rPr>
              <w:t>ŪGR ir ŪGVIS.</w:t>
            </w:r>
          </w:p>
          <w:p w14:paraId="1BD4FCD2" w14:textId="77777777" w:rsidR="002E3311" w:rsidRDefault="002E3311" w:rsidP="00525F2B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F3B537" w14:textId="1CC88469" w:rsidR="002E3311" w:rsidRDefault="002C2884" w:rsidP="006907C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884">
              <w:rPr>
                <w:rFonts w:ascii="Times New Roman" w:hAnsi="Times New Roman" w:cs="Times New Roman"/>
                <w:sz w:val="22"/>
                <w:szCs w:val="22"/>
              </w:rPr>
              <w:t xml:space="preserve">ne vėliau kaip iki </w:t>
            </w:r>
            <w:r w:rsidR="002E3311">
              <w:rPr>
                <w:rFonts w:ascii="Times New Roman" w:hAnsi="Times New Roman" w:cs="Times New Roman"/>
                <w:sz w:val="22"/>
                <w:szCs w:val="22"/>
              </w:rPr>
              <w:t>2025-10-31</w:t>
            </w:r>
          </w:p>
        </w:tc>
      </w:tr>
    </w:tbl>
    <w:p w14:paraId="174E3F45" w14:textId="77777777" w:rsidR="00C634B2" w:rsidRDefault="00C634B2" w:rsidP="00AC0D3F">
      <w:pPr>
        <w:pStyle w:val="ListParagraph"/>
        <w:spacing w:after="0" w:line="276" w:lineRule="auto"/>
      </w:pPr>
    </w:p>
    <w:p w14:paraId="43433FC9" w14:textId="551164A0" w:rsidR="0031061C" w:rsidRDefault="0031061C" w:rsidP="00AC0D3F">
      <w:pPr>
        <w:pStyle w:val="ListParagraph"/>
        <w:spacing w:after="0" w:line="276" w:lineRule="auto"/>
      </w:pPr>
    </w:p>
    <w:sectPr w:rsidR="0031061C" w:rsidSect="004629A4">
      <w:headerReference w:type="default" r:id="rId7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04E4" w14:textId="77777777" w:rsidR="004629A4" w:rsidRDefault="004629A4" w:rsidP="004629A4">
      <w:pPr>
        <w:spacing w:after="0" w:line="240" w:lineRule="auto"/>
      </w:pPr>
      <w:r>
        <w:separator/>
      </w:r>
    </w:p>
  </w:endnote>
  <w:endnote w:type="continuationSeparator" w:id="0">
    <w:p w14:paraId="7E3D8C1E" w14:textId="77777777" w:rsidR="004629A4" w:rsidRDefault="004629A4" w:rsidP="0046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95C1" w14:textId="77777777" w:rsidR="004629A4" w:rsidRDefault="004629A4" w:rsidP="004629A4">
      <w:pPr>
        <w:spacing w:after="0" w:line="240" w:lineRule="auto"/>
      </w:pPr>
      <w:r>
        <w:separator/>
      </w:r>
    </w:p>
  </w:footnote>
  <w:footnote w:type="continuationSeparator" w:id="0">
    <w:p w14:paraId="749A0E16" w14:textId="77777777" w:rsidR="004629A4" w:rsidRDefault="004629A4" w:rsidP="0046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637414"/>
      <w:docPartObj>
        <w:docPartGallery w:val="Page Numbers (Top of Page)"/>
        <w:docPartUnique/>
      </w:docPartObj>
    </w:sdtPr>
    <w:sdtContent>
      <w:p w14:paraId="56B21327" w14:textId="14D302C4" w:rsidR="004629A4" w:rsidRDefault="004629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B7A88" w14:textId="77777777" w:rsidR="004629A4" w:rsidRDefault="00462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1B0C"/>
    <w:multiLevelType w:val="hybridMultilevel"/>
    <w:tmpl w:val="FE407312"/>
    <w:lvl w:ilvl="0" w:tplc="FB22FBA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E7A35"/>
    <w:multiLevelType w:val="hybridMultilevel"/>
    <w:tmpl w:val="1E5AED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91D6F"/>
    <w:multiLevelType w:val="hybridMultilevel"/>
    <w:tmpl w:val="D83648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460D8"/>
    <w:multiLevelType w:val="hybridMultilevel"/>
    <w:tmpl w:val="B6B4A4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D0D04"/>
    <w:multiLevelType w:val="hybridMultilevel"/>
    <w:tmpl w:val="2BACEF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105BA"/>
    <w:multiLevelType w:val="hybridMultilevel"/>
    <w:tmpl w:val="592AF22C"/>
    <w:lvl w:ilvl="0" w:tplc="4CF4AF9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8224C"/>
    <w:multiLevelType w:val="hybridMultilevel"/>
    <w:tmpl w:val="B6B4A4EC"/>
    <w:lvl w:ilvl="0" w:tplc="91DAD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C95"/>
    <w:multiLevelType w:val="hybridMultilevel"/>
    <w:tmpl w:val="2EBE8AA6"/>
    <w:lvl w:ilvl="0" w:tplc="E0C2048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31488">
    <w:abstractNumId w:val="6"/>
  </w:num>
  <w:num w:numId="2" w16cid:durableId="266934215">
    <w:abstractNumId w:val="3"/>
  </w:num>
  <w:num w:numId="3" w16cid:durableId="279456397">
    <w:abstractNumId w:val="1"/>
  </w:num>
  <w:num w:numId="4" w16cid:durableId="418916967">
    <w:abstractNumId w:val="4"/>
  </w:num>
  <w:num w:numId="5" w16cid:durableId="668874376">
    <w:abstractNumId w:val="2"/>
  </w:num>
  <w:num w:numId="6" w16cid:durableId="1670135639">
    <w:abstractNumId w:val="5"/>
  </w:num>
  <w:num w:numId="7" w16cid:durableId="983312898">
    <w:abstractNumId w:val="0"/>
  </w:num>
  <w:num w:numId="8" w16cid:durableId="62918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CB"/>
    <w:rsid w:val="00011AFE"/>
    <w:rsid w:val="00013C7D"/>
    <w:rsid w:val="0001485C"/>
    <w:rsid w:val="000157F5"/>
    <w:rsid w:val="00075877"/>
    <w:rsid w:val="00082203"/>
    <w:rsid w:val="000947CE"/>
    <w:rsid w:val="000A12B4"/>
    <w:rsid w:val="000C3D11"/>
    <w:rsid w:val="000F2D52"/>
    <w:rsid w:val="000F5831"/>
    <w:rsid w:val="000F697C"/>
    <w:rsid w:val="001163C2"/>
    <w:rsid w:val="00162B84"/>
    <w:rsid w:val="0018361D"/>
    <w:rsid w:val="0019029F"/>
    <w:rsid w:val="001B1B46"/>
    <w:rsid w:val="001F0F9E"/>
    <w:rsid w:val="001F1395"/>
    <w:rsid w:val="0020473B"/>
    <w:rsid w:val="00287D15"/>
    <w:rsid w:val="00294BB3"/>
    <w:rsid w:val="00294F14"/>
    <w:rsid w:val="002A492E"/>
    <w:rsid w:val="002C2884"/>
    <w:rsid w:val="002E1EE1"/>
    <w:rsid w:val="002E3311"/>
    <w:rsid w:val="002F3A2F"/>
    <w:rsid w:val="00300EDE"/>
    <w:rsid w:val="0031061C"/>
    <w:rsid w:val="003255FB"/>
    <w:rsid w:val="00344F29"/>
    <w:rsid w:val="00345F6E"/>
    <w:rsid w:val="00347FCE"/>
    <w:rsid w:val="00356708"/>
    <w:rsid w:val="00385E7E"/>
    <w:rsid w:val="00390747"/>
    <w:rsid w:val="003A533D"/>
    <w:rsid w:val="003A636D"/>
    <w:rsid w:val="003A79E5"/>
    <w:rsid w:val="003C6F18"/>
    <w:rsid w:val="00447E77"/>
    <w:rsid w:val="0045273E"/>
    <w:rsid w:val="004629A4"/>
    <w:rsid w:val="004A076E"/>
    <w:rsid w:val="004A2E28"/>
    <w:rsid w:val="004A6FA7"/>
    <w:rsid w:val="004B2A8A"/>
    <w:rsid w:val="004F3828"/>
    <w:rsid w:val="004F5D3D"/>
    <w:rsid w:val="005244DD"/>
    <w:rsid w:val="00525F2B"/>
    <w:rsid w:val="005343B3"/>
    <w:rsid w:val="00577AF5"/>
    <w:rsid w:val="005801EC"/>
    <w:rsid w:val="005972FD"/>
    <w:rsid w:val="005B47C9"/>
    <w:rsid w:val="005B58CD"/>
    <w:rsid w:val="005C18D5"/>
    <w:rsid w:val="005D362A"/>
    <w:rsid w:val="005E178C"/>
    <w:rsid w:val="005F0C96"/>
    <w:rsid w:val="00614B8E"/>
    <w:rsid w:val="0065369A"/>
    <w:rsid w:val="00671AA0"/>
    <w:rsid w:val="00685010"/>
    <w:rsid w:val="0068720E"/>
    <w:rsid w:val="006907C1"/>
    <w:rsid w:val="0069354D"/>
    <w:rsid w:val="006A526F"/>
    <w:rsid w:val="006D3BD7"/>
    <w:rsid w:val="006D58A2"/>
    <w:rsid w:val="006E0E7D"/>
    <w:rsid w:val="0070648B"/>
    <w:rsid w:val="00736E24"/>
    <w:rsid w:val="00740322"/>
    <w:rsid w:val="007C5212"/>
    <w:rsid w:val="007C624B"/>
    <w:rsid w:val="00827146"/>
    <w:rsid w:val="008567CE"/>
    <w:rsid w:val="00891D15"/>
    <w:rsid w:val="008C5CBE"/>
    <w:rsid w:val="008F2B80"/>
    <w:rsid w:val="009100EE"/>
    <w:rsid w:val="0091766D"/>
    <w:rsid w:val="009222DD"/>
    <w:rsid w:val="009576C9"/>
    <w:rsid w:val="00973DC1"/>
    <w:rsid w:val="00976F6B"/>
    <w:rsid w:val="00982843"/>
    <w:rsid w:val="009951B2"/>
    <w:rsid w:val="009A5032"/>
    <w:rsid w:val="009B7130"/>
    <w:rsid w:val="009E7EC3"/>
    <w:rsid w:val="00AC0D3F"/>
    <w:rsid w:val="00AE54FF"/>
    <w:rsid w:val="00AF08C8"/>
    <w:rsid w:val="00B20779"/>
    <w:rsid w:val="00B374FD"/>
    <w:rsid w:val="00B5134A"/>
    <w:rsid w:val="00B54F5E"/>
    <w:rsid w:val="00BC4D11"/>
    <w:rsid w:val="00BE5335"/>
    <w:rsid w:val="00BF73D8"/>
    <w:rsid w:val="00C0535A"/>
    <w:rsid w:val="00C14873"/>
    <w:rsid w:val="00C6130E"/>
    <w:rsid w:val="00C634B2"/>
    <w:rsid w:val="00C9307A"/>
    <w:rsid w:val="00CD2D91"/>
    <w:rsid w:val="00CD4158"/>
    <w:rsid w:val="00CE5832"/>
    <w:rsid w:val="00D06249"/>
    <w:rsid w:val="00D13EA6"/>
    <w:rsid w:val="00D3425A"/>
    <w:rsid w:val="00D57418"/>
    <w:rsid w:val="00DB075C"/>
    <w:rsid w:val="00DB2C66"/>
    <w:rsid w:val="00E27D86"/>
    <w:rsid w:val="00E4047F"/>
    <w:rsid w:val="00E61327"/>
    <w:rsid w:val="00E9100E"/>
    <w:rsid w:val="00EB0A61"/>
    <w:rsid w:val="00ED6D79"/>
    <w:rsid w:val="00F12C8A"/>
    <w:rsid w:val="00F23C4F"/>
    <w:rsid w:val="00F87129"/>
    <w:rsid w:val="00FC5BE6"/>
    <w:rsid w:val="00FD602A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21F3"/>
  <w15:chartTrackingRefBased/>
  <w15:docId w15:val="{075FC0FA-F5A6-44C7-A8BF-E8FC56C7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CB"/>
  </w:style>
  <w:style w:type="paragraph" w:styleId="Heading1">
    <w:name w:val="heading 1"/>
    <w:basedOn w:val="Normal"/>
    <w:next w:val="Normal"/>
    <w:link w:val="Heading1Char"/>
    <w:uiPriority w:val="9"/>
    <w:qFormat/>
    <w:rsid w:val="00FF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9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A4"/>
  </w:style>
  <w:style w:type="paragraph" w:styleId="Footer">
    <w:name w:val="footer"/>
    <w:basedOn w:val="Normal"/>
    <w:link w:val="FooterChar"/>
    <w:uiPriority w:val="99"/>
    <w:unhideWhenUsed/>
    <w:rsid w:val="004629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3422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Žadvilė Abelienė</dc:creator>
  <cp:lastModifiedBy>Aistė Raudoniūtė</cp:lastModifiedBy>
  <cp:revision>3</cp:revision>
  <dcterms:created xsi:type="dcterms:W3CDTF">2025-04-03T09:36:00Z</dcterms:created>
  <dcterms:modified xsi:type="dcterms:W3CDTF">2025-04-10T06:02:00Z</dcterms:modified>
</cp:coreProperties>
</file>