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2A7581D4" w:rsidR="00130A29" w:rsidRPr="0004713A" w:rsidRDefault="002F2A10" w:rsidP="00061D10">
      <w:pPr>
        <w:pStyle w:val="BodyTextIndent"/>
        <w:ind w:firstLine="0"/>
        <w:jc w:val="center"/>
        <w:rPr>
          <w:rFonts w:ascii="Arial" w:hAnsi="Arial" w:cs="Arial"/>
          <w:iCs/>
          <w:sz w:val="20"/>
        </w:rPr>
      </w:pPr>
      <w:r>
        <w:rPr>
          <w:rFonts w:ascii="Arial" w:hAnsi="Arial" w:cs="Arial"/>
          <w:iCs/>
          <w:sz w:val="20"/>
        </w:rPr>
        <w:t>______________________</w:t>
      </w:r>
    </w:p>
    <w:p w14:paraId="7DEF365B" w14:textId="77777777" w:rsidR="003C1024" w:rsidRPr="0004713A" w:rsidRDefault="003C1024" w:rsidP="00061D10">
      <w:pPr>
        <w:pStyle w:val="BodyTextIndent"/>
        <w:ind w:firstLine="0"/>
        <w:rPr>
          <w:rFonts w:ascii="Arial" w:hAnsi="Arial" w:cs="Arial"/>
          <w:sz w:val="20"/>
        </w:rPr>
      </w:pPr>
    </w:p>
    <w:p w14:paraId="5D052B9B" w14:textId="528FE6A6"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p>
    <w:p w14:paraId="1276F3E4" w14:textId="77777777" w:rsidR="008A6212" w:rsidRPr="0004713A" w:rsidRDefault="008A6212" w:rsidP="008A6212">
      <w:pPr>
        <w:jc w:val="both"/>
        <w:rPr>
          <w:rFonts w:ascii="Arial" w:hAnsi="Arial" w:cs="Arial"/>
          <w:b/>
        </w:rPr>
      </w:pPr>
    </w:p>
    <w:p w14:paraId="0F1FCE89" w14:textId="19747F3C" w:rsidR="00D0084E" w:rsidRPr="00D05ECD" w:rsidRDefault="00D0084E" w:rsidP="00D0084E">
      <w:pPr>
        <w:jc w:val="both"/>
        <w:rPr>
          <w:rFonts w:ascii="Arial" w:hAnsi="Arial" w:cs="Arial"/>
          <w:b/>
        </w:rPr>
      </w:pPr>
      <w:r w:rsidRPr="00B65B2D">
        <w:rPr>
          <w:rFonts w:ascii="Arial" w:hAnsi="Arial" w:cs="Arial"/>
          <w:b/>
          <w:bCs/>
        </w:rPr>
        <w:t>„</w:t>
      </w:r>
      <w:r>
        <w:rPr>
          <w:rFonts w:ascii="Arial" w:hAnsi="Arial" w:cs="Arial"/>
          <w:b/>
          <w:bCs/>
        </w:rPr>
        <w:t>Kauno</w:t>
      </w:r>
      <w:r w:rsidRPr="00B65B2D">
        <w:rPr>
          <w:rFonts w:ascii="Arial" w:hAnsi="Arial" w:cs="Arial"/>
          <w:b/>
          <w:bCs/>
        </w:rPr>
        <w:t xml:space="preserve"> kogeneracinė jėgainė“, UAB</w:t>
      </w:r>
      <w:r w:rsidRPr="00B65B2D">
        <w:rPr>
          <w:rFonts w:ascii="Arial" w:hAnsi="Arial" w:cs="Arial"/>
        </w:rPr>
        <w:t>, pagal</w:t>
      </w:r>
      <w:r w:rsidRPr="005F3836">
        <w:rPr>
          <w:rFonts w:ascii="Arial" w:hAnsi="Arial" w:cs="Arial"/>
        </w:rPr>
        <w:t xml:space="preserve"> Lietuvos Respublikos įstatymus teisėtai įregistruota ir veikianti akcinė bendrovė, juridinio asmens kodas </w:t>
      </w:r>
      <w:r w:rsidRPr="001737E1">
        <w:rPr>
          <w:rFonts w:ascii="Arial" w:hAnsi="Arial" w:cs="Arial"/>
        </w:rPr>
        <w:t>303792888</w:t>
      </w:r>
      <w:r w:rsidR="00C166AD">
        <w:rPr>
          <w:rFonts w:ascii="Arial" w:hAnsi="Arial" w:cs="Arial"/>
        </w:rPr>
        <w:t>,</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312D7"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w:t>
      </w:r>
      <w:r w:rsidRPr="000312D7">
        <w:rPr>
          <w:rFonts w:ascii="Arial" w:hAnsi="Arial" w:cs="Arial"/>
        </w:rPr>
        <w:t xml:space="preserve">jos prieduose. </w:t>
      </w:r>
      <w:r w:rsidR="00F60023" w:rsidRPr="000312D7">
        <w:rPr>
          <w:rFonts w:ascii="Arial" w:hAnsi="Arial" w:cs="Arial"/>
        </w:rPr>
        <w:t xml:space="preserve">Šia Sutartimi Šalys susitaria dėl tokių </w:t>
      </w:r>
      <w:r w:rsidR="00896017" w:rsidRPr="000312D7">
        <w:rPr>
          <w:rFonts w:ascii="Arial" w:hAnsi="Arial" w:cs="Arial"/>
        </w:rPr>
        <w:t>Paslaugų (</w:t>
      </w:r>
      <w:r w:rsidR="00F60023" w:rsidRPr="000312D7">
        <w:rPr>
          <w:rFonts w:ascii="Arial" w:hAnsi="Arial" w:cs="Arial"/>
        </w:rPr>
        <w:t>Paslaugų grupių</w:t>
      </w:r>
      <w:r w:rsidR="00896017" w:rsidRPr="000312D7">
        <w:rPr>
          <w:rFonts w:ascii="Arial" w:hAnsi="Arial" w:cs="Arial"/>
        </w:rPr>
        <w:t>)</w:t>
      </w:r>
      <w:r w:rsidR="00F60023" w:rsidRPr="000312D7">
        <w:rPr>
          <w:rFonts w:ascii="Arial" w:hAnsi="Arial" w:cs="Arial"/>
        </w:rPr>
        <w:t xml:space="preserve"> teikimo </w:t>
      </w:r>
      <w:r w:rsidR="00B62B05" w:rsidRPr="000312D7">
        <w:rPr>
          <w:rFonts w:ascii="Arial" w:hAnsi="Arial" w:cs="Arial"/>
        </w:rPr>
        <w:t>Užsakovui</w:t>
      </w:r>
      <w:r w:rsidR="00F60023" w:rsidRPr="000312D7">
        <w:rPr>
          <w:rFonts w:ascii="Arial" w:hAnsi="Arial" w:cs="Arial"/>
        </w:rPr>
        <w:t>:</w:t>
      </w:r>
    </w:p>
    <w:p w14:paraId="16D1C301" w14:textId="119B4C20" w:rsidR="00DA74BB" w:rsidRPr="000312D7" w:rsidRDefault="00D71A56" w:rsidP="00BC0BFF">
      <w:pPr>
        <w:pStyle w:val="ListParagraph"/>
        <w:numPr>
          <w:ilvl w:val="2"/>
          <w:numId w:val="39"/>
        </w:numPr>
        <w:tabs>
          <w:tab w:val="left" w:pos="851"/>
        </w:tabs>
        <w:ind w:left="142" w:firstLine="0"/>
        <w:jc w:val="both"/>
        <w:rPr>
          <w:rFonts w:ascii="Arial" w:eastAsiaTheme="minorEastAsia" w:hAnsi="Arial" w:cs="Arial"/>
        </w:rPr>
      </w:pPr>
      <w:r w:rsidRPr="000312D7">
        <w:rPr>
          <w:rFonts w:ascii="Arial" w:hAnsi="Arial" w:cs="Arial"/>
        </w:rPr>
        <w:t>Informacinių technologijų ir telekomunikacijų sistemų vystymo ir kūrimo bei konsultavimo paslaugos</w:t>
      </w:r>
      <w:r w:rsidR="00FE2538" w:rsidRPr="000312D7">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4CD11B9A" w:rsidR="006D1E02" w:rsidRPr="0099124D" w:rsidRDefault="00101D0D" w:rsidP="00BC0BFF">
      <w:pPr>
        <w:pStyle w:val="ListParagraph"/>
        <w:numPr>
          <w:ilvl w:val="1"/>
          <w:numId w:val="39"/>
        </w:numPr>
        <w:ind w:left="0" w:firstLine="0"/>
        <w:jc w:val="both"/>
        <w:rPr>
          <w:rFonts w:ascii="Arial" w:hAnsi="Arial" w:cs="Arial"/>
        </w:rPr>
      </w:pPr>
      <w:r w:rsidRPr="0099124D">
        <w:rPr>
          <w:rFonts w:ascii="Arial" w:hAnsi="Arial" w:cs="Arial"/>
        </w:rPr>
        <w:t xml:space="preserve">Bendra </w:t>
      </w:r>
      <w:r w:rsidR="002E077A" w:rsidRPr="0099124D">
        <w:rPr>
          <w:rFonts w:ascii="Arial" w:hAnsi="Arial" w:cs="Arial"/>
        </w:rPr>
        <w:t>Sutarties</w:t>
      </w:r>
      <w:r w:rsidR="006D1E02" w:rsidRPr="0099124D">
        <w:rPr>
          <w:rFonts w:ascii="Arial" w:hAnsi="Arial" w:cs="Arial"/>
        </w:rPr>
        <w:t xml:space="preserve"> kain</w:t>
      </w:r>
      <w:r w:rsidR="002E077A" w:rsidRPr="0099124D">
        <w:rPr>
          <w:rFonts w:ascii="Arial" w:hAnsi="Arial" w:cs="Arial"/>
        </w:rPr>
        <w:t>a:</w:t>
      </w:r>
      <w:r w:rsidR="00E20B3C" w:rsidRPr="0099124D">
        <w:rPr>
          <w:rFonts w:ascii="Arial" w:hAnsi="Arial" w:cs="Arial"/>
        </w:rPr>
        <w:t xml:space="preserve"> </w:t>
      </w:r>
      <w:r w:rsidR="0099124D" w:rsidRPr="0099124D">
        <w:rPr>
          <w:rFonts w:ascii="Arial" w:hAnsi="Arial" w:cs="Arial"/>
        </w:rPr>
        <w:t xml:space="preserve">68 970,00 </w:t>
      </w:r>
      <w:r w:rsidR="0040712D" w:rsidRPr="0099124D">
        <w:rPr>
          <w:rFonts w:ascii="Arial" w:hAnsi="Arial" w:cs="Arial"/>
        </w:rPr>
        <w:t xml:space="preserve"> </w:t>
      </w:r>
      <w:r w:rsidR="006D1E02" w:rsidRPr="0099124D">
        <w:rPr>
          <w:rFonts w:ascii="Arial" w:hAnsi="Arial" w:cs="Arial"/>
        </w:rPr>
        <w:t>EUR (</w:t>
      </w:r>
      <w:proofErr w:type="spellStart"/>
      <w:r w:rsidR="0099124D" w:rsidRPr="0099124D">
        <w:rPr>
          <w:rFonts w:ascii="Arial" w:hAnsi="Arial" w:cs="Arial"/>
        </w:rPr>
        <w:t>šiašiasdešimt</w:t>
      </w:r>
      <w:proofErr w:type="spellEnd"/>
      <w:r w:rsidR="0099124D" w:rsidRPr="0099124D">
        <w:rPr>
          <w:rFonts w:ascii="Arial" w:hAnsi="Arial" w:cs="Arial"/>
        </w:rPr>
        <w:t xml:space="preserve"> aštuoni tūkstančiai devyni šimtai septyniasdešimt </w:t>
      </w:r>
      <w:r w:rsidR="007B4C01" w:rsidRPr="0099124D">
        <w:rPr>
          <w:rFonts w:ascii="Arial" w:hAnsi="Arial" w:cs="Arial"/>
        </w:rPr>
        <w:t xml:space="preserve"> </w:t>
      </w:r>
      <w:r w:rsidR="00E20B3C" w:rsidRPr="0099124D">
        <w:rPr>
          <w:rFonts w:ascii="Arial" w:hAnsi="Arial" w:cs="Arial"/>
        </w:rPr>
        <w:t>eurų</w:t>
      </w:r>
      <w:r w:rsidR="00186005" w:rsidRPr="0099124D">
        <w:rPr>
          <w:rFonts w:ascii="Arial" w:hAnsi="Arial" w:cs="Arial"/>
        </w:rPr>
        <w:t xml:space="preserve"> ir</w:t>
      </w:r>
      <w:r w:rsidR="006D1E02" w:rsidRPr="0099124D">
        <w:rPr>
          <w:rFonts w:ascii="Arial" w:hAnsi="Arial" w:cs="Arial"/>
        </w:rPr>
        <w:t xml:space="preserve"> </w:t>
      </w:r>
      <w:r w:rsidR="0099124D" w:rsidRPr="0099124D">
        <w:rPr>
          <w:rFonts w:ascii="Arial" w:hAnsi="Arial" w:cs="Arial"/>
        </w:rPr>
        <w:t>0</w:t>
      </w:r>
      <w:r w:rsidR="006D1E02" w:rsidRPr="0099124D">
        <w:rPr>
          <w:rFonts w:ascii="Arial" w:hAnsi="Arial" w:cs="Arial"/>
        </w:rPr>
        <w:t xml:space="preserve"> ct), įskaitant PVM. </w:t>
      </w:r>
      <w:r w:rsidR="00773A83" w:rsidRPr="0099124D">
        <w:rPr>
          <w:rFonts w:ascii="Arial" w:hAnsi="Arial" w:cs="Arial"/>
        </w:rPr>
        <w:t>Bendrą Sutarties kainą sudaro:</w:t>
      </w:r>
    </w:p>
    <w:p w14:paraId="1CE2FE0D" w14:textId="458D33AF" w:rsidR="00101D65" w:rsidRPr="0099124D" w:rsidRDefault="006D1E02" w:rsidP="00773A83">
      <w:pPr>
        <w:pStyle w:val="ListParagraph"/>
        <w:numPr>
          <w:ilvl w:val="2"/>
          <w:numId w:val="39"/>
        </w:numPr>
        <w:jc w:val="both"/>
        <w:rPr>
          <w:rFonts w:ascii="Arial" w:hAnsi="Arial" w:cs="Arial"/>
        </w:rPr>
      </w:pPr>
      <w:r w:rsidRPr="0099124D">
        <w:rPr>
          <w:rFonts w:ascii="Arial" w:hAnsi="Arial" w:cs="Arial"/>
        </w:rPr>
        <w:t>Paslaugų kaina</w:t>
      </w:r>
      <w:r w:rsidR="002E077A" w:rsidRPr="0099124D">
        <w:rPr>
          <w:rFonts w:ascii="Arial" w:hAnsi="Arial" w:cs="Arial"/>
        </w:rPr>
        <w:t>:</w:t>
      </w:r>
      <w:r w:rsidRPr="0099124D">
        <w:rPr>
          <w:rFonts w:ascii="Arial" w:hAnsi="Arial" w:cs="Arial"/>
        </w:rPr>
        <w:t xml:space="preserve"> </w:t>
      </w:r>
      <w:r w:rsidR="00D0084E" w:rsidRPr="0099124D">
        <w:rPr>
          <w:rFonts w:ascii="Arial" w:hAnsi="Arial" w:cs="Arial"/>
        </w:rPr>
        <w:t>57 000,00</w:t>
      </w:r>
      <w:r w:rsidR="002C547E" w:rsidRPr="0099124D">
        <w:rPr>
          <w:rFonts w:ascii="Arial" w:hAnsi="Arial" w:cs="Arial"/>
        </w:rPr>
        <w:t xml:space="preserve"> </w:t>
      </w:r>
      <w:r w:rsidRPr="0099124D">
        <w:rPr>
          <w:rFonts w:ascii="Arial" w:hAnsi="Arial" w:cs="Arial"/>
        </w:rPr>
        <w:t>EUR (</w:t>
      </w:r>
      <w:r w:rsidR="00D0084E" w:rsidRPr="0099124D">
        <w:rPr>
          <w:rFonts w:ascii="Arial" w:hAnsi="Arial" w:cs="Arial"/>
        </w:rPr>
        <w:t>penkiasdešimt septyni tūkstančiai</w:t>
      </w:r>
      <w:r w:rsidR="002C547E" w:rsidRPr="0099124D">
        <w:rPr>
          <w:rFonts w:ascii="Arial" w:hAnsi="Arial" w:cs="Arial"/>
        </w:rPr>
        <w:t xml:space="preserve"> </w:t>
      </w:r>
      <w:r w:rsidRPr="0099124D">
        <w:rPr>
          <w:rFonts w:ascii="Arial" w:hAnsi="Arial" w:cs="Arial"/>
        </w:rPr>
        <w:t>eurų</w:t>
      </w:r>
      <w:r w:rsidR="00090ADD" w:rsidRPr="0099124D">
        <w:rPr>
          <w:rFonts w:ascii="Arial" w:hAnsi="Arial" w:cs="Arial"/>
        </w:rPr>
        <w:t xml:space="preserve"> ir</w:t>
      </w:r>
      <w:r w:rsidRPr="0099124D">
        <w:rPr>
          <w:rFonts w:ascii="Arial" w:hAnsi="Arial" w:cs="Arial"/>
        </w:rPr>
        <w:t xml:space="preserve"> </w:t>
      </w:r>
      <w:r w:rsidR="00754071" w:rsidRPr="0099124D">
        <w:rPr>
          <w:rFonts w:ascii="Arial" w:hAnsi="Arial" w:cs="Arial"/>
        </w:rPr>
        <w:t>__</w:t>
      </w:r>
      <w:r w:rsidRPr="0099124D">
        <w:rPr>
          <w:rFonts w:ascii="Arial" w:hAnsi="Arial" w:cs="Arial"/>
        </w:rPr>
        <w:t xml:space="preserve"> ct), neįskaitant PVM</w:t>
      </w:r>
      <w:r w:rsidR="00090ADD" w:rsidRPr="0099124D">
        <w:rPr>
          <w:rFonts w:ascii="Arial" w:hAnsi="Arial" w:cs="Arial"/>
        </w:rPr>
        <w:t>.</w:t>
      </w:r>
    </w:p>
    <w:p w14:paraId="721271E2" w14:textId="254C5F28" w:rsidR="00773A83" w:rsidRPr="0099124D" w:rsidRDefault="00E0022E" w:rsidP="00773A83">
      <w:pPr>
        <w:pStyle w:val="ListParagraph"/>
        <w:numPr>
          <w:ilvl w:val="2"/>
          <w:numId w:val="39"/>
        </w:numPr>
        <w:jc w:val="both"/>
        <w:rPr>
          <w:rFonts w:ascii="Arial" w:hAnsi="Arial" w:cs="Arial"/>
        </w:rPr>
      </w:pPr>
      <w:r w:rsidRPr="0099124D">
        <w:rPr>
          <w:rFonts w:ascii="Arial" w:hAnsi="Arial" w:cs="Arial"/>
        </w:rPr>
        <w:t>Papildomų paslaugų kaina – 10 % (nuo Paslaugų kainos) - (</w:t>
      </w:r>
      <w:r w:rsidR="00D0084E" w:rsidRPr="0099124D">
        <w:rPr>
          <w:rFonts w:ascii="Arial" w:hAnsi="Arial" w:cs="Arial"/>
        </w:rPr>
        <w:t xml:space="preserve">penki tūkstančiai </w:t>
      </w:r>
      <w:r w:rsidR="0099124D" w:rsidRPr="0099124D">
        <w:rPr>
          <w:rFonts w:ascii="Arial" w:hAnsi="Arial" w:cs="Arial"/>
        </w:rPr>
        <w:t>septyni šimtai</w:t>
      </w:r>
      <w:r w:rsidRPr="0099124D">
        <w:rPr>
          <w:rFonts w:ascii="Arial" w:hAnsi="Arial" w:cs="Arial"/>
        </w:rPr>
        <w:t xml:space="preserve"> eurų </w:t>
      </w:r>
      <w:r w:rsidR="0099124D" w:rsidRPr="0099124D">
        <w:rPr>
          <w:rFonts w:ascii="Arial" w:hAnsi="Arial" w:cs="Arial"/>
        </w:rPr>
        <w:t>0</w:t>
      </w:r>
      <w:r w:rsidRPr="0099124D">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643142E2" w:rsidR="00114CCC"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 xml:space="preserve">Sutartis įsigalioja </w:t>
      </w:r>
      <w:r w:rsidR="00313E52" w:rsidRPr="000312D7">
        <w:rPr>
          <w:rFonts w:ascii="Arial" w:hAnsi="Arial" w:cs="Arial"/>
          <w:sz w:val="20"/>
        </w:rPr>
        <w:t>jos pasirašymo dieną, bet ne anksčiau kaip 202</w:t>
      </w:r>
      <w:r w:rsidR="00A707EC" w:rsidRPr="000312D7">
        <w:rPr>
          <w:rFonts w:ascii="Arial" w:hAnsi="Arial" w:cs="Arial"/>
          <w:sz w:val="20"/>
        </w:rPr>
        <w:t>2</w:t>
      </w:r>
      <w:r w:rsidR="00313E52" w:rsidRPr="000312D7">
        <w:rPr>
          <w:rFonts w:ascii="Arial" w:hAnsi="Arial" w:cs="Arial"/>
          <w:sz w:val="20"/>
        </w:rPr>
        <w:t xml:space="preserve"> m. </w:t>
      </w:r>
      <w:r w:rsidR="00A707EC" w:rsidRPr="000312D7">
        <w:rPr>
          <w:rFonts w:ascii="Arial" w:hAnsi="Arial" w:cs="Arial"/>
          <w:sz w:val="20"/>
        </w:rPr>
        <w:t>sausio</w:t>
      </w:r>
      <w:r w:rsidR="00313E52" w:rsidRPr="000312D7">
        <w:rPr>
          <w:rFonts w:ascii="Arial" w:hAnsi="Arial" w:cs="Arial"/>
          <w:sz w:val="20"/>
        </w:rPr>
        <w:t xml:space="preserve"> 1 d.</w:t>
      </w:r>
    </w:p>
    <w:p w14:paraId="7273593F" w14:textId="6E83BB5E" w:rsidR="00697D52"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Jei Šalių atstovai Sutartį pasirašo skirtingomis dienomis, Sutartis įsigalioja tą dieną, kurią Sutartį pasirašo vėliau pasirašiusioji Šalis</w:t>
      </w:r>
      <w:r w:rsidR="009848EC" w:rsidRPr="000312D7">
        <w:rPr>
          <w:rFonts w:ascii="Arial" w:hAnsi="Arial" w:cs="Arial"/>
          <w:sz w:val="20"/>
        </w:rPr>
        <w:t xml:space="preserve"> (jeigu Sutartis įsigalioja jos pasirašymo dieną)</w:t>
      </w:r>
      <w:r w:rsidRPr="000312D7">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lastRenderedPageBreak/>
        <w:t>Sutartis galioja</w:t>
      </w:r>
      <w:r w:rsidR="007F4CC9" w:rsidRPr="000312D7">
        <w:rPr>
          <w:rFonts w:ascii="Arial" w:hAnsi="Arial" w:cs="Arial"/>
          <w:sz w:val="20"/>
        </w:rPr>
        <w:t xml:space="preserve"> </w:t>
      </w:r>
      <w:r w:rsidR="001209E2" w:rsidRPr="000312D7">
        <w:rPr>
          <w:rFonts w:ascii="Arial" w:hAnsi="Arial" w:cs="Arial"/>
          <w:sz w:val="20"/>
        </w:rPr>
        <w:t>36</w:t>
      </w:r>
      <w:r w:rsidR="009523A9" w:rsidRPr="000312D7">
        <w:rPr>
          <w:rFonts w:ascii="Arial" w:hAnsi="Arial" w:cs="Arial"/>
          <w:sz w:val="20"/>
        </w:rPr>
        <w:t xml:space="preserve"> mėnesius nuo įsigaliojimo dienos</w:t>
      </w:r>
      <w:r w:rsidR="009523A9" w:rsidRPr="0004713A">
        <w:rPr>
          <w:rFonts w:ascii="Arial" w:hAnsi="Arial" w:cs="Arial"/>
          <w:sz w:val="20"/>
        </w:rPr>
        <w:t>, bet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51C802A9" w:rsidR="00943F34" w:rsidRPr="00046234" w:rsidRDefault="00322777" w:rsidP="00E52EEA">
      <w:pPr>
        <w:pStyle w:val="BodyTextIndent"/>
        <w:numPr>
          <w:ilvl w:val="1"/>
          <w:numId w:val="39"/>
        </w:numPr>
        <w:tabs>
          <w:tab w:val="left" w:pos="709"/>
        </w:tabs>
        <w:ind w:left="0" w:firstLine="0"/>
        <w:rPr>
          <w:rFonts w:ascii="Arial" w:hAnsi="Arial" w:cs="Arial"/>
          <w:sz w:val="20"/>
        </w:rPr>
      </w:pPr>
      <w:r w:rsidRPr="00046234">
        <w:rPr>
          <w:rFonts w:ascii="Arial" w:hAnsi="Arial" w:cs="Arial"/>
          <w:sz w:val="20"/>
        </w:rPr>
        <w:t xml:space="preserve">Užsakovo </w:t>
      </w:r>
      <w:r w:rsidR="00943F34" w:rsidRPr="00046234">
        <w:rPr>
          <w:rFonts w:ascii="Arial" w:hAnsi="Arial" w:cs="Arial"/>
          <w:sz w:val="20"/>
        </w:rPr>
        <w:t xml:space="preserve">atstovų, kurie bus atsakingi už šios Sutarties vykdymą, kontaktai: </w:t>
      </w:r>
    </w:p>
    <w:p w14:paraId="0C607441" w14:textId="011AFDDE" w:rsidR="00B7524B" w:rsidRPr="00046234" w:rsidRDefault="00943F34" w:rsidP="00E52EEA">
      <w:pPr>
        <w:pStyle w:val="BodyTextIndent"/>
        <w:numPr>
          <w:ilvl w:val="1"/>
          <w:numId w:val="39"/>
        </w:numPr>
        <w:tabs>
          <w:tab w:val="left" w:pos="709"/>
        </w:tabs>
        <w:ind w:left="0" w:firstLine="0"/>
        <w:rPr>
          <w:rFonts w:ascii="Arial" w:hAnsi="Arial" w:cs="Arial"/>
          <w:sz w:val="20"/>
        </w:rPr>
      </w:pPr>
      <w:r w:rsidRPr="00046234">
        <w:rPr>
          <w:rFonts w:ascii="Arial" w:hAnsi="Arial" w:cs="Arial"/>
          <w:sz w:val="20"/>
        </w:rPr>
        <w:t xml:space="preserve">Paslaugų teikėjo atstovų, kurie bus atsakingi už šios Sutarties vykdymą, kontaktai: </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99124D">
      <w:pPr>
        <w:pStyle w:val="BodyTextIndent"/>
        <w:ind w:firstLine="0"/>
        <w:jc w:val="center"/>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19267768" w:rsidR="004444A8"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1 </w:t>
      </w:r>
      <w:r w:rsidR="004444A8" w:rsidRPr="00D0084E">
        <w:rPr>
          <w:rFonts w:ascii="Arial" w:hAnsi="Arial" w:cs="Arial"/>
          <w:u w:val="single"/>
        </w:rPr>
        <w:t>„Paslaugų valdymas“;</w:t>
      </w:r>
    </w:p>
    <w:p w14:paraId="7D30FE8E" w14:textId="138BC5F4" w:rsidR="00D05ECD"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riedas</w:t>
      </w:r>
      <w:r w:rsidRPr="00D0084E">
        <w:rPr>
          <w:rFonts w:ascii="Arial" w:hAnsi="Arial" w:cs="Arial"/>
          <w:u w:val="single"/>
        </w:rPr>
        <w:t xml:space="preserve"> Nr. 2</w:t>
      </w:r>
      <w:r w:rsidR="004444A8" w:rsidRPr="00D0084E">
        <w:rPr>
          <w:rFonts w:ascii="Arial" w:hAnsi="Arial" w:cs="Arial"/>
          <w:u w:val="single"/>
        </w:rPr>
        <w:t xml:space="preserve"> „</w:t>
      </w:r>
      <w:r w:rsidR="00BF1E27" w:rsidRPr="00D0084E">
        <w:rPr>
          <w:rFonts w:ascii="Arial" w:hAnsi="Arial" w:cs="Arial"/>
          <w:u w:val="single"/>
        </w:rPr>
        <w:t>Įkainių perskaičiavimo taisyklės</w:t>
      </w:r>
      <w:r w:rsidR="004444A8" w:rsidRPr="00D0084E">
        <w:rPr>
          <w:rFonts w:ascii="Arial" w:hAnsi="Arial" w:cs="Arial"/>
          <w:u w:val="single"/>
        </w:rPr>
        <w:t>“;</w:t>
      </w:r>
    </w:p>
    <w:p w14:paraId="6740D3B0" w14:textId="162F4E21" w:rsidR="00D05ECD" w:rsidRPr="00D0084E" w:rsidRDefault="000312D7" w:rsidP="0024721B">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3 </w:t>
      </w:r>
      <w:r w:rsidR="004444A8" w:rsidRPr="00D0084E">
        <w:rPr>
          <w:rFonts w:ascii="Arial" w:hAnsi="Arial" w:cs="Arial"/>
          <w:u w:val="single"/>
        </w:rPr>
        <w:t>„Duomenų tvarkymo sutartis“</w:t>
      </w:r>
      <w:r w:rsidR="007D2C36" w:rsidRPr="00D0084E">
        <w:rPr>
          <w:rFonts w:ascii="Arial" w:hAnsi="Arial" w:cs="Arial"/>
          <w:u w:val="single"/>
        </w:rPr>
        <w:t>;</w:t>
      </w:r>
    </w:p>
    <w:p w14:paraId="274DA4B2" w14:textId="45A3F9C8"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4 </w:t>
      </w:r>
      <w:r w:rsidR="00002B3F" w:rsidRPr="00D0084E">
        <w:rPr>
          <w:rFonts w:ascii="Arial" w:hAnsi="Arial" w:cs="Arial"/>
          <w:u w:val="single"/>
        </w:rPr>
        <w:t>„Įkainiai“;</w:t>
      </w:r>
    </w:p>
    <w:p w14:paraId="68B3F5C9" w14:textId="30AAB6C4"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5 </w:t>
      </w:r>
      <w:r w:rsidR="00002B3F" w:rsidRPr="00D0084E">
        <w:rPr>
          <w:rFonts w:ascii="Arial" w:hAnsi="Arial" w:cs="Arial"/>
          <w:u w:val="single"/>
        </w:rPr>
        <w:t>„Techninė specifikacija“;</w:t>
      </w:r>
    </w:p>
    <w:p w14:paraId="03757D0A" w14:textId="554BBF13" w:rsidR="003B581D" w:rsidRPr="00D0084E"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6 </w:t>
      </w:r>
      <w:r w:rsidR="003B581D" w:rsidRPr="00D0084E">
        <w:rPr>
          <w:rFonts w:ascii="Arial" w:hAnsi="Arial" w:cs="Arial"/>
          <w:u w:val="single"/>
        </w:rPr>
        <w:t>„</w:t>
      </w:r>
      <w:r w:rsidRPr="00D0084E">
        <w:rPr>
          <w:rFonts w:ascii="Arial" w:hAnsi="Arial" w:cs="Arial"/>
          <w:u w:val="single"/>
        </w:rPr>
        <w:t>Informacinių technologijų ir telekomunikacijų sistemų vystymo paslauga“</w:t>
      </w:r>
      <w:r w:rsidR="003B581D" w:rsidRPr="00D0084E">
        <w:rPr>
          <w:rFonts w:ascii="Arial" w:hAnsi="Arial" w:cs="Arial"/>
          <w:u w:val="single"/>
        </w:rPr>
        <w:t>;</w:t>
      </w:r>
    </w:p>
    <w:p w14:paraId="4D4AA2B4" w14:textId="054230CB" w:rsidR="003B581D" w:rsidRPr="00D0084E"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7 </w:t>
      </w:r>
      <w:r w:rsidR="003B581D" w:rsidRPr="00D0084E">
        <w:rPr>
          <w:rFonts w:ascii="Arial" w:hAnsi="Arial" w:cs="Arial"/>
          <w:u w:val="single"/>
        </w:rPr>
        <w:t>„</w:t>
      </w:r>
      <w:r w:rsidRPr="00D0084E">
        <w:rPr>
          <w:rFonts w:ascii="Arial" w:hAnsi="Arial" w:cs="Arial"/>
          <w:u w:val="single"/>
        </w:rPr>
        <w:t>IT verslo partnerio paslauga</w:t>
      </w:r>
      <w:r w:rsidR="003B581D" w:rsidRPr="00D0084E">
        <w:rPr>
          <w:rFonts w:ascii="Arial" w:hAnsi="Arial" w:cs="Arial"/>
          <w:u w:val="single"/>
        </w:rPr>
        <w:t>“;</w:t>
      </w:r>
    </w:p>
    <w:p w14:paraId="4350A477" w14:textId="57568E3F" w:rsidR="003B581D" w:rsidRPr="0004713A" w:rsidRDefault="003B581D" w:rsidP="00D0084E">
      <w:pPr>
        <w:pStyle w:val="ListParagraph"/>
        <w:tabs>
          <w:tab w:val="left" w:pos="851"/>
        </w:tabs>
        <w:ind w:left="142"/>
        <w:jc w:val="both"/>
        <w:rPr>
          <w:rFonts w:ascii="Arial" w:hAnsi="Arial" w:cs="Arial"/>
          <w:highlight w:val="yellow"/>
          <w:u w:val="single"/>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2EE0413D" w14:textId="331462DC" w:rsidR="00C5432C" w:rsidRPr="0004713A" w:rsidRDefault="00C5432C" w:rsidP="00061D10">
            <w:pPr>
              <w:tabs>
                <w:tab w:val="left" w:pos="0"/>
                <w:tab w:val="left" w:pos="630"/>
                <w:tab w:val="left" w:pos="2581"/>
                <w:tab w:val="left" w:pos="3285"/>
                <w:tab w:val="center" w:pos="3577"/>
              </w:tabs>
              <w:rPr>
                <w:rFonts w:ascii="Arial" w:hAnsi="Arial" w:cs="Arial"/>
              </w:rPr>
            </w:pPr>
          </w:p>
        </w:tc>
        <w:tc>
          <w:tcPr>
            <w:tcW w:w="4790" w:type="dxa"/>
          </w:tcPr>
          <w:p w14:paraId="6C3394A1" w14:textId="5ABEA5A3" w:rsidR="00C5432C" w:rsidRPr="0099124D" w:rsidRDefault="00170874" w:rsidP="00061D10">
            <w:pPr>
              <w:pStyle w:val="EndnoteText"/>
              <w:ind w:firstLine="0"/>
              <w:jc w:val="left"/>
              <w:rPr>
                <w:rFonts w:ascii="Arial" w:hAnsi="Arial" w:cs="Arial"/>
                <w:b/>
              </w:rPr>
            </w:pPr>
            <w:r w:rsidRPr="0099124D">
              <w:rPr>
                <w:rFonts w:ascii="Arial" w:hAnsi="Arial" w:cs="Arial"/>
                <w:b/>
              </w:rPr>
              <w:t>Užsakovas</w:t>
            </w:r>
          </w:p>
          <w:p w14:paraId="5541B66E" w14:textId="77777777" w:rsidR="0099124D" w:rsidRPr="0099124D" w:rsidRDefault="0099124D" w:rsidP="0099124D">
            <w:pPr>
              <w:jc w:val="both"/>
              <w:rPr>
                <w:rFonts w:ascii="Arial" w:hAnsi="Arial" w:cs="Arial"/>
              </w:rPr>
            </w:pPr>
            <w:r w:rsidRPr="0099124D">
              <w:rPr>
                <w:rFonts w:ascii="Arial" w:hAnsi="Arial" w:cs="Arial"/>
              </w:rPr>
              <w:t>UAB „Kauno kogeneracinė jėgainė“</w:t>
            </w:r>
          </w:p>
          <w:p w14:paraId="2477D605" w14:textId="2AAA25C1" w:rsidR="00F87CF0" w:rsidRPr="0004713A" w:rsidRDefault="0099124D" w:rsidP="0099124D">
            <w:pPr>
              <w:tabs>
                <w:tab w:val="left" w:pos="0"/>
                <w:tab w:val="left" w:pos="630"/>
              </w:tabs>
              <w:rPr>
                <w:rFonts w:ascii="Arial" w:hAnsi="Arial" w:cs="Arial"/>
                <w:highlight w:val="yellow"/>
              </w:rPr>
            </w:pPr>
            <w:r w:rsidRPr="0004713A">
              <w:rPr>
                <w:rFonts w:ascii="Arial" w:hAnsi="Arial" w:cs="Arial"/>
                <w:highlight w:val="yellow"/>
              </w:rPr>
              <w:t xml:space="preserve"> </w:t>
            </w:r>
          </w:p>
        </w:tc>
      </w:tr>
    </w:tbl>
    <w:p w14:paraId="38C4DAFF" w14:textId="673B1242" w:rsidR="00F87CF0" w:rsidRPr="0004713A" w:rsidRDefault="00F87CF0" w:rsidP="0099124D">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298A8" w14:textId="77777777" w:rsidR="00322D37" w:rsidRDefault="00322D37">
      <w:r>
        <w:separator/>
      </w:r>
    </w:p>
  </w:endnote>
  <w:endnote w:type="continuationSeparator" w:id="0">
    <w:p w14:paraId="5264F15A" w14:textId="77777777" w:rsidR="00322D37" w:rsidRDefault="00322D37">
      <w:r>
        <w:continuationSeparator/>
      </w:r>
    </w:p>
  </w:endnote>
  <w:endnote w:type="continuationNotice" w:id="1">
    <w:p w14:paraId="660EA920" w14:textId="77777777" w:rsidR="00322D37" w:rsidRDefault="00322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CEEE" w14:textId="77777777" w:rsidR="00D35707" w:rsidRDefault="00D357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2FE7" w14:textId="77777777" w:rsidR="00D35707" w:rsidRDefault="00D35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8B81" w14:textId="77777777" w:rsidR="00322D37" w:rsidRDefault="00322D37">
      <w:r>
        <w:separator/>
      </w:r>
    </w:p>
  </w:footnote>
  <w:footnote w:type="continuationSeparator" w:id="0">
    <w:p w14:paraId="73CBCEA6" w14:textId="77777777" w:rsidR="00322D37" w:rsidRDefault="00322D37">
      <w:r>
        <w:continuationSeparator/>
      </w:r>
    </w:p>
  </w:footnote>
  <w:footnote w:type="continuationNotice" w:id="1">
    <w:p w14:paraId="2912A403" w14:textId="77777777" w:rsidR="00322D37" w:rsidRDefault="00322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4A20" w14:textId="6BA86173" w:rsidR="0099124D" w:rsidRDefault="0099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3AF0" w14:textId="73144502" w:rsidR="0099124D" w:rsidRDefault="0099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12D7"/>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234"/>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2C1"/>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2D3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31FB"/>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24D"/>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0DC"/>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6AD"/>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084E"/>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707"/>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5530630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3483</Words>
  <Characters>1986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Inga Brusokaitė</cp:lastModifiedBy>
  <cp:revision>21</cp:revision>
  <cp:lastPrinted>2012-11-14T13:36:00Z</cp:lastPrinted>
  <dcterms:created xsi:type="dcterms:W3CDTF">2021-11-17T08:27:00Z</dcterms:created>
  <dcterms:modified xsi:type="dcterms:W3CDTF">2022-01-12T07:53:00Z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9c4488a-2382-4e02-93af-ef5dabf4b71d_Enabled">
    <vt:lpwstr>true</vt:lpwstr>
  </property>
  <property fmtid="{D5CDD505-2E9C-101B-9397-08002B2CF9AE}" pid="226" name="MSIP_Label_39c4488a-2382-4e02-93af-ef5dabf4b71d_SetDate">
    <vt:lpwstr>2021-12-29T15:06:05Z</vt:lpwstr>
  </property>
  <property fmtid="{D5CDD505-2E9C-101B-9397-08002B2CF9AE}" pid="227" name="MSIP_Label_39c4488a-2382-4e02-93af-ef5dabf4b71d_Method">
    <vt:lpwstr>Standard</vt:lpwstr>
  </property>
  <property fmtid="{D5CDD505-2E9C-101B-9397-08002B2CF9AE}" pid="228" name="MSIP_Label_39c4488a-2382-4e02-93af-ef5dabf4b71d_Name">
    <vt:lpwstr>Vidaus naudojimo</vt:lpwstr>
  </property>
  <property fmtid="{D5CDD505-2E9C-101B-9397-08002B2CF9AE}" pid="229" name="MSIP_Label_39c4488a-2382-4e02-93af-ef5dabf4b71d_SiteId">
    <vt:lpwstr>ea88e983-d65a-47b3-adb4-3e1c6d2110d2</vt:lpwstr>
  </property>
  <property fmtid="{D5CDD505-2E9C-101B-9397-08002B2CF9AE}" pid="230" name="MSIP_Label_39c4488a-2382-4e02-93af-ef5dabf4b71d_ActionId">
    <vt:lpwstr>e7b734a5-ed8b-4c73-9991-f633843a77ab</vt:lpwstr>
  </property>
  <property fmtid="{D5CDD505-2E9C-101B-9397-08002B2CF9AE}" pid="231" name="MSIP_Label_39c4488a-2382-4e02-93af-ef5dabf4b71d_ContentBits">
    <vt:lpwstr>11</vt:lpwstr>
  </property>
  <property fmtid="{D5CDD505-2E9C-101B-9397-08002B2CF9AE}" pid="232" name="MSIP_Label_190751af-2442-49a7-b7b9-9f0bcce858c9_Enabled">
    <vt:lpwstr>true</vt:lpwstr>
  </property>
  <property fmtid="{D5CDD505-2E9C-101B-9397-08002B2CF9AE}" pid="233" name="MSIP_Label_190751af-2442-49a7-b7b9-9f0bcce858c9_SetDate">
    <vt:lpwstr>2021-12-30T08:29:16Z</vt:lpwstr>
  </property>
  <property fmtid="{D5CDD505-2E9C-101B-9397-08002B2CF9AE}" pid="234" name="MSIP_Label_190751af-2442-49a7-b7b9-9f0bcce858c9_Method">
    <vt:lpwstr>Privileged</vt:lpwstr>
  </property>
  <property fmtid="{D5CDD505-2E9C-101B-9397-08002B2CF9AE}" pid="235" name="MSIP_Label_190751af-2442-49a7-b7b9-9f0bcce858c9_Name">
    <vt:lpwstr>Vidaus dokumentai</vt:lpwstr>
  </property>
  <property fmtid="{D5CDD505-2E9C-101B-9397-08002B2CF9AE}" pid="236" name="MSIP_Label_190751af-2442-49a7-b7b9-9f0bcce858c9_SiteId">
    <vt:lpwstr>ea88e983-d65a-47b3-adb4-3e1c6d2110d2</vt:lpwstr>
  </property>
  <property fmtid="{D5CDD505-2E9C-101B-9397-08002B2CF9AE}" pid="237" name="MSIP_Label_190751af-2442-49a7-b7b9-9f0bcce858c9_ActionId">
    <vt:lpwstr>8aa38e31-c094-42ce-ba17-c6e06aec2410</vt:lpwstr>
  </property>
  <property fmtid="{D5CDD505-2E9C-101B-9397-08002B2CF9AE}" pid="238" name="MSIP_Label_190751af-2442-49a7-b7b9-9f0bcce858c9_ContentBits">
    <vt:lpwstr>0</vt:lpwstr>
  </property>
</Properties>
</file>