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25F4BF25" w:rsidR="001B099C" w:rsidRDefault="00C97E7E" w:rsidP="003B125F">
      <w:pPr>
        <w:pStyle w:val="Subtitle"/>
        <w:spacing w:before="60" w:after="60"/>
        <w:jc w:val="center"/>
        <w:rPr>
          <w:rFonts w:ascii="Arial" w:hAnsi="Arial" w:cs="Arial"/>
          <w:b/>
          <w:bCs/>
          <w:sz w:val="20"/>
          <w:szCs w:val="20"/>
          <w:u w:val="none"/>
          <w:lang w:val="lt-LT"/>
        </w:rPr>
      </w:pPr>
      <w:r w:rsidRPr="00C97E7E">
        <w:rPr>
          <w:rFonts w:ascii="Arial" w:hAnsi="Arial" w:cs="Arial"/>
          <w:b/>
          <w:bCs/>
          <w:sz w:val="20"/>
          <w:szCs w:val="20"/>
          <w:u w:val="none"/>
          <w:lang w:val="lt-LT"/>
        </w:rPr>
        <w:t xml:space="preserve">PASIŪLYMAS </w:t>
      </w:r>
      <w:r w:rsidRPr="00C97E7E">
        <w:rPr>
          <w:rFonts w:ascii="Arial" w:hAnsi="Arial" w:cs="Arial"/>
          <w:b/>
          <w:bCs/>
          <w:sz w:val="20"/>
          <w:szCs w:val="20"/>
          <w:u w:val="none"/>
        </w:rPr>
        <w:t xml:space="preserve">ŽMOGIŠKŲJŲ IŠTEKLIŲ ADMINISTRAVIMO </w:t>
      </w:r>
      <w:r w:rsidRPr="00C97E7E">
        <w:rPr>
          <w:rFonts w:ascii="Arial" w:hAnsi="Arial" w:cs="Arial"/>
          <w:b/>
          <w:bCs/>
          <w:sz w:val="20"/>
          <w:szCs w:val="20"/>
          <w:u w:val="none"/>
          <w:lang w:val="lt-LT"/>
        </w:rPr>
        <w:t>PASLAUGŲ</w:t>
      </w:r>
      <w:r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028"/>
      </w:tblGrid>
      <w:tr w:rsidR="007E0AF0" w:rsidRPr="004903E5" w14:paraId="5BDEAC97"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hideMark/>
          </w:tcPr>
          <w:p w14:paraId="6BFE772F" w14:textId="77777777" w:rsidR="007E0AF0" w:rsidRPr="004903E5" w:rsidRDefault="007E0AF0" w:rsidP="007E0AF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8" w:type="dxa"/>
            <w:tcBorders>
              <w:top w:val="single" w:sz="4" w:space="0" w:color="auto"/>
              <w:left w:val="single" w:sz="4" w:space="0" w:color="auto"/>
              <w:bottom w:val="single" w:sz="4" w:space="0" w:color="auto"/>
              <w:right w:val="single" w:sz="4" w:space="0" w:color="auto"/>
            </w:tcBorders>
          </w:tcPr>
          <w:p w14:paraId="1C2F4109" w14:textId="43178BCD" w:rsidR="007E0AF0" w:rsidRPr="004903E5" w:rsidRDefault="007E0AF0" w:rsidP="007E0AF0">
            <w:pPr>
              <w:spacing w:before="60" w:after="60"/>
              <w:jc w:val="both"/>
              <w:rPr>
                <w:rFonts w:ascii="Arial" w:hAnsi="Arial" w:cs="Arial"/>
                <w:sz w:val="20"/>
                <w:szCs w:val="20"/>
              </w:rPr>
            </w:pPr>
            <w:r>
              <w:rPr>
                <w:rFonts w:ascii="Arial" w:hAnsi="Arial" w:cs="Arial"/>
                <w:sz w:val="20"/>
                <w:szCs w:val="20"/>
              </w:rPr>
              <w:t>UAB „Ignitis grupės paslaugų centras“</w:t>
            </w:r>
          </w:p>
        </w:tc>
      </w:tr>
      <w:tr w:rsidR="007E0AF0" w:rsidRPr="004903E5" w14:paraId="3956D05F" w14:textId="77777777" w:rsidTr="00932262">
        <w:trPr>
          <w:trHeight w:val="357"/>
        </w:trPr>
        <w:tc>
          <w:tcPr>
            <w:tcW w:w="4708" w:type="dxa"/>
            <w:tcBorders>
              <w:top w:val="single" w:sz="4" w:space="0" w:color="auto"/>
              <w:left w:val="single" w:sz="4" w:space="0" w:color="auto"/>
              <w:bottom w:val="single" w:sz="4" w:space="0" w:color="auto"/>
              <w:right w:val="single" w:sz="4" w:space="0" w:color="auto"/>
            </w:tcBorders>
          </w:tcPr>
          <w:p w14:paraId="22B0200B" w14:textId="77777777" w:rsidR="007E0AF0" w:rsidRPr="00786D40" w:rsidRDefault="007E0AF0" w:rsidP="007E0AF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8" w:type="dxa"/>
            <w:tcBorders>
              <w:top w:val="single" w:sz="4" w:space="0" w:color="auto"/>
              <w:left w:val="single" w:sz="4" w:space="0" w:color="auto"/>
              <w:bottom w:val="single" w:sz="4" w:space="0" w:color="auto"/>
              <w:right w:val="single" w:sz="4" w:space="0" w:color="auto"/>
            </w:tcBorders>
            <w:vAlign w:val="center"/>
          </w:tcPr>
          <w:p w14:paraId="59CA1A10" w14:textId="795B1701" w:rsidR="007E0AF0" w:rsidRPr="005A2BA1" w:rsidRDefault="007E0AF0" w:rsidP="007E0AF0">
            <w:pPr>
              <w:jc w:val="both"/>
              <w:rPr>
                <w:rFonts w:ascii="Arial" w:hAnsi="Arial" w:cs="Arial"/>
                <w:color w:val="000000"/>
                <w:sz w:val="21"/>
                <w:szCs w:val="21"/>
              </w:rPr>
            </w:pPr>
            <w:r>
              <w:rPr>
                <w:rFonts w:ascii="Arial" w:hAnsi="Arial" w:cs="Arial"/>
                <w:sz w:val="20"/>
                <w:szCs w:val="20"/>
              </w:rPr>
              <w:t>303200016</w:t>
            </w:r>
          </w:p>
        </w:tc>
      </w:tr>
      <w:tr w:rsidR="007E0AF0" w:rsidRPr="004903E5" w14:paraId="38869EFF"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tcPr>
          <w:p w14:paraId="5284B051" w14:textId="77777777" w:rsidR="007E0AF0" w:rsidRPr="004903E5" w:rsidRDefault="007E0AF0" w:rsidP="007E0AF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8" w:type="dxa"/>
            <w:tcBorders>
              <w:top w:val="single" w:sz="4" w:space="0" w:color="auto"/>
              <w:left w:val="single" w:sz="4" w:space="0" w:color="auto"/>
              <w:bottom w:val="single" w:sz="4" w:space="0" w:color="auto"/>
              <w:right w:val="single" w:sz="4" w:space="0" w:color="auto"/>
            </w:tcBorders>
          </w:tcPr>
          <w:p w14:paraId="476CEB2B" w14:textId="7261C7F2" w:rsidR="007E0AF0" w:rsidRPr="004903E5" w:rsidRDefault="007E0AF0" w:rsidP="007E0AF0">
            <w:pPr>
              <w:spacing w:before="60" w:after="60"/>
              <w:jc w:val="both"/>
              <w:rPr>
                <w:rFonts w:ascii="Arial" w:hAnsi="Arial" w:cs="Arial"/>
                <w:sz w:val="20"/>
                <w:szCs w:val="20"/>
              </w:rPr>
            </w:pPr>
          </w:p>
        </w:tc>
      </w:tr>
      <w:tr w:rsidR="007E0AF0" w:rsidRPr="004903E5" w14:paraId="34A0D0E2" w14:textId="77777777" w:rsidTr="00D8186C">
        <w:trPr>
          <w:trHeight w:val="357"/>
        </w:trPr>
        <w:tc>
          <w:tcPr>
            <w:tcW w:w="4708" w:type="dxa"/>
            <w:tcBorders>
              <w:top w:val="single" w:sz="4" w:space="0" w:color="auto"/>
              <w:left w:val="single" w:sz="4" w:space="0" w:color="auto"/>
              <w:bottom w:val="single" w:sz="4" w:space="0" w:color="auto"/>
              <w:right w:val="single" w:sz="4" w:space="0" w:color="auto"/>
            </w:tcBorders>
          </w:tcPr>
          <w:p w14:paraId="1F8E7654" w14:textId="77777777" w:rsidR="007E0AF0" w:rsidRPr="00786D40" w:rsidRDefault="007E0AF0" w:rsidP="007E0AF0">
            <w:pPr>
              <w:spacing w:before="60" w:after="60"/>
              <w:jc w:val="both"/>
              <w:rPr>
                <w:rFonts w:ascii="Arial" w:hAnsi="Arial" w:cs="Arial"/>
                <w:sz w:val="20"/>
                <w:szCs w:val="20"/>
              </w:rPr>
            </w:pPr>
            <w:r w:rsidRPr="00786D40">
              <w:rPr>
                <w:rFonts w:ascii="Arial" w:hAnsi="Arial" w:cs="Arial"/>
                <w:sz w:val="20"/>
                <w:szCs w:val="20"/>
              </w:rPr>
              <w:t>Telefono Nr.</w:t>
            </w:r>
          </w:p>
        </w:tc>
        <w:tc>
          <w:tcPr>
            <w:tcW w:w="5028" w:type="dxa"/>
            <w:tcBorders>
              <w:top w:val="single" w:sz="4" w:space="0" w:color="auto"/>
              <w:left w:val="single" w:sz="4" w:space="0" w:color="auto"/>
              <w:bottom w:val="single" w:sz="4" w:space="0" w:color="auto"/>
              <w:right w:val="single" w:sz="4" w:space="0" w:color="auto"/>
            </w:tcBorders>
          </w:tcPr>
          <w:p w14:paraId="375E3840" w14:textId="2C4094E3" w:rsidR="007E0AF0" w:rsidRPr="005A2BA1" w:rsidRDefault="007E0AF0" w:rsidP="007E0AF0">
            <w:pPr>
              <w:spacing w:before="60" w:after="60"/>
              <w:jc w:val="both"/>
              <w:rPr>
                <w:rFonts w:ascii="Arial" w:hAnsi="Arial" w:cs="Arial"/>
                <w:sz w:val="20"/>
                <w:szCs w:val="20"/>
                <w:lang w:val="en-US"/>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59" w:type="dxa"/>
        <w:tblLook w:val="04A0" w:firstRow="1" w:lastRow="0" w:firstColumn="1" w:lastColumn="0" w:noHBand="0" w:noVBand="1"/>
      </w:tblPr>
      <w:tblGrid>
        <w:gridCol w:w="1019"/>
        <w:gridCol w:w="3911"/>
        <w:gridCol w:w="4829"/>
      </w:tblGrid>
      <w:tr w:rsidR="00644D31" w:rsidRPr="004903E5" w14:paraId="6221D364" w14:textId="77777777" w:rsidTr="00644D31">
        <w:trPr>
          <w:trHeight w:val="368"/>
        </w:trPr>
        <w:tc>
          <w:tcPr>
            <w:tcW w:w="1019" w:type="dxa"/>
          </w:tcPr>
          <w:p w14:paraId="04DEB31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Eil. Nr.</w:t>
            </w:r>
          </w:p>
        </w:tc>
        <w:tc>
          <w:tcPr>
            <w:tcW w:w="3911" w:type="dxa"/>
          </w:tcPr>
          <w:p w14:paraId="6E8865D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4829" w:type="dxa"/>
          </w:tcPr>
          <w:p w14:paraId="61B628F4" w14:textId="77777777" w:rsidR="00644D31" w:rsidRDefault="00644D31" w:rsidP="00891D61">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p w14:paraId="244E1254" w14:textId="77777777" w:rsidR="00644D31" w:rsidRPr="00B10808" w:rsidRDefault="00644D31" w:rsidP="00891D61">
            <w:pPr>
              <w:spacing w:before="60" w:after="60"/>
              <w:jc w:val="center"/>
              <w:rPr>
                <w:rFonts w:ascii="Arial" w:hAnsi="Arial" w:cs="Arial"/>
                <w:bCs/>
                <w:sz w:val="20"/>
                <w:szCs w:val="20"/>
              </w:rPr>
            </w:pPr>
            <w:r w:rsidRPr="00B10808">
              <w:rPr>
                <w:rFonts w:ascii="Arial" w:hAnsi="Arial" w:cs="Arial"/>
                <w:bCs/>
                <w:sz w:val="20"/>
                <w:szCs w:val="20"/>
              </w:rPr>
              <w:t>Subtiekėjui perduodama vykdyti sutartinių įsipareigojimų dalis, kuriai nekeliami kvalifikacijos reikalavimai</w:t>
            </w:r>
          </w:p>
        </w:tc>
      </w:tr>
      <w:tr w:rsidR="00644D31" w:rsidRPr="004903E5" w14:paraId="6FAF1AF6" w14:textId="77777777" w:rsidTr="00644D31">
        <w:trPr>
          <w:trHeight w:val="224"/>
        </w:trPr>
        <w:tc>
          <w:tcPr>
            <w:tcW w:w="1019" w:type="dxa"/>
          </w:tcPr>
          <w:p w14:paraId="46B789FB" w14:textId="4FC91654" w:rsidR="00644D31" w:rsidRPr="004903E5" w:rsidRDefault="007E0AF0" w:rsidP="007E0AF0">
            <w:pPr>
              <w:spacing w:before="60" w:after="60"/>
              <w:jc w:val="center"/>
              <w:rPr>
                <w:rFonts w:ascii="Arial" w:hAnsi="Arial" w:cs="Arial"/>
                <w:sz w:val="20"/>
                <w:szCs w:val="20"/>
              </w:rPr>
            </w:pPr>
            <w:r>
              <w:rPr>
                <w:rFonts w:ascii="Arial" w:hAnsi="Arial" w:cs="Arial"/>
                <w:sz w:val="20"/>
                <w:szCs w:val="20"/>
              </w:rPr>
              <w:t>1.</w:t>
            </w:r>
          </w:p>
        </w:tc>
        <w:tc>
          <w:tcPr>
            <w:tcW w:w="3911" w:type="dxa"/>
          </w:tcPr>
          <w:p w14:paraId="0A35362F" w14:textId="6B4CCFA5" w:rsidR="00644D31" w:rsidRPr="004903E5" w:rsidRDefault="007E0AF0" w:rsidP="007E0AF0">
            <w:pPr>
              <w:spacing w:before="60" w:after="60"/>
              <w:jc w:val="center"/>
              <w:rPr>
                <w:rFonts w:ascii="Arial" w:hAnsi="Arial" w:cs="Arial"/>
                <w:sz w:val="20"/>
                <w:szCs w:val="20"/>
              </w:rPr>
            </w:pPr>
            <w:r>
              <w:rPr>
                <w:rFonts w:ascii="Arial" w:hAnsi="Arial" w:cs="Arial"/>
                <w:sz w:val="20"/>
                <w:szCs w:val="20"/>
              </w:rPr>
              <w:t>Nežinoma</w:t>
            </w:r>
          </w:p>
        </w:tc>
        <w:tc>
          <w:tcPr>
            <w:tcW w:w="4829" w:type="dxa"/>
          </w:tcPr>
          <w:p w14:paraId="5FCDA7E6" w14:textId="138CE1BA" w:rsidR="00644D31" w:rsidRPr="004903E5" w:rsidRDefault="007E0AF0" w:rsidP="007E0AF0">
            <w:pPr>
              <w:spacing w:before="60" w:after="60"/>
              <w:jc w:val="center"/>
              <w:rPr>
                <w:rFonts w:ascii="Arial" w:hAnsi="Arial" w:cs="Arial"/>
                <w:sz w:val="20"/>
                <w:szCs w:val="20"/>
              </w:rPr>
            </w:pPr>
            <w:r>
              <w:rPr>
                <w:rFonts w:ascii="Arial" w:hAnsi="Arial" w:cs="Arial"/>
                <w:sz w:val="20"/>
                <w:szCs w:val="20"/>
              </w:rPr>
              <w:t>Nežinoma</w:t>
            </w:r>
          </w:p>
        </w:tc>
      </w:tr>
    </w:tbl>
    <w:p w14:paraId="1436EE96" w14:textId="196B965D" w:rsidR="00DB73D1"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DA1C3E" w:rsidRPr="00426D3A" w14:paraId="47D260BD" w14:textId="2B7FFE0D" w:rsidTr="00B73043">
        <w:trPr>
          <w:trHeight w:val="291"/>
        </w:trPr>
        <w:tc>
          <w:tcPr>
            <w:tcW w:w="722" w:type="dxa"/>
            <w:vAlign w:val="center"/>
          </w:tcPr>
          <w:p w14:paraId="37F7F3F2" w14:textId="11BF416B"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1.</w:t>
            </w:r>
          </w:p>
        </w:tc>
        <w:tc>
          <w:tcPr>
            <w:tcW w:w="5794" w:type="dxa"/>
            <w:vAlign w:val="center"/>
          </w:tcPr>
          <w:p w14:paraId="3E566953" w14:textId="5ACD0F2A" w:rsidR="00DA1C3E" w:rsidRPr="00D649D1" w:rsidRDefault="00DA1C3E" w:rsidP="00DA1C3E">
            <w:pPr>
              <w:spacing w:before="60" w:after="60"/>
              <w:rPr>
                <w:rFonts w:ascii="Arial" w:hAnsi="Arial" w:cs="Arial"/>
                <w:sz w:val="20"/>
                <w:szCs w:val="20"/>
              </w:rPr>
            </w:pPr>
            <w:r w:rsidRPr="00D649D1">
              <w:rPr>
                <w:rFonts w:ascii="Arial" w:hAnsi="Arial" w:cs="Arial"/>
                <w:sz w:val="20"/>
                <w:szCs w:val="20"/>
              </w:rPr>
              <w:t>Darbo santykių administravimo (DSA) paslauga</w:t>
            </w:r>
          </w:p>
        </w:tc>
        <w:tc>
          <w:tcPr>
            <w:tcW w:w="1559" w:type="dxa"/>
            <w:tcBorders>
              <w:right w:val="single" w:sz="4" w:space="0" w:color="auto"/>
            </w:tcBorders>
            <w:vAlign w:val="center"/>
          </w:tcPr>
          <w:p w14:paraId="141369E6" w14:textId="2B70E7E8"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68420DC4" w14:textId="32935FE4"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39,04</w:t>
            </w:r>
          </w:p>
        </w:tc>
      </w:tr>
      <w:tr w:rsidR="00DA1C3E" w:rsidRPr="00426D3A" w14:paraId="6C567896" w14:textId="4916F843" w:rsidTr="00B73043">
        <w:trPr>
          <w:trHeight w:val="300"/>
        </w:trPr>
        <w:tc>
          <w:tcPr>
            <w:tcW w:w="722" w:type="dxa"/>
            <w:vAlign w:val="center"/>
          </w:tcPr>
          <w:p w14:paraId="6CD617BC" w14:textId="5A4D4F97" w:rsidR="00DA1C3E" w:rsidRPr="00D649D1" w:rsidRDefault="00DA1C3E" w:rsidP="00DA1C3E">
            <w:pPr>
              <w:spacing w:before="60" w:after="60"/>
              <w:jc w:val="center"/>
              <w:rPr>
                <w:rFonts w:ascii="Arial" w:hAnsi="Arial" w:cs="Arial"/>
                <w:sz w:val="20"/>
                <w:szCs w:val="20"/>
              </w:rPr>
            </w:pPr>
            <w:r w:rsidRPr="00D649D1">
              <w:rPr>
                <w:rFonts w:ascii="Arial" w:hAnsi="Arial" w:cs="Arial"/>
                <w:color w:val="000000"/>
                <w:sz w:val="20"/>
                <w:szCs w:val="20"/>
              </w:rPr>
              <w:t>2.</w:t>
            </w:r>
          </w:p>
        </w:tc>
        <w:tc>
          <w:tcPr>
            <w:tcW w:w="5794" w:type="dxa"/>
            <w:vAlign w:val="center"/>
          </w:tcPr>
          <w:p w14:paraId="6C5988C5" w14:textId="27FE8263" w:rsidR="00DA1C3E" w:rsidRPr="00D649D1" w:rsidRDefault="00DA1C3E" w:rsidP="00DA1C3E">
            <w:pPr>
              <w:spacing w:before="60" w:after="60"/>
              <w:rPr>
                <w:rFonts w:ascii="Arial" w:hAnsi="Arial" w:cs="Arial"/>
                <w:bCs/>
                <w:sz w:val="19"/>
                <w:szCs w:val="19"/>
              </w:rPr>
            </w:pPr>
            <w:r w:rsidRPr="00D649D1">
              <w:rPr>
                <w:rFonts w:ascii="Arial" w:hAnsi="Arial" w:cs="Arial"/>
                <w:sz w:val="20"/>
                <w:szCs w:val="20"/>
              </w:rPr>
              <w:t>Darbo užmokesčio apskaitos (DUA) paslauga</w:t>
            </w:r>
          </w:p>
        </w:tc>
        <w:tc>
          <w:tcPr>
            <w:tcW w:w="1559" w:type="dxa"/>
            <w:tcBorders>
              <w:right w:val="single" w:sz="4" w:space="0" w:color="auto"/>
            </w:tcBorders>
            <w:vAlign w:val="center"/>
          </w:tcPr>
          <w:p w14:paraId="41E0E8F9" w14:textId="58A0F0EC"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113EF6F0" w14:textId="5AD27D2D"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39,04</w:t>
            </w:r>
          </w:p>
        </w:tc>
      </w:tr>
      <w:tr w:rsidR="00DA1C3E" w:rsidRPr="00426D3A" w14:paraId="211D31B8" w14:textId="77777777" w:rsidTr="00B73043">
        <w:trPr>
          <w:trHeight w:val="300"/>
        </w:trPr>
        <w:tc>
          <w:tcPr>
            <w:tcW w:w="722" w:type="dxa"/>
            <w:vAlign w:val="center"/>
          </w:tcPr>
          <w:p w14:paraId="06AFE5A1" w14:textId="314784CC"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3.</w:t>
            </w:r>
          </w:p>
        </w:tc>
        <w:tc>
          <w:tcPr>
            <w:tcW w:w="5794" w:type="dxa"/>
            <w:vAlign w:val="center"/>
          </w:tcPr>
          <w:p w14:paraId="25090CD5" w14:textId="1FBE51A4" w:rsidR="00DA1C3E" w:rsidRPr="00D649D1" w:rsidRDefault="00DA1C3E" w:rsidP="00DA1C3E">
            <w:pPr>
              <w:spacing w:before="60" w:after="60"/>
              <w:rPr>
                <w:rFonts w:ascii="Arial" w:hAnsi="Arial" w:cs="Arial"/>
                <w:bCs/>
                <w:sz w:val="20"/>
                <w:szCs w:val="20"/>
              </w:rPr>
            </w:pPr>
            <w:r w:rsidRPr="00D649D1">
              <w:rPr>
                <w:rFonts w:ascii="Arial" w:hAnsi="Arial" w:cs="Arial"/>
                <w:color w:val="000000" w:themeColor="text1"/>
                <w:sz w:val="20"/>
                <w:szCs w:val="20"/>
                <w:lang w:eastAsia="lt-LT"/>
              </w:rPr>
              <w:t>Žmonių duomenų ataskaitų vystymo ir priežiūros paslauga</w:t>
            </w:r>
          </w:p>
        </w:tc>
        <w:tc>
          <w:tcPr>
            <w:tcW w:w="1559" w:type="dxa"/>
            <w:tcBorders>
              <w:right w:val="single" w:sz="4" w:space="0" w:color="auto"/>
            </w:tcBorders>
            <w:vAlign w:val="center"/>
          </w:tcPr>
          <w:p w14:paraId="673E1BD2" w14:textId="634EB7A6"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54BE3C53" w14:textId="58190EE6"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35,31</w:t>
            </w:r>
          </w:p>
        </w:tc>
      </w:tr>
      <w:tr w:rsidR="00DA1C3E" w:rsidRPr="00426D3A" w14:paraId="6426F66D" w14:textId="77777777" w:rsidTr="00B73043">
        <w:trPr>
          <w:trHeight w:val="300"/>
        </w:trPr>
        <w:tc>
          <w:tcPr>
            <w:tcW w:w="722" w:type="dxa"/>
            <w:vAlign w:val="center"/>
          </w:tcPr>
          <w:p w14:paraId="78091317" w14:textId="5DE8488C"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4.</w:t>
            </w:r>
          </w:p>
        </w:tc>
        <w:tc>
          <w:tcPr>
            <w:tcW w:w="5794" w:type="dxa"/>
            <w:vAlign w:val="center"/>
          </w:tcPr>
          <w:p w14:paraId="0F2E62DA" w14:textId="33341C9E" w:rsidR="00DA1C3E" w:rsidRPr="00D649D1" w:rsidRDefault="00DA1C3E" w:rsidP="00DA1C3E">
            <w:pPr>
              <w:spacing w:before="60" w:after="60"/>
              <w:rPr>
                <w:rFonts w:ascii="Arial" w:hAnsi="Arial" w:cs="Arial"/>
                <w:bCs/>
                <w:sz w:val="20"/>
                <w:szCs w:val="20"/>
              </w:rPr>
            </w:pPr>
            <w:r w:rsidRPr="00D649D1">
              <w:rPr>
                <w:rFonts w:ascii="Arial" w:hAnsi="Arial" w:cs="Arial"/>
                <w:color w:val="000000" w:themeColor="text1"/>
                <w:sz w:val="20"/>
                <w:szCs w:val="20"/>
                <w:lang w:eastAsia="lt-LT"/>
              </w:rPr>
              <w:t>Talentų pritraukimo ir darbdavio įvaizdžio paslauga</w:t>
            </w:r>
          </w:p>
        </w:tc>
        <w:tc>
          <w:tcPr>
            <w:tcW w:w="1559" w:type="dxa"/>
            <w:tcBorders>
              <w:right w:val="single" w:sz="4" w:space="0" w:color="auto"/>
            </w:tcBorders>
            <w:vAlign w:val="center"/>
          </w:tcPr>
          <w:p w14:paraId="019304AA" w14:textId="713AB99B"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00269B78" w14:textId="545D6871"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38,07</w:t>
            </w:r>
          </w:p>
        </w:tc>
      </w:tr>
      <w:tr w:rsidR="00DA1C3E" w:rsidRPr="00426D3A" w14:paraId="11C4D75E" w14:textId="77777777" w:rsidTr="00B73043">
        <w:trPr>
          <w:trHeight w:val="300"/>
        </w:trPr>
        <w:tc>
          <w:tcPr>
            <w:tcW w:w="722" w:type="dxa"/>
            <w:vAlign w:val="center"/>
          </w:tcPr>
          <w:p w14:paraId="656EBFE8" w14:textId="74EF51D6"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5.</w:t>
            </w:r>
          </w:p>
        </w:tc>
        <w:tc>
          <w:tcPr>
            <w:tcW w:w="5794" w:type="dxa"/>
            <w:vAlign w:val="center"/>
          </w:tcPr>
          <w:p w14:paraId="64C523E3" w14:textId="1C23798D" w:rsidR="00DA1C3E" w:rsidRPr="00D649D1" w:rsidRDefault="00DA1C3E" w:rsidP="00DA1C3E">
            <w:pPr>
              <w:spacing w:before="60" w:after="60"/>
              <w:rPr>
                <w:rFonts w:ascii="Arial" w:hAnsi="Arial" w:cs="Arial"/>
                <w:bCs/>
                <w:sz w:val="20"/>
                <w:szCs w:val="20"/>
              </w:rPr>
            </w:pPr>
            <w:r w:rsidRPr="00D649D1">
              <w:rPr>
                <w:rFonts w:ascii="Arial" w:hAnsi="Arial" w:cs="Arial"/>
                <w:color w:val="000000" w:themeColor="text1"/>
                <w:sz w:val="20"/>
                <w:szCs w:val="20"/>
                <w:lang w:eastAsia="lt-LT"/>
              </w:rPr>
              <w:t>Žmonių ugdymo paslauga</w:t>
            </w:r>
          </w:p>
        </w:tc>
        <w:tc>
          <w:tcPr>
            <w:tcW w:w="1559" w:type="dxa"/>
            <w:tcBorders>
              <w:right w:val="single" w:sz="4" w:space="0" w:color="auto"/>
            </w:tcBorders>
            <w:vAlign w:val="center"/>
          </w:tcPr>
          <w:p w14:paraId="79FE97EC" w14:textId="17FAE4FA"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37173E7B" w14:textId="1E7C9D8E"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42,80</w:t>
            </w:r>
          </w:p>
        </w:tc>
      </w:tr>
      <w:tr w:rsidR="00DA1C3E" w:rsidRPr="00426D3A" w14:paraId="1C706619" w14:textId="77777777" w:rsidTr="00B73043">
        <w:trPr>
          <w:trHeight w:val="300"/>
        </w:trPr>
        <w:tc>
          <w:tcPr>
            <w:tcW w:w="722" w:type="dxa"/>
            <w:vAlign w:val="center"/>
          </w:tcPr>
          <w:p w14:paraId="4786ED17" w14:textId="0F2EFAA1"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6.</w:t>
            </w:r>
          </w:p>
        </w:tc>
        <w:tc>
          <w:tcPr>
            <w:tcW w:w="5794" w:type="dxa"/>
            <w:vAlign w:val="center"/>
          </w:tcPr>
          <w:p w14:paraId="1E42712F" w14:textId="1851A19F" w:rsidR="00DA1C3E" w:rsidRPr="00D649D1" w:rsidRDefault="00DA1C3E" w:rsidP="00DA1C3E">
            <w:pPr>
              <w:spacing w:before="60" w:after="60"/>
              <w:rPr>
                <w:rFonts w:ascii="Arial" w:hAnsi="Arial" w:cs="Arial"/>
                <w:bCs/>
                <w:sz w:val="20"/>
                <w:szCs w:val="20"/>
              </w:rPr>
            </w:pPr>
            <w:r w:rsidRPr="00D649D1">
              <w:rPr>
                <w:rFonts w:ascii="Arial" w:hAnsi="Arial" w:cs="Arial"/>
                <w:color w:val="000000" w:themeColor="text1"/>
                <w:sz w:val="20"/>
                <w:szCs w:val="20"/>
                <w:lang w:eastAsia="lt-LT"/>
              </w:rPr>
              <w:t>Žmonių patirties ir motyvacijos paslauga</w:t>
            </w:r>
          </w:p>
        </w:tc>
        <w:tc>
          <w:tcPr>
            <w:tcW w:w="1559" w:type="dxa"/>
            <w:tcBorders>
              <w:right w:val="single" w:sz="4" w:space="0" w:color="auto"/>
            </w:tcBorders>
            <w:vAlign w:val="center"/>
          </w:tcPr>
          <w:p w14:paraId="75FCEC24" w14:textId="0EB20DE8"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02FC19A4" w14:textId="2DB516A5"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48,34</w:t>
            </w:r>
          </w:p>
        </w:tc>
      </w:tr>
      <w:tr w:rsidR="00DA1C3E" w:rsidRPr="00426D3A" w14:paraId="2D96FE9C" w14:textId="77777777" w:rsidTr="00B73043">
        <w:trPr>
          <w:trHeight w:val="300"/>
        </w:trPr>
        <w:tc>
          <w:tcPr>
            <w:tcW w:w="722" w:type="dxa"/>
            <w:vAlign w:val="center"/>
          </w:tcPr>
          <w:p w14:paraId="2E8AA9AE" w14:textId="5FCC3926" w:rsidR="00DA1C3E" w:rsidRPr="00D649D1" w:rsidRDefault="00DA1C3E" w:rsidP="00DA1C3E">
            <w:pPr>
              <w:spacing w:before="60" w:after="60"/>
              <w:jc w:val="center"/>
              <w:rPr>
                <w:rFonts w:ascii="Arial" w:hAnsi="Arial" w:cs="Arial"/>
                <w:sz w:val="20"/>
                <w:szCs w:val="20"/>
              </w:rPr>
            </w:pPr>
            <w:r w:rsidRPr="00D649D1">
              <w:rPr>
                <w:rFonts w:ascii="Arial" w:hAnsi="Arial" w:cs="Arial"/>
                <w:sz w:val="20"/>
                <w:szCs w:val="20"/>
              </w:rPr>
              <w:t>7.</w:t>
            </w:r>
          </w:p>
        </w:tc>
        <w:tc>
          <w:tcPr>
            <w:tcW w:w="5794" w:type="dxa"/>
            <w:vAlign w:val="center"/>
          </w:tcPr>
          <w:p w14:paraId="189C4098" w14:textId="38B945AA" w:rsidR="00DA1C3E" w:rsidRPr="00D649D1" w:rsidRDefault="00DA1C3E" w:rsidP="00DA1C3E">
            <w:pPr>
              <w:spacing w:before="60" w:after="60"/>
              <w:rPr>
                <w:rFonts w:ascii="Arial" w:hAnsi="Arial" w:cs="Arial"/>
                <w:bCs/>
                <w:sz w:val="20"/>
                <w:szCs w:val="20"/>
              </w:rPr>
            </w:pPr>
            <w:r w:rsidRPr="00D649D1">
              <w:rPr>
                <w:rFonts w:ascii="Arial" w:hAnsi="Arial" w:cs="Arial"/>
                <w:color w:val="000000" w:themeColor="text1"/>
                <w:sz w:val="20"/>
                <w:szCs w:val="20"/>
                <w:lang w:eastAsia="lt-LT"/>
              </w:rPr>
              <w:t>Personalo verslo partnerio paslauga</w:t>
            </w:r>
          </w:p>
        </w:tc>
        <w:tc>
          <w:tcPr>
            <w:tcW w:w="1559" w:type="dxa"/>
            <w:tcBorders>
              <w:right w:val="single" w:sz="4" w:space="0" w:color="auto"/>
            </w:tcBorders>
            <w:vAlign w:val="center"/>
          </w:tcPr>
          <w:p w14:paraId="3D66CC87" w14:textId="36B262F3" w:rsidR="00DA1C3E" w:rsidRPr="00D649D1" w:rsidRDefault="00DA1C3E" w:rsidP="00DA1C3E">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tcPr>
          <w:p w14:paraId="2BC1318F" w14:textId="17328B6A" w:rsidR="00DA1C3E" w:rsidRPr="00D649D1" w:rsidRDefault="00DA1C3E" w:rsidP="006C0AD2">
            <w:pPr>
              <w:spacing w:before="60" w:after="60"/>
              <w:jc w:val="right"/>
              <w:rPr>
                <w:rFonts w:ascii="Arial" w:hAnsi="Arial" w:cs="Arial"/>
                <w:sz w:val="20"/>
                <w:szCs w:val="20"/>
              </w:rPr>
            </w:pPr>
            <w:r w:rsidRPr="006C0AD2">
              <w:rPr>
                <w:rFonts w:ascii="Arial" w:hAnsi="Arial" w:cs="Arial"/>
                <w:sz w:val="20"/>
                <w:szCs w:val="20"/>
              </w:rPr>
              <w:t>53,42</w:t>
            </w:r>
          </w:p>
        </w:tc>
      </w:tr>
      <w:tr w:rsidR="00C23656" w:rsidRPr="00426D3A" w14:paraId="73B7B185" w14:textId="37940B70" w:rsidTr="0025243A">
        <w:trPr>
          <w:trHeight w:val="291"/>
        </w:trPr>
        <w:tc>
          <w:tcPr>
            <w:tcW w:w="722" w:type="dxa"/>
          </w:tcPr>
          <w:p w14:paraId="4C5D146B" w14:textId="77777777" w:rsidR="00C23656" w:rsidRPr="00D649D1" w:rsidRDefault="00C23656" w:rsidP="00C23656">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C23656" w:rsidRPr="00D649D1" w:rsidRDefault="00C23656" w:rsidP="00C23656">
            <w:pPr>
              <w:spacing w:before="60" w:after="60"/>
              <w:ind w:firstLine="41"/>
              <w:jc w:val="right"/>
              <w:rPr>
                <w:rFonts w:ascii="Arial" w:hAnsi="Arial" w:cs="Arial"/>
                <w:sz w:val="20"/>
                <w:szCs w:val="20"/>
              </w:rPr>
            </w:pPr>
            <w:r w:rsidRPr="00D649D1">
              <w:rPr>
                <w:rFonts w:ascii="Arial" w:hAnsi="Arial" w:cs="Arial"/>
                <w:b/>
                <w:sz w:val="20"/>
                <w:szCs w:val="20"/>
              </w:rPr>
              <w:t>Pasiūlymo kaina EUR be PVM</w:t>
            </w:r>
          </w:p>
        </w:tc>
        <w:tc>
          <w:tcPr>
            <w:tcW w:w="1701" w:type="dxa"/>
            <w:tcBorders>
              <w:right w:val="single" w:sz="4" w:space="0" w:color="auto"/>
            </w:tcBorders>
          </w:tcPr>
          <w:p w14:paraId="45878EA5" w14:textId="2C296780" w:rsidR="00C23656" w:rsidRPr="00D649D1" w:rsidRDefault="00C23656" w:rsidP="00C23656">
            <w:pPr>
              <w:spacing w:before="60" w:after="60"/>
              <w:jc w:val="right"/>
              <w:rPr>
                <w:rFonts w:ascii="Arial" w:hAnsi="Arial" w:cs="Arial"/>
                <w:sz w:val="20"/>
                <w:szCs w:val="20"/>
              </w:rPr>
            </w:pPr>
            <w:r w:rsidRPr="00C23656">
              <w:rPr>
                <w:rFonts w:ascii="Arial" w:hAnsi="Arial" w:cs="Arial"/>
                <w:sz w:val="20"/>
                <w:szCs w:val="20"/>
              </w:rPr>
              <w:t xml:space="preserve"> 296,02 </w:t>
            </w:r>
          </w:p>
        </w:tc>
      </w:tr>
      <w:tr w:rsidR="00C23656" w:rsidRPr="00426D3A" w14:paraId="65E9AD8C" w14:textId="7C782A4D" w:rsidTr="0025243A">
        <w:trPr>
          <w:trHeight w:val="291"/>
        </w:trPr>
        <w:tc>
          <w:tcPr>
            <w:tcW w:w="722" w:type="dxa"/>
          </w:tcPr>
          <w:p w14:paraId="692229E9" w14:textId="77777777" w:rsidR="00C23656" w:rsidRPr="00426D3A" w:rsidRDefault="00C23656" w:rsidP="00C236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C23656" w:rsidRPr="00426D3A" w:rsidRDefault="00C23656" w:rsidP="00C23656">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28FBCE6D" w14:textId="4B746268" w:rsidR="00C23656" w:rsidRPr="00426D3A" w:rsidRDefault="00C23656" w:rsidP="00C23656">
            <w:pPr>
              <w:spacing w:before="60" w:after="60"/>
              <w:jc w:val="right"/>
              <w:rPr>
                <w:rFonts w:ascii="Arial" w:hAnsi="Arial" w:cs="Arial"/>
                <w:sz w:val="20"/>
                <w:szCs w:val="20"/>
              </w:rPr>
            </w:pPr>
            <w:r w:rsidRPr="00C23656">
              <w:rPr>
                <w:rFonts w:ascii="Arial" w:hAnsi="Arial" w:cs="Arial"/>
                <w:sz w:val="20"/>
                <w:szCs w:val="20"/>
              </w:rPr>
              <w:t xml:space="preserve"> 62,16 </w:t>
            </w:r>
          </w:p>
        </w:tc>
      </w:tr>
      <w:tr w:rsidR="00C23656" w:rsidRPr="00426D3A" w14:paraId="3585AD97" w14:textId="5F2AE837" w:rsidTr="0025243A">
        <w:trPr>
          <w:trHeight w:val="291"/>
        </w:trPr>
        <w:tc>
          <w:tcPr>
            <w:tcW w:w="722" w:type="dxa"/>
          </w:tcPr>
          <w:p w14:paraId="50B3B5A4" w14:textId="77777777" w:rsidR="00C23656" w:rsidRPr="00426D3A" w:rsidRDefault="00C23656" w:rsidP="00C23656">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C23656" w:rsidRPr="00426D3A" w:rsidRDefault="00C23656" w:rsidP="00C23656">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0C1B5DCD" w14:textId="4AEFFF81" w:rsidR="00C23656" w:rsidRPr="00426D3A" w:rsidRDefault="00C23656" w:rsidP="00C23656">
            <w:pPr>
              <w:spacing w:before="60" w:after="60"/>
              <w:jc w:val="right"/>
              <w:rPr>
                <w:rFonts w:ascii="Arial" w:hAnsi="Arial" w:cs="Arial"/>
                <w:sz w:val="20"/>
                <w:szCs w:val="20"/>
              </w:rPr>
            </w:pPr>
            <w:r w:rsidRPr="00C23656">
              <w:rPr>
                <w:rFonts w:ascii="Arial" w:hAnsi="Arial" w:cs="Arial"/>
                <w:sz w:val="20"/>
                <w:szCs w:val="20"/>
              </w:rPr>
              <w:t xml:space="preserve"> 358,18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39C8BEBC" w14:textId="77777777" w:rsidR="00B4590A" w:rsidRDefault="00B4590A" w:rsidP="00A33E05">
      <w:pPr>
        <w:pStyle w:val="ListParagraph"/>
        <w:tabs>
          <w:tab w:val="left" w:pos="426"/>
          <w:tab w:val="left" w:pos="6804"/>
        </w:tabs>
        <w:ind w:left="360"/>
        <w:rPr>
          <w:rFonts w:ascii="Arial" w:hAnsi="Arial" w:cs="Arial"/>
          <w:b/>
          <w:sz w:val="20"/>
          <w:szCs w:val="18"/>
        </w:rPr>
      </w:pPr>
    </w:p>
    <w:p w14:paraId="3D556600" w14:textId="77777777" w:rsidR="00581D96" w:rsidRDefault="00581D96" w:rsidP="004812B1">
      <w:pPr>
        <w:pStyle w:val="ListParagraph"/>
        <w:tabs>
          <w:tab w:val="left" w:pos="426"/>
          <w:tab w:val="left" w:pos="6804"/>
        </w:tabs>
        <w:ind w:left="360"/>
        <w:rPr>
          <w:rFonts w:ascii="Arial" w:hAnsi="Arial" w:cs="Arial"/>
          <w:b/>
          <w:sz w:val="20"/>
          <w:szCs w:val="18"/>
        </w:rPr>
      </w:pPr>
    </w:p>
    <w:p w14:paraId="7001B4D6" w14:textId="2BE9A46B"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2CDED382" w:rsidR="00D45309" w:rsidRPr="00644D31" w:rsidRDefault="00B07D19" w:rsidP="00644D31">
      <w:pPr>
        <w:numPr>
          <w:ilvl w:val="1"/>
          <w:numId w:val="1"/>
        </w:numPr>
        <w:spacing w:before="60" w:after="60"/>
        <w:ind w:left="567" w:hanging="567"/>
        <w:jc w:val="both"/>
        <w:rPr>
          <w:rFonts w:ascii="Arial" w:hAnsi="Arial" w:cs="Arial"/>
          <w:sz w:val="18"/>
          <w:szCs w:val="18"/>
        </w:rPr>
      </w:pPr>
      <w:r w:rsidRPr="00644D31">
        <w:rPr>
          <w:rFonts w:ascii="Arial" w:hAnsi="Arial" w:cs="Arial"/>
          <w:sz w:val="20"/>
          <w:szCs w:val="18"/>
        </w:rPr>
        <w:t>Tiekėjo s</w:t>
      </w:r>
      <w:r w:rsidR="00D45309" w:rsidRPr="00644D31">
        <w:rPr>
          <w:rFonts w:ascii="Arial" w:hAnsi="Arial" w:cs="Arial"/>
          <w:sz w:val="20"/>
          <w:szCs w:val="18"/>
        </w:rPr>
        <w:t>iūlomos perskaičiavimo taisyklės ir jų atitiktis „ištiestos rankos“ principui</w:t>
      </w:r>
      <w:r w:rsidR="00AC2C43" w:rsidRPr="00644D31">
        <w:rPr>
          <w:rFonts w:ascii="Arial" w:hAnsi="Arial" w:cs="Arial"/>
          <w:sz w:val="20"/>
          <w:szCs w:val="18"/>
        </w:rPr>
        <w:t xml:space="preserve"> (</w:t>
      </w:r>
      <w:r w:rsidR="00AC2C43" w:rsidRPr="00644D31">
        <w:rPr>
          <w:rFonts w:ascii="Arial" w:hAnsi="Arial" w:cs="Arial"/>
          <w:i/>
          <w:color w:val="FF0000"/>
          <w:sz w:val="20"/>
          <w:szCs w:val="18"/>
        </w:rPr>
        <w:t>PILDO TIEKĖJAS</w:t>
      </w:r>
      <w:r w:rsidR="00AC2C43" w:rsidRPr="00644D31">
        <w:rPr>
          <w:rFonts w:ascii="Arial" w:hAnsi="Arial" w:cs="Arial"/>
          <w:sz w:val="20"/>
          <w:szCs w:val="18"/>
        </w:rPr>
        <w:t>)</w:t>
      </w:r>
      <w:r>
        <w:rPr>
          <w:rStyle w:val="FootnoteReference"/>
          <w:rFonts w:ascii="Arial" w:hAnsi="Arial" w:cs="Arial"/>
          <w:sz w:val="20"/>
          <w:szCs w:val="18"/>
        </w:rPr>
        <w:footnoteReference w:id="5"/>
      </w:r>
      <w:r w:rsidR="00D45309" w:rsidRPr="00644D31">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7EDC29BB" w14:textId="77777777" w:rsidR="00ED7A05" w:rsidRDefault="00ED7A05" w:rsidP="00ED7A05">
            <w:pPr>
              <w:rPr>
                <w:rFonts w:ascii="Arial" w:hAnsi="Arial" w:cs="Arial"/>
                <w:b/>
              </w:rPr>
            </w:pPr>
            <w:r>
              <w:rPr>
                <w:rFonts w:ascii="Arial" w:hAnsi="Arial" w:cs="Arial"/>
                <w:b/>
              </w:rPr>
              <w:t>KAINODAROS PRINCIPAI</w:t>
            </w:r>
          </w:p>
          <w:p w14:paraId="5F39EB22" w14:textId="77777777" w:rsidR="00ED7A05" w:rsidRDefault="00ED7A05" w:rsidP="00ED7A05">
            <w:pPr>
              <w:rPr>
                <w:rFonts w:ascii="Arial" w:hAnsi="Arial" w:cs="Arial"/>
                <w:b/>
              </w:rPr>
            </w:pPr>
          </w:p>
          <w:p w14:paraId="4BFE6F76" w14:textId="77777777" w:rsidR="00ED7A05" w:rsidRDefault="00ED7A05" w:rsidP="00ED7A05">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Naudojamos sąvokos ir trumpiniai</w:t>
            </w:r>
          </w:p>
          <w:p w14:paraId="7B06E239" w14:textId="77777777" w:rsidR="00ED7A05" w:rsidRDefault="00ED7A05" w:rsidP="00ED7A05">
            <w:pPr>
              <w:pStyle w:val="ListParagraph"/>
              <w:ind w:left="426" w:hanging="426"/>
              <w:jc w:val="both"/>
              <w:rPr>
                <w:rFonts w:ascii="Segoe UI" w:hAnsi="Segoe UI" w:cs="Segoe UI"/>
                <w:b/>
                <w:sz w:val="18"/>
                <w:szCs w:val="18"/>
              </w:rPr>
            </w:pPr>
          </w:p>
          <w:p w14:paraId="5221952C"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Grupės įmonė – AB „Ignitis grupė“ įmonių grupei priklausanti įmonė.</w:t>
            </w:r>
          </w:p>
          <w:p w14:paraId="6D64AB8C"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Sąnaudos – Paslaugų teikėjo sąnaudos Paslaugoms teikti, išskyrus paramos, labdaros sąnaudas, kompensacijas, baudas, delspinigius ar kitas papildomas sąnaudas, susidariusias dėl Paslaugų teikėjo neefektyvaus veiklos vykdymo.</w:t>
            </w:r>
          </w:p>
          <w:p w14:paraId="4A160FA5"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Tiesioginės sąnaudos – sąnaudos, kurias tiesiogiai galima priskirti  teikiamai Paslaugai – tiesiogiai Paslaugas teikiančių Paslaugų teikėjo darbuotojų darbo užmokestis, ilgalaikio turto nusidėvėjimas ir amortizacija, trečiųjų šalių paslaugos ir pan. </w:t>
            </w:r>
          </w:p>
          <w:p w14:paraId="4B631B76"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Netiesioginės sąnaudos – sąnaudos, kurios netiesiogiai (taikant pasirinktus nešiklius) priskiriamos teikiamai Paslaugai – Paslaugų teikėjo administracijos darbuotojų darbo užmokestis, patalpų nuoma, transporto išlaikymas, ilgalaikio turto nusidėvėjimas ir amortizacija, personalo mokymo sąnaudos ir kitos panašaus pobūdžio sąnaudos.</w:t>
            </w:r>
          </w:p>
          <w:p w14:paraId="342154A3"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Perstatomos sąnaudos – Paslaugų teikėjo patirtos trečiųjų šalių teikiamų paslaugų sąnaudos, kurios nekapitalizuojamos ir kurių poreikį ir apimtį kontroliuoja pats Užsakovas.</w:t>
            </w:r>
          </w:p>
          <w:p w14:paraId="7DB8B1BA"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Pajamos – Paslaugų teikėjo už suteiktas konkretaus tipo Paslaugas gaunamos pajamos, neįskaitant sumų, gautų kaip kompensacijos už patirtas paslaugų teikimui reikalingas trečiųjų šalių sąnaudas (perstatomos sąnaudos).</w:t>
            </w:r>
          </w:p>
          <w:p w14:paraId="31871579"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Paslaugos kiekis – Užsakovui suteiktų Paslaugų apimtis sutartiniais mato vienetais.</w:t>
            </w:r>
          </w:p>
          <w:p w14:paraId="264F81D3"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Antkainis (%) – prie kiekvienos teikiamos Paslaugos savikainos pridedamas grynojo antkainio procentinis dydis. </w:t>
            </w:r>
          </w:p>
          <w:p w14:paraId="53343E56"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Perskaičiuojamos paslaugos – tai Paslaugos, kurių vieneto įkainis yra fiksuojamas su Užsakovu pasirašant Sutartį ir tos Sutarties galiojimo metu yra perskaičiuojamas įvertinus faktiškai per laikotarpį patirtas tai Paslaugai tenkančias sąnaudas.</w:t>
            </w:r>
          </w:p>
          <w:p w14:paraId="16485C69"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Papildomos sąnaudos – kitos veiklos sąnaudos, kurios nėra priskiriamos Tiesioginėms sąnaudoms ir Netiesioginėms sąnaudoms  ir nėra įtrauktos į Paslaugų kainą, susijusios su teikiamomis Paslaugomis, kurios patiriamos Užsakovo naudai Užsakovo prašymu iš anksto suderinus su Paslaugų teikėju  – Paslaugas teikiančių Paslaugų teikėjo darbuotojų premijavimo, skatinimo ar papildomo motyvavimo sąnaudos ir kitos panašaus pobūdžio sąnaudos.</w:t>
            </w:r>
          </w:p>
          <w:p w14:paraId="710DE296" w14:textId="77777777" w:rsidR="00ED7A05" w:rsidRDefault="00ED7A05" w:rsidP="00ED7A05">
            <w:pPr>
              <w:pStyle w:val="ListParagraph"/>
              <w:ind w:left="426" w:hanging="426"/>
              <w:jc w:val="both"/>
              <w:rPr>
                <w:rFonts w:ascii="Segoe UI" w:hAnsi="Segoe UI" w:cs="Segoe UI"/>
                <w:b/>
                <w:sz w:val="18"/>
                <w:szCs w:val="18"/>
              </w:rPr>
            </w:pPr>
          </w:p>
          <w:p w14:paraId="3CBA8868" w14:textId="77777777" w:rsidR="00ED7A05" w:rsidRDefault="00ED7A05" w:rsidP="00ED7A05">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Paslaugų kainodaros principai</w:t>
            </w:r>
          </w:p>
          <w:p w14:paraId="5B0FD79E" w14:textId="77777777" w:rsidR="00ED7A05" w:rsidRDefault="00ED7A05" w:rsidP="00ED7A05">
            <w:pPr>
              <w:pStyle w:val="ListParagraph"/>
              <w:ind w:left="426" w:hanging="426"/>
              <w:jc w:val="both"/>
              <w:rPr>
                <w:rFonts w:ascii="Segoe UI" w:hAnsi="Segoe UI" w:cs="Segoe UI"/>
                <w:b/>
                <w:sz w:val="18"/>
                <w:szCs w:val="18"/>
              </w:rPr>
            </w:pPr>
          </w:p>
          <w:p w14:paraId="09CFC070" w14:textId="77777777" w:rsidR="00ED7A05" w:rsidRDefault="00ED7A05" w:rsidP="00ED7A05">
            <w:pPr>
              <w:pStyle w:val="ListParagraph"/>
              <w:numPr>
                <w:ilvl w:val="1"/>
                <w:numId w:val="25"/>
              </w:numPr>
              <w:spacing w:after="200"/>
              <w:ind w:left="426" w:hanging="426"/>
              <w:jc w:val="both"/>
              <w:rPr>
                <w:rFonts w:ascii="Segoe UI" w:hAnsi="Segoe UI" w:cs="Segoe UI"/>
                <w:b/>
                <w:sz w:val="18"/>
                <w:szCs w:val="18"/>
              </w:rPr>
            </w:pPr>
            <w:r>
              <w:rPr>
                <w:rFonts w:ascii="Segoe UI" w:hAnsi="Segoe UI" w:cs="Segoe UI"/>
                <w:sz w:val="18"/>
                <w:szCs w:val="18"/>
              </w:rPr>
              <w:t xml:space="preserve">Paslaugų teikėjas Paslaugų kainodarą formuoja remdamasis Paslaugų kainodaros principais (toliau – Principai), patvirtintais Paslaugų teikėjo valdybos 2020 m. lapkričio 3 d. </w:t>
            </w:r>
          </w:p>
          <w:p w14:paraId="02163BB8"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Paslaugų teikėjas, nustatydamas teikiamų Paslaugų kainas, vadovaujasi „veikla pagrįstų išlaidų skaičiavimo sistema“ (angl. ABC – </w:t>
            </w:r>
            <w:proofErr w:type="spellStart"/>
            <w:r>
              <w:rPr>
                <w:rFonts w:ascii="Segoe UI" w:hAnsi="Segoe UI" w:cs="Segoe UI"/>
                <w:sz w:val="18"/>
                <w:szCs w:val="18"/>
              </w:rPr>
              <w:t>Activity</w:t>
            </w:r>
            <w:proofErr w:type="spellEnd"/>
            <w:r>
              <w:rPr>
                <w:rFonts w:ascii="Segoe UI" w:hAnsi="Segoe UI" w:cs="Segoe UI"/>
                <w:sz w:val="18"/>
                <w:szCs w:val="18"/>
              </w:rPr>
              <w:t xml:space="preserve"> </w:t>
            </w:r>
            <w:proofErr w:type="spellStart"/>
            <w:r>
              <w:rPr>
                <w:rFonts w:ascii="Segoe UI" w:hAnsi="Segoe UI" w:cs="Segoe UI"/>
                <w:sz w:val="18"/>
                <w:szCs w:val="18"/>
              </w:rPr>
              <w:t>Based</w:t>
            </w:r>
            <w:proofErr w:type="spellEnd"/>
            <w:r>
              <w:rPr>
                <w:rFonts w:ascii="Segoe UI" w:hAnsi="Segoe UI" w:cs="Segoe UI"/>
                <w:sz w:val="18"/>
                <w:szCs w:val="18"/>
              </w:rPr>
              <w:t xml:space="preserve"> </w:t>
            </w:r>
            <w:proofErr w:type="spellStart"/>
            <w:r>
              <w:rPr>
                <w:rFonts w:ascii="Segoe UI" w:hAnsi="Segoe UI" w:cs="Segoe UI"/>
                <w:sz w:val="18"/>
                <w:szCs w:val="18"/>
              </w:rPr>
              <w:t>Costing</w:t>
            </w:r>
            <w:proofErr w:type="spellEnd"/>
            <w:r>
              <w:rPr>
                <w:rFonts w:ascii="Segoe UI" w:hAnsi="Segoe UI" w:cs="Segoe UI"/>
                <w:sz w:val="18"/>
                <w:szCs w:val="18"/>
              </w:rPr>
              <w:t>). Pagal šią sistemą yra išskiriamos sąnaudos, tiesiogiai tenkančios teikiamai Paslaugai (Tiesioginės sąnaudos), bei Netiesioginės sąnaudos. Sudėjus šias sąnaudas, prie jų pridedamas nustatytas antkainis ir taip nustatoma Paslaugos vieneto kaina Užsakovui.</w:t>
            </w:r>
          </w:p>
          <w:p w14:paraId="29FDA9B5"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bookmarkStart w:id="7" w:name="_Ref24629306"/>
            <w:r>
              <w:rPr>
                <w:rFonts w:ascii="Segoe UI" w:hAnsi="Segoe UI" w:cs="Segoe UI"/>
                <w:sz w:val="18"/>
                <w:szCs w:val="18"/>
              </w:rPr>
              <w:t>Antkainio taikymo principai:</w:t>
            </w:r>
            <w:bookmarkEnd w:id="7"/>
          </w:p>
          <w:p w14:paraId="03645083"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dydį nustato Paslaugų teikėjo valdyba ir užfiksuoja Principuose.</w:t>
            </w:r>
          </w:p>
          <w:p w14:paraId="3A716E35"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Antkainio dydis peržiūrimas kartą per metus. </w:t>
            </w:r>
          </w:p>
          <w:p w14:paraId="2C9DBF12"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dydis nustatomas toks, kad Paslaugų teikėjo ir Užsakovo sandoris atitiktų „ištiestos rankos“ principą, nes siekiant efektyvumo bei atitikties teisės aktų reikalavimams, visiems AB „Ignitis grupė“ grupės įmonių sudaromiems tarpusavio sandoriams taikomas „ištiestos rankos“ principas.</w:t>
            </w:r>
          </w:p>
          <w:p w14:paraId="3AB7EAE2"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Antkainis taikomas visoms sąnaudoms, kurias patiria Paslaugų teikėjas, išskyrus: </w:t>
            </w:r>
          </w:p>
          <w:p w14:paraId="3CBAB5AC" w14:textId="77777777" w:rsidR="00ED7A05" w:rsidRDefault="00ED7A05" w:rsidP="00ED7A05">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sąnaudoms, kurias Bendrovė patiria pirkdama Paslaugas iš AB „Ignitis grupė“ grupės įmonių; </w:t>
            </w:r>
          </w:p>
          <w:p w14:paraId="61D84B98" w14:textId="77777777" w:rsidR="00ED7A05" w:rsidRDefault="00ED7A05" w:rsidP="00ED7A05">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sąnaudoms, kai sąnaudos yra tiesiogiai kompensuojamos Užsakovo (Perstatomoms sąnaudoms).</w:t>
            </w:r>
          </w:p>
          <w:p w14:paraId="41D8E454"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Paslaugoms šio Priedo galiojimo laikotarpiui nustatytas antkainis yra 5</w:t>
            </w:r>
            <w:r>
              <w:rPr>
                <w:rFonts w:ascii="Segoe UI" w:hAnsi="Segoe UI" w:cs="Segoe UI"/>
                <w:sz w:val="18"/>
                <w:szCs w:val="18"/>
                <w:lang w:val="en-US"/>
              </w:rPr>
              <w:t xml:space="preserve">%. </w:t>
            </w:r>
          </w:p>
          <w:p w14:paraId="38BC49C0" w14:textId="77777777" w:rsidR="00ED7A05" w:rsidRDefault="00ED7A05" w:rsidP="00ED7A05">
            <w:pPr>
              <w:pStyle w:val="ListParagraph"/>
              <w:ind w:left="1080"/>
              <w:jc w:val="both"/>
              <w:rPr>
                <w:rFonts w:ascii="Segoe UI" w:hAnsi="Segoe UI" w:cs="Segoe UI"/>
                <w:sz w:val="18"/>
                <w:szCs w:val="18"/>
              </w:rPr>
            </w:pPr>
          </w:p>
          <w:p w14:paraId="2A661F6C"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bookmarkStart w:id="8" w:name="_Ref24627804"/>
            <w:r>
              <w:rPr>
                <w:rFonts w:ascii="Segoe UI" w:hAnsi="Segoe UI" w:cs="Segoe UI"/>
                <w:sz w:val="18"/>
                <w:szCs w:val="18"/>
              </w:rPr>
              <w:t>Principai taikomi visoms Paslaugų teikėjo teikiamoms Paslaugoms</w:t>
            </w:r>
            <w:bookmarkEnd w:id="8"/>
            <w:r>
              <w:rPr>
                <w:rFonts w:ascii="Segoe UI" w:hAnsi="Segoe UI" w:cs="Segoe UI"/>
                <w:sz w:val="18"/>
                <w:szCs w:val="18"/>
              </w:rPr>
              <w:t xml:space="preserve"> pagal šią Sutartį.</w:t>
            </w:r>
          </w:p>
          <w:p w14:paraId="2AD02F74" w14:textId="77777777" w:rsidR="00ED7A05" w:rsidRDefault="00ED7A05" w:rsidP="00ED7A05">
            <w:pPr>
              <w:pStyle w:val="ListParagraph"/>
              <w:ind w:left="426" w:hanging="426"/>
              <w:rPr>
                <w:rFonts w:ascii="Segoe UI" w:hAnsi="Segoe UI" w:cs="Segoe UI"/>
                <w:sz w:val="18"/>
                <w:szCs w:val="18"/>
              </w:rPr>
            </w:pPr>
          </w:p>
          <w:p w14:paraId="0FB937FB"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Paslaugų kainodaros principai:</w:t>
            </w:r>
          </w:p>
          <w:p w14:paraId="4FA54C8F"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Sutartinis Paslaugų vieneto įkainis apskaičiuojamas, įvertinant Tiesiogines ir Netiesiogines Paslaugai tenkančias sąnaudas, pridedant taikytiną antkainį (kaip nurodyta </w:t>
            </w:r>
            <w:r>
              <w:rPr>
                <w:rFonts w:ascii="Segoe UI" w:hAnsi="Segoe UI" w:cs="Segoe UI"/>
                <w:sz w:val="18"/>
                <w:szCs w:val="18"/>
              </w:rPr>
              <w:fldChar w:fldCharType="begin"/>
            </w:r>
            <w:r>
              <w:rPr>
                <w:rFonts w:ascii="Segoe UI" w:hAnsi="Segoe UI" w:cs="Segoe UI"/>
                <w:sz w:val="18"/>
                <w:szCs w:val="18"/>
              </w:rPr>
              <w:instrText xml:space="preserve"> REF _Ref24629306 \r \h  \* MERGEFORMAT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2.3</w:t>
            </w:r>
            <w:r>
              <w:rPr>
                <w:rFonts w:ascii="Segoe UI" w:hAnsi="Segoe UI" w:cs="Segoe UI"/>
                <w:sz w:val="18"/>
                <w:szCs w:val="18"/>
              </w:rPr>
              <w:fldChar w:fldCharType="end"/>
            </w:r>
            <w:r>
              <w:rPr>
                <w:rFonts w:ascii="Segoe UI" w:hAnsi="Segoe UI" w:cs="Segoe UI"/>
                <w:sz w:val="18"/>
                <w:szCs w:val="18"/>
              </w:rPr>
              <w:t xml:space="preserve"> punkte) ir padalinant gautą sumą iš prognozuojamo Paslaugos kiekio.</w:t>
            </w:r>
          </w:p>
          <w:p w14:paraId="1376E284"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Paslaugos apmokamos kas mėnesį, už faktiškai per mėnesį suteiktą Paslaugų kiekį. </w:t>
            </w:r>
          </w:p>
          <w:p w14:paraId="52DCB041"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Šio Sutarties priedo, kuriame nustatyti įkainiai, galiojimo laikotarpiu mėnesio Paslaugos kaina apskaičiuojama Paslaugos kiekį dauginant iš sutartinio Paslaugos įkainio</w:t>
            </w:r>
            <w:bookmarkStart w:id="9" w:name="_Hlk57888381"/>
            <w:r>
              <w:rPr>
                <w:rFonts w:ascii="Segoe UI" w:hAnsi="Segoe UI" w:cs="Segoe UI"/>
                <w:sz w:val="18"/>
                <w:szCs w:val="18"/>
              </w:rPr>
              <w:t>, išskyrus lapkričio ir gruodžio mėnesius. Lapkričio ir gruodžio mėnesių Paslaugos kaina apskaičiuojama naudojant 3.1.1.2 punkte numatytu perskaičiavimo laikotarpiu apskaičiuotą įkainį</w:t>
            </w:r>
            <w:bookmarkEnd w:id="9"/>
            <w:r>
              <w:rPr>
                <w:rFonts w:ascii="Segoe UI" w:hAnsi="Segoe UI" w:cs="Segoe UI"/>
                <w:sz w:val="18"/>
                <w:szCs w:val="18"/>
              </w:rPr>
              <w:t>.</w:t>
            </w:r>
          </w:p>
          <w:p w14:paraId="77628055"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lastRenderedPageBreak/>
              <w:t xml:space="preserve">Perskaičiuojamoms Paslaugoms atliekamas Paslaugų kainų perskaičiavimas, kaip nurodyta </w:t>
            </w:r>
            <w:r>
              <w:rPr>
                <w:rFonts w:ascii="Segoe UI" w:hAnsi="Segoe UI" w:cs="Segoe UI"/>
                <w:sz w:val="18"/>
                <w:szCs w:val="18"/>
              </w:rPr>
              <w:fldChar w:fldCharType="begin"/>
            </w:r>
            <w:r>
              <w:rPr>
                <w:rFonts w:ascii="Segoe UI" w:hAnsi="Segoe UI" w:cs="Segoe UI"/>
                <w:sz w:val="18"/>
                <w:szCs w:val="18"/>
              </w:rPr>
              <w:instrText xml:space="preserve"> REF _Ref24986986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w:t>
            </w:r>
            <w:r>
              <w:rPr>
                <w:rFonts w:ascii="Segoe UI" w:hAnsi="Segoe UI" w:cs="Segoe UI"/>
                <w:sz w:val="18"/>
                <w:szCs w:val="18"/>
              </w:rPr>
              <w:fldChar w:fldCharType="end"/>
            </w:r>
            <w:r>
              <w:rPr>
                <w:rFonts w:ascii="Segoe UI" w:hAnsi="Segoe UI" w:cs="Segoe UI"/>
                <w:sz w:val="18"/>
                <w:szCs w:val="18"/>
              </w:rPr>
              <w:t xml:space="preserve"> punkte.</w:t>
            </w:r>
          </w:p>
          <w:p w14:paraId="18E22B1A" w14:textId="77777777" w:rsidR="00ED7A05" w:rsidRDefault="00ED7A05" w:rsidP="00ED7A05">
            <w:pPr>
              <w:pStyle w:val="ListParagraph"/>
              <w:ind w:left="426" w:hanging="426"/>
              <w:jc w:val="both"/>
              <w:rPr>
                <w:rFonts w:ascii="Segoe UI" w:hAnsi="Segoe UI" w:cs="Segoe UI"/>
                <w:sz w:val="18"/>
                <w:szCs w:val="18"/>
              </w:rPr>
            </w:pPr>
          </w:p>
          <w:p w14:paraId="379C3F6A"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Perstatomų sąnaudų ir Papildomų sąnaudų kompensavimas: Perstatomas sąnaudas ir Papildomas sąnaudas Užsakovas kompensuoja Paslaugų teikėjui netaikant antkainio.</w:t>
            </w:r>
          </w:p>
          <w:p w14:paraId="00399D7A" w14:textId="77777777" w:rsidR="00ED7A05" w:rsidRDefault="00ED7A05" w:rsidP="00ED7A05">
            <w:pPr>
              <w:pStyle w:val="ListParagraph"/>
              <w:ind w:left="426"/>
              <w:jc w:val="both"/>
              <w:rPr>
                <w:rFonts w:ascii="Segoe UI" w:hAnsi="Segoe UI" w:cs="Segoe UI"/>
                <w:sz w:val="18"/>
                <w:szCs w:val="18"/>
              </w:rPr>
            </w:pPr>
          </w:p>
          <w:p w14:paraId="3D5B0E3D" w14:textId="77777777" w:rsidR="00ED7A05" w:rsidRDefault="00ED7A05" w:rsidP="00ED7A05">
            <w:pPr>
              <w:pStyle w:val="ListParagraph"/>
              <w:numPr>
                <w:ilvl w:val="0"/>
                <w:numId w:val="25"/>
              </w:numPr>
              <w:spacing w:after="200"/>
              <w:ind w:left="426" w:hanging="426"/>
              <w:jc w:val="both"/>
              <w:rPr>
                <w:rFonts w:ascii="Segoe UI" w:hAnsi="Segoe UI" w:cs="Segoe UI"/>
                <w:b/>
                <w:sz w:val="18"/>
                <w:szCs w:val="18"/>
              </w:rPr>
            </w:pPr>
            <w:bookmarkStart w:id="10" w:name="_Ref24986986"/>
            <w:r>
              <w:rPr>
                <w:rFonts w:ascii="Segoe UI" w:hAnsi="Segoe UI" w:cs="Segoe UI"/>
                <w:b/>
                <w:sz w:val="18"/>
                <w:szCs w:val="18"/>
              </w:rPr>
              <w:t>Perskaičiavimo taisyklės</w:t>
            </w:r>
            <w:bookmarkEnd w:id="10"/>
          </w:p>
          <w:p w14:paraId="693E077C" w14:textId="77777777" w:rsidR="00ED7A05" w:rsidRDefault="00ED7A05" w:rsidP="00ED7A05">
            <w:pPr>
              <w:pStyle w:val="ListParagraph"/>
              <w:ind w:left="426" w:hanging="426"/>
              <w:jc w:val="both"/>
              <w:rPr>
                <w:rFonts w:ascii="Segoe UI" w:hAnsi="Segoe UI" w:cs="Segoe UI"/>
                <w:sz w:val="18"/>
                <w:szCs w:val="18"/>
              </w:rPr>
            </w:pPr>
          </w:p>
          <w:p w14:paraId="0BB219A9"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bookmarkStart w:id="11" w:name="_Ref24986080"/>
            <w:r>
              <w:rPr>
                <w:rFonts w:ascii="Segoe UI" w:hAnsi="Segoe UI" w:cs="Segoe UI"/>
                <w:sz w:val="18"/>
                <w:szCs w:val="18"/>
              </w:rPr>
              <w:t>Paslaugų kainų perskaičiavimo laikotarpiai:</w:t>
            </w:r>
            <w:bookmarkEnd w:id="11"/>
          </w:p>
          <w:p w14:paraId="4A8F144D"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Kiekvienų kalendorinių metų:</w:t>
            </w:r>
          </w:p>
          <w:p w14:paraId="6E0AB8BE" w14:textId="77777777" w:rsidR="00ED7A05" w:rsidRDefault="00ED7A05" w:rsidP="00ED7A05">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sausio – gegužės mėnesiai; perskaičiavimas atliekamas ir tikslinančios sąskaitos faktūros pateikiamos iki liepos 10 d.</w:t>
            </w:r>
          </w:p>
          <w:p w14:paraId="2C5E4B02" w14:textId="77777777" w:rsidR="00ED7A05" w:rsidRDefault="00ED7A05" w:rsidP="00ED7A05">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birželio – spalio mėnesiai; perskaičiavimas atliekamas ir tikslinančios sąskaitos faktūros pateikiamos iki gruodžio 10 d.</w:t>
            </w:r>
          </w:p>
          <w:p w14:paraId="38705A7A" w14:textId="77777777" w:rsidR="00ED7A05" w:rsidRDefault="00ED7A05" w:rsidP="00ED7A05">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lapkričio – gruodžio mėnesiai; perskaičiavimas atliekamas ir tikslinančios sąskaitos faktūros pateikiamos iki kitų metų kovo 10 d. </w:t>
            </w:r>
          </w:p>
          <w:p w14:paraId="494BD07D" w14:textId="77777777" w:rsidR="00ED7A05" w:rsidRDefault="00ED7A05" w:rsidP="00ED7A05">
            <w:pPr>
              <w:pStyle w:val="ListParagraph"/>
              <w:ind w:left="1080"/>
              <w:jc w:val="both"/>
              <w:rPr>
                <w:rFonts w:ascii="Segoe UI" w:hAnsi="Segoe UI" w:cs="Segoe UI"/>
                <w:sz w:val="18"/>
                <w:szCs w:val="18"/>
              </w:rPr>
            </w:pPr>
          </w:p>
          <w:p w14:paraId="7C8A20E6" w14:textId="77777777" w:rsidR="00ED7A05" w:rsidRDefault="00ED7A05" w:rsidP="00ED7A05">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Pasibaigus kiekvienam atitinkamo Paslaugų tipo kainų perskaičiavimo laikotarpiui, nurodytam </w:t>
            </w:r>
            <w:r>
              <w:rPr>
                <w:rFonts w:ascii="Segoe UI" w:hAnsi="Segoe UI" w:cs="Segoe UI"/>
                <w:sz w:val="18"/>
                <w:szCs w:val="18"/>
              </w:rPr>
              <w:fldChar w:fldCharType="begin"/>
            </w:r>
            <w:r>
              <w:rPr>
                <w:rFonts w:ascii="Segoe UI" w:hAnsi="Segoe UI" w:cs="Segoe UI"/>
                <w:sz w:val="18"/>
                <w:szCs w:val="18"/>
              </w:rPr>
              <w:instrText xml:space="preserve"> REF _Ref24986080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3.1</w:t>
            </w:r>
            <w:r>
              <w:rPr>
                <w:rFonts w:ascii="Segoe UI" w:hAnsi="Segoe UI" w:cs="Segoe UI"/>
                <w:sz w:val="18"/>
                <w:szCs w:val="18"/>
              </w:rPr>
              <w:fldChar w:fldCharType="end"/>
            </w:r>
            <w:r>
              <w:rPr>
                <w:rFonts w:ascii="Segoe UI" w:hAnsi="Segoe UI" w:cs="Segoe UI"/>
                <w:sz w:val="18"/>
                <w:szCs w:val="18"/>
              </w:rPr>
              <w:t xml:space="preserve"> punkte, ne vėliau nei nurodyta prie kiekvieno perskaičiavimo laikotarpio, Paslaugų teikėjas įvertina, ar kiekvienam Užsakovui suteiktų Paslaugų tipo Faktinė pelno marža (FPM) atitinka Norminę pelno maržą (NPM). Vertinimas atliekamas pagal formules:</w:t>
            </w:r>
          </w:p>
          <w:p w14:paraId="5A1D216C"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Norminė pelno marža (NPM), % – norminis pelno maržos dydis procentais, apskaičiuojamas tokiu būdu: </w:t>
            </w:r>
          </w:p>
          <w:p w14:paraId="2A980E78"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 xml:space="preserve">Faktinė savikaina (FS) – per laikotarpį faktiškai patirta Tiesioginių ir Netiesioginių sąnaudų suma, priskirta Paslaugų tipui (neįskaitant perstatomų sąnaudų). </w:t>
            </w:r>
          </w:p>
          <w:p w14:paraId="266FCA17"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 xml:space="preserve">FS, kuriai taikomas antkainis (FSA) – ta faktinės savikainos dalis (dedamosios), kurioms Antkainis turi būti taikomas. </w:t>
            </w:r>
          </w:p>
          <w:p w14:paraId="29A8AC8C"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 xml:space="preserve">FS, kuriai netaikomas antkainis (FSNA) – ta faktinės savikainos dalis (dedamosios), kurioms Antkainis netaikomas. </w:t>
            </w:r>
          </w:p>
          <w:p w14:paraId="46F048AE"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 xml:space="preserve">Norminė pajamų suma (NPS) </w:t>
            </w:r>
            <w:r>
              <w:rPr>
                <w:rFonts w:ascii="Segoe UI" w:hAnsi="Segoe UI" w:cs="Segoe UI"/>
                <w:sz w:val="18"/>
                <w:szCs w:val="18"/>
                <w:lang w:val="en-US"/>
              </w:rPr>
              <w:t xml:space="preserve">= FSA * (1 + </w:t>
            </w:r>
            <w:proofErr w:type="spellStart"/>
            <w:r>
              <w:rPr>
                <w:rFonts w:ascii="Segoe UI" w:hAnsi="Segoe UI" w:cs="Segoe UI"/>
                <w:sz w:val="18"/>
                <w:szCs w:val="18"/>
                <w:lang w:val="en-US"/>
              </w:rPr>
              <w:t>Antkainis</w:t>
            </w:r>
            <w:proofErr w:type="spellEnd"/>
            <w:r>
              <w:rPr>
                <w:rFonts w:ascii="Segoe UI" w:hAnsi="Segoe UI" w:cs="Segoe UI"/>
                <w:sz w:val="18"/>
                <w:szCs w:val="18"/>
                <w:lang w:val="en-US"/>
              </w:rPr>
              <w:t>)</w:t>
            </w:r>
            <w:r>
              <w:rPr>
                <w:rFonts w:ascii="Segoe UI" w:hAnsi="Segoe UI" w:cs="Segoe UI"/>
                <w:sz w:val="18"/>
                <w:szCs w:val="18"/>
              </w:rPr>
              <w:t xml:space="preserve"> + FSNA.</w:t>
            </w:r>
          </w:p>
          <w:p w14:paraId="0B21228A" w14:textId="77777777" w:rsidR="00ED7A05" w:rsidRDefault="00ED7A05" w:rsidP="00ED7A05">
            <w:pPr>
              <w:pStyle w:val="ListParagraph"/>
              <w:ind w:left="1080"/>
              <w:jc w:val="both"/>
              <w:rPr>
                <w:rFonts w:ascii="Segoe UI" w:hAnsi="Segoe UI" w:cs="Segoe UI"/>
                <w:sz w:val="18"/>
                <w:szCs w:val="18"/>
                <w:lang w:val="en-US"/>
              </w:rPr>
            </w:pPr>
            <w:r>
              <w:rPr>
                <w:rFonts w:ascii="Segoe UI" w:hAnsi="Segoe UI" w:cs="Segoe UI"/>
                <w:sz w:val="18"/>
                <w:szCs w:val="18"/>
              </w:rPr>
              <w:t xml:space="preserve">Norminis pelnas (NP) </w:t>
            </w:r>
            <w:r>
              <w:rPr>
                <w:rFonts w:ascii="Segoe UI" w:hAnsi="Segoe UI" w:cs="Segoe UI"/>
                <w:sz w:val="18"/>
                <w:szCs w:val="18"/>
                <w:lang w:val="en-US"/>
              </w:rPr>
              <w:t>= NPS – FS.</w:t>
            </w:r>
          </w:p>
          <w:p w14:paraId="1136CE1E" w14:textId="77777777" w:rsidR="00ED7A05" w:rsidRDefault="00ED7A05" w:rsidP="00ED7A05">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Norminė</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pelno</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marža</w:t>
            </w:r>
            <w:proofErr w:type="spellEnd"/>
            <w:r>
              <w:rPr>
                <w:rFonts w:ascii="Segoe UI" w:hAnsi="Segoe UI" w:cs="Segoe UI"/>
                <w:sz w:val="18"/>
                <w:szCs w:val="18"/>
                <w:lang w:val="en-US"/>
              </w:rPr>
              <w:t xml:space="preserve"> = NP / NPS.</w:t>
            </w:r>
          </w:p>
          <w:p w14:paraId="7E8E2166"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Faktinė pelno marža (FPM), % - faktinis pelno maržos dydis procentais, apskaičiuojamas tokiu būdu:</w:t>
            </w:r>
          </w:p>
          <w:p w14:paraId="2DA4315A"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Faktinė pajamų suma (FPS) – faktiškai suteiktų paslaugų per atitinkamą laikotarpį suma (tai yra, suma, kuriai Paslaugų teikėjas pateikė Užsakovui sąskaitas faktūras už suteiktas konkretaus Paslaugų tipo paslaugas, neįskaitant pajamų, gautų kaip kompensacijos už perstatomas sąnaudas).</w:t>
            </w:r>
          </w:p>
          <w:p w14:paraId="0F0627BC" w14:textId="77777777" w:rsidR="00ED7A05" w:rsidRDefault="00ED7A05" w:rsidP="00ED7A05">
            <w:pPr>
              <w:pStyle w:val="ListParagraph"/>
              <w:ind w:left="1080"/>
              <w:jc w:val="both"/>
              <w:rPr>
                <w:rFonts w:ascii="Segoe UI" w:hAnsi="Segoe UI" w:cs="Segoe UI"/>
                <w:sz w:val="18"/>
                <w:szCs w:val="18"/>
              </w:rPr>
            </w:pPr>
            <w:r>
              <w:rPr>
                <w:rFonts w:ascii="Segoe UI" w:hAnsi="Segoe UI" w:cs="Segoe UI"/>
                <w:sz w:val="18"/>
                <w:szCs w:val="18"/>
              </w:rPr>
              <w:t>Faktinė savikaina (FS) – per laikotarpį faktiškai patirta Tiesioginių ir Netiesioginių sąnaudų suma, priskirta Paslaugų tipui, neįskaitant perstatomų sąnaudų.</w:t>
            </w:r>
          </w:p>
          <w:p w14:paraId="7A2F0932" w14:textId="77777777" w:rsidR="00ED7A05" w:rsidRDefault="00ED7A05" w:rsidP="00ED7A05">
            <w:pPr>
              <w:pStyle w:val="ListParagraph"/>
              <w:ind w:left="1080"/>
              <w:jc w:val="both"/>
              <w:rPr>
                <w:rFonts w:ascii="Segoe UI" w:hAnsi="Segoe UI" w:cs="Segoe UI"/>
                <w:sz w:val="18"/>
                <w:szCs w:val="18"/>
                <w:lang w:val="en-US"/>
              </w:rPr>
            </w:pPr>
            <w:r>
              <w:rPr>
                <w:rFonts w:ascii="Segoe UI" w:hAnsi="Segoe UI" w:cs="Segoe UI"/>
                <w:sz w:val="18"/>
                <w:szCs w:val="18"/>
              </w:rPr>
              <w:t xml:space="preserve">Faktinis pelnas (FP) </w:t>
            </w:r>
            <w:r>
              <w:rPr>
                <w:rFonts w:ascii="Segoe UI" w:hAnsi="Segoe UI" w:cs="Segoe UI"/>
                <w:sz w:val="18"/>
                <w:szCs w:val="18"/>
                <w:lang w:val="en-US"/>
              </w:rPr>
              <w:t>= FPS – FS.</w:t>
            </w:r>
          </w:p>
          <w:p w14:paraId="7980C250" w14:textId="77777777" w:rsidR="00ED7A05" w:rsidRDefault="00ED7A05" w:rsidP="00ED7A05">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Faktin</w:t>
            </w:r>
            <w:proofErr w:type="spellEnd"/>
            <w:r>
              <w:rPr>
                <w:rFonts w:ascii="Segoe UI" w:hAnsi="Segoe UI" w:cs="Segoe UI"/>
                <w:sz w:val="18"/>
                <w:szCs w:val="18"/>
              </w:rPr>
              <w:t xml:space="preserve">ė pelno marža (FPM) </w:t>
            </w:r>
            <w:r>
              <w:rPr>
                <w:rFonts w:ascii="Segoe UI" w:hAnsi="Segoe UI" w:cs="Segoe UI"/>
                <w:sz w:val="18"/>
                <w:szCs w:val="18"/>
                <w:lang w:val="en-US"/>
              </w:rPr>
              <w:t>= FP / FPS.</w:t>
            </w:r>
          </w:p>
          <w:p w14:paraId="5BAB80B4"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Jeigu FPM &gt; NPM, Užsakovui grąžinamas skirtumas tarp apskaičiuotų FPS ir NPS pateikiant kreditinę sąskaitą faktūrą.</w:t>
            </w:r>
          </w:p>
          <w:p w14:paraId="5D756D27" w14:textId="77777777" w:rsidR="00ED7A05" w:rsidRDefault="00ED7A05" w:rsidP="00ED7A05">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Jeigu FPM &lt; NPM, Paslaugų teikėjas skirtumo tarp apskaičiuotų FPS ir NPS sumai pateikia Užsakovui papildomą sąskaitą faktūrą, kurią Užsakovas apmoka per Sutartyje nustatytą apmokėjimo terminą. </w:t>
            </w:r>
          </w:p>
          <w:p w14:paraId="7CE9635B" w14:textId="77777777" w:rsidR="00ED7A05" w:rsidRDefault="00ED7A05" w:rsidP="00ED7A05">
            <w:pPr>
              <w:pStyle w:val="ListParagraph"/>
              <w:ind w:left="1080"/>
              <w:jc w:val="both"/>
              <w:rPr>
                <w:rFonts w:ascii="Segoe UI" w:hAnsi="Segoe UI" w:cs="Segoe UI"/>
                <w:sz w:val="18"/>
                <w:szCs w:val="18"/>
              </w:rPr>
            </w:pPr>
          </w:p>
          <w:p w14:paraId="2095935F" w14:textId="77777777" w:rsidR="00ED7A05" w:rsidRDefault="00ED7A05" w:rsidP="00ED7A05">
            <w:pPr>
              <w:jc w:val="both"/>
            </w:pPr>
          </w:p>
          <w:p w14:paraId="254359FD" w14:textId="77777777" w:rsidR="00ED7A05" w:rsidRDefault="00ED7A05" w:rsidP="00ED7A05">
            <w:pPr>
              <w:numPr>
                <w:ilvl w:val="0"/>
                <w:numId w:val="25"/>
              </w:numPr>
              <w:spacing w:line="276" w:lineRule="auto"/>
              <w:ind w:left="426" w:hanging="426"/>
              <w:contextualSpacing/>
              <w:jc w:val="both"/>
              <w:rPr>
                <w:rFonts w:ascii="Segoe UI" w:eastAsia="SimSun" w:hAnsi="Segoe UI" w:cs="Segoe UI"/>
                <w:b/>
                <w:bCs/>
                <w:sz w:val="18"/>
                <w:szCs w:val="18"/>
              </w:rPr>
            </w:pPr>
            <w:r>
              <w:rPr>
                <w:rFonts w:ascii="Segoe UI" w:eastAsia="SimSun" w:hAnsi="Segoe UI" w:cs="Segoe UI"/>
                <w:b/>
                <w:bCs/>
                <w:sz w:val="18"/>
                <w:szCs w:val="18"/>
              </w:rPr>
              <w:t>Paslaugų įkainių peržiūros sąlygos ir tvarka</w:t>
            </w:r>
          </w:p>
          <w:p w14:paraId="23DFF469" w14:textId="77777777" w:rsidR="00ED7A05" w:rsidRDefault="00ED7A05" w:rsidP="00ED7A05">
            <w:pPr>
              <w:ind w:left="426"/>
              <w:contextualSpacing/>
              <w:jc w:val="both"/>
              <w:rPr>
                <w:rFonts w:ascii="Segoe UI" w:eastAsia="SimSun" w:hAnsi="Segoe UI" w:cs="Segoe UI"/>
                <w:sz w:val="18"/>
                <w:szCs w:val="18"/>
              </w:rPr>
            </w:pPr>
          </w:p>
          <w:p w14:paraId="61B02E25" w14:textId="77777777" w:rsidR="00ED7A05" w:rsidRDefault="00ED7A05" w:rsidP="00ED7A05">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Pirmoji Paslaugų įkainių peržiūra vykdoma ne anksčiau kaip po 12 (dvylikos) mėnesių nuo Sutarties įsigaliojimo.</w:t>
            </w:r>
          </w:p>
          <w:p w14:paraId="3EE71EA7" w14:textId="77777777" w:rsidR="00ED7A05" w:rsidRDefault="00ED7A05" w:rsidP="00ED7A05">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Paslaugų įkainiai galiojimo laikotarpiu galės būti peržiūrimi ir keičiami ne dažniau kaip vieną kartą per 12 (dvylikos) mėnesių laikotarpį.</w:t>
            </w:r>
          </w:p>
          <w:p w14:paraId="438FC502" w14:textId="77777777" w:rsidR="00ED7A05" w:rsidRDefault="00ED7A05" w:rsidP="00ED7A05">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Peržiūra atliekama nustatytu periodiškumu, praėjus 12 (dvylikai) mėnesių nuo Sutarties įsigaliojimo (peržiūra atliekama bet kurią 12 (dvylikto) mėnesio dieną) arba praėjus 12 (dvylikai) mėnesių (peržiūra atliekama bet kurią 12 (dvylikto) mėnesio dieną)  nuo paskutinės peržiūros dienos, esant toliau nustatytoms aplinkybėms:</w:t>
            </w:r>
          </w:p>
          <w:p w14:paraId="7D85BD7B" w14:textId="77777777" w:rsidR="00ED7A05" w:rsidRDefault="00ED7A05" w:rsidP="00ED7A05">
            <w:pPr>
              <w:ind w:left="426"/>
              <w:contextualSpacing/>
              <w:jc w:val="both"/>
              <w:rPr>
                <w:rFonts w:ascii="Segoe UI" w:eastAsia="SimSun" w:hAnsi="Segoe UI" w:cs="Segoe UI"/>
                <w:sz w:val="18"/>
                <w:szCs w:val="18"/>
              </w:rPr>
            </w:pPr>
            <w:r>
              <w:rPr>
                <w:rFonts w:ascii="Segoe UI" w:eastAsia="SimSun" w:hAnsi="Segoe UI" w:cs="Segoe UI"/>
                <w:sz w:val="18"/>
                <w:szCs w:val="18"/>
              </w:rPr>
              <w:t xml:space="preserve">4.3.1.  jeigu pagal Lietuvos Respublikos statistikos departamento duomenis Lietuvos Respublikos Metinė infliacija pasiekia 5 ar daugiau procentų arba Metinė defliacija pasiekia -5 ar mažiau procentų ribą (duomenų šaltinis - </w:t>
            </w:r>
            <w:hyperlink r:id="rId12" w:history="1">
              <w:r>
                <w:rPr>
                  <w:rStyle w:val="Hyperlink"/>
                  <w:rFonts w:ascii="Segoe UI" w:eastAsia="SimSun" w:hAnsi="Segoe UI" w:cs="Segoe UI"/>
                  <w:sz w:val="18"/>
                  <w:szCs w:val="18"/>
                </w:rPr>
                <w:t>http://www.stat.gov.lt</w:t>
              </w:r>
            </w:hyperlink>
            <w:r>
              <w:rPr>
                <w:rFonts w:ascii="Segoe UI" w:eastAsia="SimSun" w:hAnsi="Segoe UI" w:cs="Segoe UI"/>
                <w:sz w:val="18"/>
                <w:szCs w:val="18"/>
              </w:rPr>
              <w:t>);</w:t>
            </w:r>
          </w:p>
          <w:p w14:paraId="0EC31D22" w14:textId="77777777" w:rsidR="00ED7A05" w:rsidRDefault="00ED7A05" w:rsidP="00ED7A05">
            <w:pPr>
              <w:ind w:left="426"/>
              <w:contextualSpacing/>
              <w:jc w:val="both"/>
              <w:rPr>
                <w:rFonts w:ascii="Segoe UI" w:eastAsia="SimSun" w:hAnsi="Segoe UI" w:cs="Segoe UI"/>
                <w:sz w:val="18"/>
                <w:szCs w:val="18"/>
              </w:rPr>
            </w:pPr>
            <w:r>
              <w:rPr>
                <w:rFonts w:ascii="Segoe UI" w:eastAsia="SimSun" w:hAnsi="Segoe UI" w:cs="Segoe UI"/>
                <w:sz w:val="18"/>
                <w:szCs w:val="18"/>
              </w:rPr>
              <w:t>4.3.2. Paslaugų įkainių peržiūrą inicijuojanti Šalis turi informuoti kitą Šalį raštu apie pageidavimą peržiūrėti Paslaugų įkainius</w:t>
            </w:r>
          </w:p>
          <w:p w14:paraId="6E416828" w14:textId="77777777" w:rsidR="00ED7A05" w:rsidRDefault="00ED7A05" w:rsidP="00ED7A05">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 xml:space="preserve"> Paslaugų įkainiai peržiūrimi pagal žemiau pateiktą formulę:</w:t>
            </w:r>
          </w:p>
          <w:p w14:paraId="5E45B952" w14:textId="401E7107" w:rsidR="00ED7A05" w:rsidRDefault="00ED7A05" w:rsidP="00ED7A05">
            <w:pPr>
              <w:ind w:left="426"/>
              <w:contextualSpacing/>
              <w:jc w:val="both"/>
              <w:rPr>
                <w:rFonts w:ascii="Segoe UI" w:eastAsia="SimSun" w:hAnsi="Segoe UI" w:cs="Segoe UI"/>
                <w:sz w:val="18"/>
                <w:szCs w:val="18"/>
              </w:rPr>
            </w:pPr>
            <w:r>
              <w:rPr>
                <w:noProof/>
              </w:rPr>
              <w:drawing>
                <wp:anchor distT="0" distB="0" distL="114300" distR="114300" simplePos="0" relativeHeight="251658240" behindDoc="0" locked="0" layoutInCell="1" allowOverlap="1" wp14:anchorId="1FD29A93" wp14:editId="41DC6BC0">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eastAsia="SimSun" w:hAnsi="Segoe UI" w:cs="Segoe UI"/>
                <w:sz w:val="18"/>
                <w:szCs w:val="18"/>
              </w:rPr>
              <w:br w:type="textWrapping" w:clear="all"/>
            </w:r>
            <w:proofErr w:type="spellStart"/>
            <w:r>
              <w:rPr>
                <w:rFonts w:ascii="Segoe UI" w:eastAsia="SimSun" w:hAnsi="Segoe UI" w:cs="Segoe UI"/>
                <w:sz w:val="18"/>
                <w:szCs w:val="18"/>
              </w:rPr>
              <w:t>Cpn</w:t>
            </w:r>
            <w:proofErr w:type="spellEnd"/>
            <w:r>
              <w:rPr>
                <w:rFonts w:ascii="Segoe UI" w:eastAsia="SimSun" w:hAnsi="Segoe UI" w:cs="Segoe UI"/>
                <w:sz w:val="18"/>
                <w:szCs w:val="18"/>
              </w:rPr>
              <w:t xml:space="preserve"> – peržiūrėtas Paslaugai (</w:t>
            </w:r>
            <w:proofErr w:type="spellStart"/>
            <w:r>
              <w:rPr>
                <w:rFonts w:ascii="Segoe UI" w:eastAsia="SimSun" w:hAnsi="Segoe UI" w:cs="Segoe UI"/>
                <w:sz w:val="18"/>
                <w:szCs w:val="18"/>
              </w:rPr>
              <w:t>oms</w:t>
            </w:r>
            <w:proofErr w:type="spellEnd"/>
            <w:r>
              <w:rPr>
                <w:rFonts w:ascii="Segoe UI" w:eastAsia="SimSun" w:hAnsi="Segoe UI" w:cs="Segoe UI"/>
                <w:sz w:val="18"/>
                <w:szCs w:val="18"/>
              </w:rPr>
              <w:t>)/Prekei (</w:t>
            </w:r>
            <w:proofErr w:type="spellStart"/>
            <w:r>
              <w:rPr>
                <w:rFonts w:ascii="Segoe UI" w:eastAsia="SimSun" w:hAnsi="Segoe UI" w:cs="Segoe UI"/>
                <w:sz w:val="18"/>
                <w:szCs w:val="18"/>
              </w:rPr>
              <w:t>ėms</w:t>
            </w:r>
            <w:proofErr w:type="spellEnd"/>
            <w:r>
              <w:rPr>
                <w:rFonts w:ascii="Segoe UI" w:eastAsia="SimSun" w:hAnsi="Segoe UI" w:cs="Segoe UI"/>
                <w:sz w:val="18"/>
                <w:szCs w:val="18"/>
              </w:rPr>
              <w:t>) taikomas įkainis</w:t>
            </w:r>
          </w:p>
          <w:p w14:paraId="33E3631E" w14:textId="77777777" w:rsidR="00ED7A05" w:rsidRDefault="00ED7A05" w:rsidP="00ED7A05">
            <w:pPr>
              <w:ind w:left="426"/>
              <w:contextualSpacing/>
              <w:jc w:val="both"/>
              <w:rPr>
                <w:rFonts w:ascii="Segoe UI" w:eastAsia="SimSun" w:hAnsi="Segoe UI" w:cs="Segoe UI"/>
                <w:sz w:val="18"/>
                <w:szCs w:val="18"/>
              </w:rPr>
            </w:pPr>
          </w:p>
          <w:p w14:paraId="355E580E" w14:textId="77777777" w:rsidR="00ED7A05" w:rsidRDefault="00ED7A05" w:rsidP="00ED7A05">
            <w:pPr>
              <w:ind w:left="426"/>
              <w:contextualSpacing/>
              <w:jc w:val="both"/>
              <w:rPr>
                <w:rFonts w:ascii="Segoe UI" w:eastAsia="SimSun" w:hAnsi="Segoe UI" w:cs="Segoe UI"/>
                <w:sz w:val="18"/>
                <w:szCs w:val="18"/>
              </w:rPr>
            </w:pPr>
            <w:proofErr w:type="spellStart"/>
            <w:r>
              <w:rPr>
                <w:rFonts w:ascii="Segoe UI" w:eastAsia="SimSun" w:hAnsi="Segoe UI" w:cs="Segoe UI"/>
                <w:sz w:val="18"/>
                <w:szCs w:val="18"/>
              </w:rPr>
              <w:t>Sn</w:t>
            </w:r>
            <w:proofErr w:type="spellEnd"/>
            <w:r>
              <w:rPr>
                <w:rFonts w:ascii="Segoe UI" w:eastAsia="SimSun" w:hAnsi="Segoe UI" w:cs="Segoe UI"/>
                <w:sz w:val="18"/>
                <w:szCs w:val="18"/>
              </w:rPr>
              <w:t xml:space="preserve"> – Sutartyje numatytas Paslaugos (ų)/Prekės (</w:t>
            </w:r>
            <w:proofErr w:type="spellStart"/>
            <w:r>
              <w:rPr>
                <w:rFonts w:ascii="Segoe UI" w:eastAsia="SimSun" w:hAnsi="Segoe UI" w:cs="Segoe UI"/>
                <w:sz w:val="18"/>
                <w:szCs w:val="18"/>
              </w:rPr>
              <w:t>ių</w:t>
            </w:r>
            <w:proofErr w:type="spellEnd"/>
            <w:r>
              <w:rPr>
                <w:rFonts w:ascii="Segoe UI" w:eastAsia="SimSun" w:hAnsi="Segoe UI" w:cs="Segoe UI"/>
                <w:sz w:val="18"/>
                <w:szCs w:val="18"/>
              </w:rPr>
              <w:t>) įkainis</w:t>
            </w:r>
          </w:p>
          <w:p w14:paraId="7F64E8F9" w14:textId="77777777" w:rsidR="00ED7A05" w:rsidRDefault="00ED7A05" w:rsidP="00ED7A05">
            <w:pPr>
              <w:ind w:left="426"/>
              <w:contextualSpacing/>
              <w:jc w:val="both"/>
              <w:rPr>
                <w:rFonts w:ascii="Segoe UI" w:eastAsia="SimSun" w:hAnsi="Segoe UI" w:cs="Segoe UI"/>
                <w:sz w:val="18"/>
                <w:szCs w:val="18"/>
              </w:rPr>
            </w:pPr>
          </w:p>
          <w:p w14:paraId="5D4A9B21" w14:textId="77777777" w:rsidR="00ED7A05" w:rsidRDefault="00ED7A05" w:rsidP="00ED7A05">
            <w:pPr>
              <w:ind w:left="426"/>
              <w:contextualSpacing/>
              <w:jc w:val="both"/>
              <w:rPr>
                <w:rFonts w:ascii="Segoe UI" w:eastAsia="SimSun" w:hAnsi="Segoe UI" w:cs="Segoe UI"/>
                <w:sz w:val="18"/>
                <w:szCs w:val="18"/>
              </w:rPr>
            </w:pPr>
            <w:r>
              <w:rPr>
                <w:rFonts w:ascii="Segoe UI" w:eastAsia="SimSun" w:hAnsi="Segoe UI" w:cs="Segoe UI"/>
                <w:sz w:val="18"/>
                <w:szCs w:val="18"/>
              </w:rPr>
              <w:t>I – infliacijos arba defliacijos (defliacijos atveju procentas įrašomas su minuso ženklu) dydis procentais;</w:t>
            </w:r>
          </w:p>
          <w:p w14:paraId="122E38CD" w14:textId="77777777" w:rsidR="00ED7A05" w:rsidRDefault="00ED7A05" w:rsidP="00ED7A05">
            <w:pPr>
              <w:ind w:left="426"/>
              <w:contextualSpacing/>
              <w:jc w:val="both"/>
              <w:rPr>
                <w:rFonts w:ascii="Segoe UI" w:eastAsia="SimSun" w:hAnsi="Segoe UI" w:cs="Segoe UI"/>
                <w:sz w:val="18"/>
                <w:szCs w:val="18"/>
              </w:rPr>
            </w:pPr>
          </w:p>
          <w:p w14:paraId="1245D4F6" w14:textId="6F3DC230" w:rsidR="00ED7A05" w:rsidRDefault="00ED7A05" w:rsidP="00ED7A05">
            <w:pPr>
              <w:ind w:left="426"/>
              <w:contextualSpacing/>
              <w:jc w:val="both"/>
              <w:rPr>
                <w:rFonts w:ascii="Segoe UI" w:eastAsia="SimSun" w:hAnsi="Segoe UI" w:cs="Segoe UI"/>
                <w:sz w:val="18"/>
                <w:szCs w:val="18"/>
              </w:rPr>
            </w:pPr>
            <w:r>
              <w:rPr>
                <w:rFonts w:ascii="Segoe UI" w:eastAsia="SimSun" w:hAnsi="Segoe UI" w:cs="Segoe UI"/>
                <w:noProof/>
                <w:sz w:val="18"/>
                <w:szCs w:val="18"/>
              </w:rPr>
              <w:drawing>
                <wp:inline distT="0" distB="0" distL="0" distR="0" wp14:anchorId="6D80BCE9" wp14:editId="4B860369">
                  <wp:extent cx="184150" cy="158750"/>
                  <wp:effectExtent l="0" t="0" r="6350" b="0"/>
                  <wp:docPr id="1" name="Picture 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Pr>
                <w:rFonts w:ascii="Segoe UI" w:eastAsia="SimSun" w:hAnsi="Segoe UI" w:cs="Segoe UI"/>
                <w:sz w:val="18"/>
                <w:szCs w:val="18"/>
              </w:rPr>
              <w:t>- defliacijos atveju (-5), infliacijos atveju 5.</w:t>
            </w:r>
          </w:p>
          <w:p w14:paraId="1C079598" w14:textId="77777777" w:rsidR="00ED7A05" w:rsidRDefault="00ED7A05" w:rsidP="00ED7A05">
            <w:pPr>
              <w:ind w:left="426"/>
              <w:contextualSpacing/>
              <w:jc w:val="both"/>
              <w:rPr>
                <w:rFonts w:ascii="Segoe UI" w:eastAsia="SimSun" w:hAnsi="Segoe UI" w:cs="Segoe UI"/>
                <w:sz w:val="18"/>
                <w:szCs w:val="18"/>
              </w:rPr>
            </w:pPr>
          </w:p>
          <w:p w14:paraId="6A02B2D8" w14:textId="77777777" w:rsidR="00ED7A05" w:rsidRDefault="00ED7A05" w:rsidP="00ED7A05">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Peržiūrėti Paslaugų įkainiai įsigalioja nuo abiejų Šalių susitarimo dėl Sutarties pakeitimo pasirašymo dienos, jei pačiame susitarime nenumatyta kitaip.</w:t>
            </w:r>
          </w:p>
          <w:p w14:paraId="028C28BB" w14:textId="04940561" w:rsidR="00D45309" w:rsidRDefault="00ED7A05" w:rsidP="00ED7A05">
            <w:r>
              <w:rPr>
                <w:rFonts w:ascii="Segoe UI" w:eastAsia="SimSun" w:hAnsi="Segoe UI" w:cs="Segoe UI"/>
                <w:sz w:val="18"/>
                <w:szCs w:val="18"/>
              </w:rPr>
              <w:t xml:space="preserve">Už Paslaugas/Prekes, užsakytas iki susitarimo dėl Paslaugų įkainių peržiūrėjimo pasirašymo dienos, </w:t>
            </w:r>
            <w:sdt>
              <w:sdtPr>
                <w:rPr>
                  <w:rFonts w:ascii="Segoe UI" w:eastAsia="SimSun" w:hAnsi="Segoe UI" w:cs="Segoe UI"/>
                  <w:sz w:val="18"/>
                  <w:szCs w:val="18"/>
                </w:rPr>
                <w:id w:val="-1152442232"/>
                <w:placeholder>
                  <w:docPart w:val="B75E89BC88C541A2BDAE0C70A34DC2B0"/>
                </w:placeholder>
                <w:dropDownList>
                  <w:listItem w:value="[Pasirinkti]"/>
                  <w:listItem w:displayText="Užsakovas" w:value="Užsakovas"/>
                  <w:listItem w:displayText="Klientas" w:value="Klientas"/>
                  <w:listItem w:displayText="Pirkėjas" w:value="Pirkėjas"/>
                </w:dropDownList>
              </w:sdtPr>
              <w:sdtEndPr/>
              <w:sdtContent>
                <w:r>
                  <w:rPr>
                    <w:rFonts w:ascii="Segoe UI" w:eastAsia="SimSun" w:hAnsi="Segoe UI" w:cs="Segoe UI"/>
                    <w:sz w:val="18"/>
                    <w:szCs w:val="18"/>
                  </w:rPr>
                  <w:t>Užsakovas</w:t>
                </w:r>
              </w:sdtContent>
            </w:sdt>
            <w:r>
              <w:rPr>
                <w:rFonts w:ascii="Segoe UI" w:eastAsia="SimSun" w:hAnsi="Segoe UI" w:cs="Segoe UI"/>
                <w:sz w:val="18"/>
                <w:szCs w:val="18"/>
              </w:rPr>
              <w:t xml:space="preserve"> apmoka taikant iki tol galiojusius Paslaugų įkainius, o už Paslaugas/Prekes, užsakytas (-</w:t>
            </w:r>
            <w:proofErr w:type="spellStart"/>
            <w:r>
              <w:rPr>
                <w:rFonts w:ascii="Segoe UI" w:eastAsia="SimSun" w:hAnsi="Segoe UI" w:cs="Segoe UI"/>
                <w:sz w:val="18"/>
                <w:szCs w:val="18"/>
              </w:rPr>
              <w:t>us</w:t>
            </w:r>
            <w:proofErr w:type="spellEnd"/>
            <w:r>
              <w:rPr>
                <w:rFonts w:ascii="Segoe UI" w:eastAsia="SimSun" w:hAnsi="Segoe UI" w:cs="Segoe UI"/>
                <w:sz w:val="18"/>
                <w:szCs w:val="18"/>
              </w:rPr>
              <w:t xml:space="preserve">) po susitarimo pasirašymo dienos, </w:t>
            </w:r>
            <w:sdt>
              <w:sdtPr>
                <w:rPr>
                  <w:rFonts w:ascii="Segoe UI" w:eastAsia="SimSun" w:hAnsi="Segoe UI" w:cs="Segoe UI"/>
                  <w:sz w:val="18"/>
                  <w:szCs w:val="18"/>
                </w:rPr>
                <w:id w:val="1678314809"/>
                <w:placeholder>
                  <w:docPart w:val="A968B757717A449C8DCFF1CA8FC110F7"/>
                </w:placeholder>
                <w:dropDownList>
                  <w:listItem w:value="[Pasirinkti]"/>
                  <w:listItem w:displayText="Rangovui" w:value="Rangovui"/>
                  <w:listItem w:displayText="Paslaugų teikėjui" w:value="Paslaugų teikėjui"/>
                  <w:listItem w:displayText="Tiekėjui" w:value="Tiekėjui"/>
                </w:dropDownList>
              </w:sdtPr>
              <w:sdtEndPr/>
              <w:sdtContent>
                <w:r>
                  <w:rPr>
                    <w:rFonts w:ascii="Segoe UI" w:eastAsia="SimSun" w:hAnsi="Segoe UI" w:cs="Segoe UI"/>
                    <w:sz w:val="18"/>
                    <w:szCs w:val="18"/>
                  </w:rPr>
                  <w:t>Paslaugų teikėjui</w:t>
                </w:r>
              </w:sdtContent>
            </w:sdt>
            <w:r>
              <w:rPr>
                <w:rFonts w:ascii="Segoe UI" w:eastAsia="SimSun" w:hAnsi="Segoe UI" w:cs="Segoe UI"/>
                <w:sz w:val="18"/>
                <w:szCs w:val="18"/>
              </w:rPr>
              <w:t xml:space="preserve"> bus apmokama taikant peržiūrėtus Paslaugų įkainius po peržiūros.</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12"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12"/>
    </w:p>
    <w:p w14:paraId="6F1D983E" w14:textId="0E5560A4" w:rsidR="00DE5FAA" w:rsidRDefault="00C13B84" w:rsidP="00644D31">
      <w:pPr>
        <w:numPr>
          <w:ilvl w:val="1"/>
          <w:numId w:val="1"/>
        </w:numPr>
        <w:spacing w:before="60" w:after="60"/>
        <w:ind w:left="567" w:hanging="567"/>
        <w:jc w:val="both"/>
        <w:rPr>
          <w:rFonts w:ascii="Arial" w:hAnsi="Arial" w:cs="Arial"/>
          <w:sz w:val="20"/>
          <w:szCs w:val="20"/>
        </w:rPr>
      </w:pPr>
      <w:bookmarkStart w:id="13" w:name="_Ref37569043"/>
      <w:r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13"/>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7592FE3E" w14:textId="665AA731" w:rsidR="00A47C19" w:rsidRPr="008D6C6E" w:rsidRDefault="0077336F" w:rsidP="008F41CD">
      <w:pPr>
        <w:pStyle w:val="ListParagraph"/>
        <w:numPr>
          <w:ilvl w:val="1"/>
          <w:numId w:val="1"/>
        </w:numPr>
        <w:spacing w:before="60" w:after="60"/>
        <w:ind w:left="567" w:hanging="567"/>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4"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4"/>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54D02330" w:rsidR="00786D40" w:rsidRPr="00E973B7" w:rsidRDefault="002D128E"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D7A05">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74FC9DF3"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1A447548" w14:textId="3742B0B6" w:rsidR="00EE74E0" w:rsidRDefault="00EE74E0" w:rsidP="009F6E07">
      <w:pPr>
        <w:spacing w:before="60" w:after="60" w:line="276" w:lineRule="auto"/>
        <w:jc w:val="center"/>
        <w:rPr>
          <w:rFonts w:ascii="Arial" w:hAnsi="Arial" w:cs="Arial"/>
          <w:sz w:val="20"/>
          <w:szCs w:val="20"/>
        </w:rPr>
      </w:pPr>
    </w:p>
    <w:p w14:paraId="4CB0F6F3" w14:textId="30D33A42" w:rsidR="00EE74E0" w:rsidRDefault="00EE74E0" w:rsidP="00EE74E0">
      <w:pPr>
        <w:spacing w:after="200" w:line="276" w:lineRule="auto"/>
        <w:rPr>
          <w:rFonts w:ascii="Arial" w:hAnsi="Arial" w:cs="Arial"/>
          <w:sz w:val="20"/>
          <w:szCs w:val="20"/>
        </w:rPr>
      </w:pPr>
    </w:p>
    <w:p w14:paraId="3BFE9EF8" w14:textId="77777777" w:rsidR="00EE74E0" w:rsidRPr="00140E9C" w:rsidRDefault="00EE74E0" w:rsidP="00EE74E0">
      <w:pPr>
        <w:spacing w:after="200" w:line="276" w:lineRule="auto"/>
        <w:rPr>
          <w:rFonts w:ascii="Arial" w:hAnsi="Arial" w:cs="Arial"/>
          <w:sz w:val="20"/>
          <w:szCs w:val="20"/>
        </w:rPr>
      </w:pPr>
    </w:p>
    <w:p w14:paraId="2CBFC414" w14:textId="77777777" w:rsidR="00EE74E0" w:rsidRDefault="00EE74E0" w:rsidP="009F6E07">
      <w:pPr>
        <w:spacing w:before="60" w:after="60" w:line="276" w:lineRule="auto"/>
        <w:jc w:val="center"/>
        <w:rPr>
          <w:rFonts w:ascii="Arial" w:hAnsi="Arial" w:cs="Arial"/>
          <w:sz w:val="20"/>
          <w:szCs w:val="20"/>
          <w:highlight w:val="yellow"/>
        </w:rPr>
      </w:pPr>
    </w:p>
    <w:sectPr w:rsidR="00EE74E0"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CD6B" w14:textId="77777777" w:rsidR="00356C8E" w:rsidRDefault="00356C8E" w:rsidP="0043350F">
      <w:r>
        <w:separator/>
      </w:r>
    </w:p>
  </w:endnote>
  <w:endnote w:type="continuationSeparator" w:id="0">
    <w:p w14:paraId="30B1D703" w14:textId="77777777" w:rsidR="00356C8E" w:rsidRDefault="00356C8E" w:rsidP="0043350F">
      <w:r>
        <w:continuationSeparator/>
      </w:r>
    </w:p>
  </w:endnote>
  <w:endnote w:type="continuationNotice" w:id="1">
    <w:p w14:paraId="57FD6EE4" w14:textId="77777777" w:rsidR="00356C8E" w:rsidRDefault="0035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0AE1" w14:textId="77777777" w:rsidR="00356C8E" w:rsidRDefault="00356C8E" w:rsidP="0043350F">
      <w:r>
        <w:separator/>
      </w:r>
    </w:p>
  </w:footnote>
  <w:footnote w:type="continuationSeparator" w:id="0">
    <w:p w14:paraId="669EF666" w14:textId="77777777" w:rsidR="00356C8E" w:rsidRDefault="00356C8E" w:rsidP="0043350F">
      <w:r>
        <w:continuationSeparator/>
      </w:r>
    </w:p>
  </w:footnote>
  <w:footnote w:type="continuationNotice" w:id="1">
    <w:p w14:paraId="1DB7B6A3" w14:textId="77777777" w:rsidR="00356C8E" w:rsidRDefault="00356C8E"/>
  </w:footnote>
  <w:footnote w:id="2">
    <w:p w14:paraId="2BAA4B9A" w14:textId="77777777" w:rsidR="00644D31" w:rsidRPr="008E498E" w:rsidRDefault="00644D31" w:rsidP="005D086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3F230CB7" w14:textId="77777777" w:rsidR="00644D31" w:rsidRPr="008E498E" w:rsidRDefault="00644D31" w:rsidP="005D086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C23656" w:rsidRPr="00A33E05" w:rsidRDefault="00C23656" w:rsidP="00C23656">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7D71C9"/>
    <w:multiLevelType w:val="hybridMultilevel"/>
    <w:tmpl w:val="E054B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7109083">
    <w:abstractNumId w:val="14"/>
  </w:num>
  <w:num w:numId="2" w16cid:durableId="1828280788">
    <w:abstractNumId w:val="17"/>
  </w:num>
  <w:num w:numId="3" w16cid:durableId="674235883">
    <w:abstractNumId w:val="9"/>
  </w:num>
  <w:num w:numId="4" w16cid:durableId="1806969576">
    <w:abstractNumId w:val="4"/>
  </w:num>
  <w:num w:numId="5" w16cid:durableId="953749389">
    <w:abstractNumId w:val="1"/>
  </w:num>
  <w:num w:numId="6" w16cid:durableId="186676882">
    <w:abstractNumId w:val="19"/>
  </w:num>
  <w:num w:numId="7" w16cid:durableId="1736590725">
    <w:abstractNumId w:val="5"/>
  </w:num>
  <w:num w:numId="8" w16cid:durableId="296692855">
    <w:abstractNumId w:val="16"/>
  </w:num>
  <w:num w:numId="9" w16cid:durableId="327826331">
    <w:abstractNumId w:val="13"/>
  </w:num>
  <w:num w:numId="10" w16cid:durableId="1269238544">
    <w:abstractNumId w:val="18"/>
  </w:num>
  <w:num w:numId="11" w16cid:durableId="1759403195">
    <w:abstractNumId w:val="2"/>
  </w:num>
  <w:num w:numId="12" w16cid:durableId="1338578594">
    <w:abstractNumId w:val="19"/>
  </w:num>
  <w:num w:numId="13" w16cid:durableId="1216549289">
    <w:abstractNumId w:val="21"/>
  </w:num>
  <w:num w:numId="14" w16cid:durableId="132719426">
    <w:abstractNumId w:val="8"/>
  </w:num>
  <w:num w:numId="15" w16cid:durableId="1837260723">
    <w:abstractNumId w:val="7"/>
  </w:num>
  <w:num w:numId="16" w16cid:durableId="1248342674">
    <w:abstractNumId w:val="15"/>
  </w:num>
  <w:num w:numId="17" w16cid:durableId="1795751958">
    <w:abstractNumId w:val="11"/>
  </w:num>
  <w:num w:numId="18" w16cid:durableId="661467380">
    <w:abstractNumId w:val="23"/>
  </w:num>
  <w:num w:numId="19" w16cid:durableId="115218649">
    <w:abstractNumId w:val="12"/>
  </w:num>
  <w:num w:numId="20" w16cid:durableId="487941391">
    <w:abstractNumId w:val="6"/>
  </w:num>
  <w:num w:numId="21" w16cid:durableId="1626425290">
    <w:abstractNumId w:val="10"/>
  </w:num>
  <w:num w:numId="22" w16cid:durableId="503470983">
    <w:abstractNumId w:val="0"/>
  </w:num>
  <w:num w:numId="23" w16cid:durableId="1397973747">
    <w:abstractNumId w:val="3"/>
  </w:num>
  <w:num w:numId="24" w16cid:durableId="581376354">
    <w:abstractNumId w:val="22"/>
  </w:num>
  <w:num w:numId="25" w16cid:durableId="1347295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DF"/>
    <w:rsid w:val="000B42F1"/>
    <w:rsid w:val="000C0096"/>
    <w:rsid w:val="000C0354"/>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8AA"/>
    <w:rsid w:val="00134CCF"/>
    <w:rsid w:val="00145CAB"/>
    <w:rsid w:val="00146302"/>
    <w:rsid w:val="00147F86"/>
    <w:rsid w:val="00151910"/>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15"/>
    <w:rsid w:val="00206C98"/>
    <w:rsid w:val="002075D1"/>
    <w:rsid w:val="00221B3E"/>
    <w:rsid w:val="00221D6B"/>
    <w:rsid w:val="002228FD"/>
    <w:rsid w:val="00223ADE"/>
    <w:rsid w:val="00225E14"/>
    <w:rsid w:val="00235697"/>
    <w:rsid w:val="00235AE9"/>
    <w:rsid w:val="00235E72"/>
    <w:rsid w:val="00235FCC"/>
    <w:rsid w:val="002444C2"/>
    <w:rsid w:val="00244C94"/>
    <w:rsid w:val="00245C68"/>
    <w:rsid w:val="00247184"/>
    <w:rsid w:val="00250261"/>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43C7"/>
    <w:rsid w:val="002C51F2"/>
    <w:rsid w:val="002C6E9F"/>
    <w:rsid w:val="002D0368"/>
    <w:rsid w:val="002D128E"/>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45BB4"/>
    <w:rsid w:val="00352FD1"/>
    <w:rsid w:val="00353949"/>
    <w:rsid w:val="00353F45"/>
    <w:rsid w:val="00355DEC"/>
    <w:rsid w:val="0035686E"/>
    <w:rsid w:val="00356C8E"/>
    <w:rsid w:val="00356DDD"/>
    <w:rsid w:val="00360434"/>
    <w:rsid w:val="003611C8"/>
    <w:rsid w:val="00363CBF"/>
    <w:rsid w:val="00364788"/>
    <w:rsid w:val="003667DC"/>
    <w:rsid w:val="00370363"/>
    <w:rsid w:val="0037064F"/>
    <w:rsid w:val="00371C3A"/>
    <w:rsid w:val="0037338A"/>
    <w:rsid w:val="00373A19"/>
    <w:rsid w:val="00373A62"/>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5BAC"/>
    <w:rsid w:val="004369DA"/>
    <w:rsid w:val="0043767D"/>
    <w:rsid w:val="00437917"/>
    <w:rsid w:val="00454BE5"/>
    <w:rsid w:val="004556C3"/>
    <w:rsid w:val="00461CC5"/>
    <w:rsid w:val="00462A26"/>
    <w:rsid w:val="00463F5E"/>
    <w:rsid w:val="00475740"/>
    <w:rsid w:val="00477F7A"/>
    <w:rsid w:val="004812B1"/>
    <w:rsid w:val="00483CEB"/>
    <w:rsid w:val="00484216"/>
    <w:rsid w:val="004846EF"/>
    <w:rsid w:val="004868BF"/>
    <w:rsid w:val="00486B7C"/>
    <w:rsid w:val="00486FF3"/>
    <w:rsid w:val="004903E5"/>
    <w:rsid w:val="00490ECA"/>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02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615"/>
    <w:rsid w:val="00527DC1"/>
    <w:rsid w:val="00530F39"/>
    <w:rsid w:val="00531810"/>
    <w:rsid w:val="00533F20"/>
    <w:rsid w:val="00535E24"/>
    <w:rsid w:val="00537ED6"/>
    <w:rsid w:val="00543803"/>
    <w:rsid w:val="0054389A"/>
    <w:rsid w:val="0054592F"/>
    <w:rsid w:val="00547D11"/>
    <w:rsid w:val="00554D82"/>
    <w:rsid w:val="00557DC7"/>
    <w:rsid w:val="005622A3"/>
    <w:rsid w:val="00564BA8"/>
    <w:rsid w:val="00565890"/>
    <w:rsid w:val="00567F58"/>
    <w:rsid w:val="00571329"/>
    <w:rsid w:val="00577ECB"/>
    <w:rsid w:val="005805BB"/>
    <w:rsid w:val="0058111C"/>
    <w:rsid w:val="00581D96"/>
    <w:rsid w:val="00581EBE"/>
    <w:rsid w:val="00587D29"/>
    <w:rsid w:val="0059047A"/>
    <w:rsid w:val="00590675"/>
    <w:rsid w:val="00593299"/>
    <w:rsid w:val="00595027"/>
    <w:rsid w:val="0059636D"/>
    <w:rsid w:val="005964AB"/>
    <w:rsid w:val="005A0099"/>
    <w:rsid w:val="005A2BA1"/>
    <w:rsid w:val="005A703E"/>
    <w:rsid w:val="005A7833"/>
    <w:rsid w:val="005A79FE"/>
    <w:rsid w:val="005B0FF7"/>
    <w:rsid w:val="005B432A"/>
    <w:rsid w:val="005B4D00"/>
    <w:rsid w:val="005C53AC"/>
    <w:rsid w:val="005C5563"/>
    <w:rsid w:val="005C57FD"/>
    <w:rsid w:val="005C64D7"/>
    <w:rsid w:val="005D020D"/>
    <w:rsid w:val="005D0865"/>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1C41"/>
    <w:rsid w:val="00642291"/>
    <w:rsid w:val="00642CE8"/>
    <w:rsid w:val="00642F91"/>
    <w:rsid w:val="00644D31"/>
    <w:rsid w:val="00646560"/>
    <w:rsid w:val="006465EE"/>
    <w:rsid w:val="006505C8"/>
    <w:rsid w:val="0065479F"/>
    <w:rsid w:val="00655AC1"/>
    <w:rsid w:val="00655B29"/>
    <w:rsid w:val="00663AB6"/>
    <w:rsid w:val="006664DD"/>
    <w:rsid w:val="006714BD"/>
    <w:rsid w:val="006724D2"/>
    <w:rsid w:val="0067259A"/>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0AD2"/>
    <w:rsid w:val="006C544D"/>
    <w:rsid w:val="006C6972"/>
    <w:rsid w:val="006C7BE2"/>
    <w:rsid w:val="006E070D"/>
    <w:rsid w:val="006E0F04"/>
    <w:rsid w:val="006F28AB"/>
    <w:rsid w:val="006F31C5"/>
    <w:rsid w:val="006F6128"/>
    <w:rsid w:val="00707444"/>
    <w:rsid w:val="007077DC"/>
    <w:rsid w:val="00717D33"/>
    <w:rsid w:val="00717DAF"/>
    <w:rsid w:val="00730A96"/>
    <w:rsid w:val="0073404D"/>
    <w:rsid w:val="0074226B"/>
    <w:rsid w:val="00746DAD"/>
    <w:rsid w:val="00747265"/>
    <w:rsid w:val="00750868"/>
    <w:rsid w:val="00750B13"/>
    <w:rsid w:val="00750CE4"/>
    <w:rsid w:val="00751210"/>
    <w:rsid w:val="00752719"/>
    <w:rsid w:val="00756EE1"/>
    <w:rsid w:val="00757E8A"/>
    <w:rsid w:val="00760E45"/>
    <w:rsid w:val="0076242B"/>
    <w:rsid w:val="007626AE"/>
    <w:rsid w:val="0077336F"/>
    <w:rsid w:val="007744F5"/>
    <w:rsid w:val="0078217A"/>
    <w:rsid w:val="00784FE4"/>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AF0"/>
    <w:rsid w:val="007E0D2F"/>
    <w:rsid w:val="007E11F0"/>
    <w:rsid w:val="007E1904"/>
    <w:rsid w:val="007E4341"/>
    <w:rsid w:val="007F0BC1"/>
    <w:rsid w:val="007F7FBE"/>
    <w:rsid w:val="0080087D"/>
    <w:rsid w:val="00801D81"/>
    <w:rsid w:val="00805DD6"/>
    <w:rsid w:val="008079D7"/>
    <w:rsid w:val="00820262"/>
    <w:rsid w:val="008239A6"/>
    <w:rsid w:val="00824273"/>
    <w:rsid w:val="00826151"/>
    <w:rsid w:val="00830925"/>
    <w:rsid w:val="00831F68"/>
    <w:rsid w:val="00832C12"/>
    <w:rsid w:val="00834E11"/>
    <w:rsid w:val="00835E6D"/>
    <w:rsid w:val="00836AC2"/>
    <w:rsid w:val="00842D07"/>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5E76"/>
    <w:rsid w:val="008960A4"/>
    <w:rsid w:val="00896557"/>
    <w:rsid w:val="00897548"/>
    <w:rsid w:val="008979A6"/>
    <w:rsid w:val="008A25EC"/>
    <w:rsid w:val="008A53FB"/>
    <w:rsid w:val="008B5380"/>
    <w:rsid w:val="008B55F5"/>
    <w:rsid w:val="008D6C6E"/>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46BAA"/>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56"/>
    <w:rsid w:val="009A4198"/>
    <w:rsid w:val="009A5B83"/>
    <w:rsid w:val="009A6B49"/>
    <w:rsid w:val="009A75D0"/>
    <w:rsid w:val="009B03E1"/>
    <w:rsid w:val="009B2981"/>
    <w:rsid w:val="009B3086"/>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257C"/>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72333"/>
    <w:rsid w:val="00A80667"/>
    <w:rsid w:val="00A81C86"/>
    <w:rsid w:val="00A8436A"/>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9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4590A"/>
    <w:rsid w:val="00B52FE3"/>
    <w:rsid w:val="00B5683A"/>
    <w:rsid w:val="00B57E76"/>
    <w:rsid w:val="00B60728"/>
    <w:rsid w:val="00B61B1B"/>
    <w:rsid w:val="00B62476"/>
    <w:rsid w:val="00B671BB"/>
    <w:rsid w:val="00B705FC"/>
    <w:rsid w:val="00B72059"/>
    <w:rsid w:val="00B73AD3"/>
    <w:rsid w:val="00B740DA"/>
    <w:rsid w:val="00B743C1"/>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3CD6"/>
    <w:rsid w:val="00C0707B"/>
    <w:rsid w:val="00C10751"/>
    <w:rsid w:val="00C13B84"/>
    <w:rsid w:val="00C147E1"/>
    <w:rsid w:val="00C2204F"/>
    <w:rsid w:val="00C224BE"/>
    <w:rsid w:val="00C2345B"/>
    <w:rsid w:val="00C23656"/>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3454"/>
    <w:rsid w:val="00C95042"/>
    <w:rsid w:val="00C95617"/>
    <w:rsid w:val="00C95E39"/>
    <w:rsid w:val="00C97E7E"/>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49D1"/>
    <w:rsid w:val="00D677A5"/>
    <w:rsid w:val="00D67954"/>
    <w:rsid w:val="00D7137B"/>
    <w:rsid w:val="00D71503"/>
    <w:rsid w:val="00D72CA1"/>
    <w:rsid w:val="00D7378F"/>
    <w:rsid w:val="00D80445"/>
    <w:rsid w:val="00D8186C"/>
    <w:rsid w:val="00D830D0"/>
    <w:rsid w:val="00D834BD"/>
    <w:rsid w:val="00D845AC"/>
    <w:rsid w:val="00D867C5"/>
    <w:rsid w:val="00D87B93"/>
    <w:rsid w:val="00D87BC4"/>
    <w:rsid w:val="00D91A3F"/>
    <w:rsid w:val="00D92FE1"/>
    <w:rsid w:val="00D93C58"/>
    <w:rsid w:val="00D93D08"/>
    <w:rsid w:val="00D950BD"/>
    <w:rsid w:val="00D95E6B"/>
    <w:rsid w:val="00D97568"/>
    <w:rsid w:val="00D9789F"/>
    <w:rsid w:val="00DA1032"/>
    <w:rsid w:val="00DA1C3E"/>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27A8"/>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6CC5"/>
    <w:rsid w:val="00E07E06"/>
    <w:rsid w:val="00E1261C"/>
    <w:rsid w:val="00E14798"/>
    <w:rsid w:val="00E15048"/>
    <w:rsid w:val="00E21B6F"/>
    <w:rsid w:val="00E253ED"/>
    <w:rsid w:val="00E25C19"/>
    <w:rsid w:val="00E26C0A"/>
    <w:rsid w:val="00E31E21"/>
    <w:rsid w:val="00E32185"/>
    <w:rsid w:val="00E3735F"/>
    <w:rsid w:val="00E42283"/>
    <w:rsid w:val="00E42562"/>
    <w:rsid w:val="00E454FC"/>
    <w:rsid w:val="00E474A1"/>
    <w:rsid w:val="00E4780E"/>
    <w:rsid w:val="00E5287C"/>
    <w:rsid w:val="00E5296C"/>
    <w:rsid w:val="00E554CD"/>
    <w:rsid w:val="00E56647"/>
    <w:rsid w:val="00E662DD"/>
    <w:rsid w:val="00E67917"/>
    <w:rsid w:val="00E705AA"/>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D7A05"/>
    <w:rsid w:val="00EE1534"/>
    <w:rsid w:val="00EE4F67"/>
    <w:rsid w:val="00EE5278"/>
    <w:rsid w:val="00EE5BC2"/>
    <w:rsid w:val="00EE5C0B"/>
    <w:rsid w:val="00EE74E0"/>
    <w:rsid w:val="00EF40A3"/>
    <w:rsid w:val="00F01B41"/>
    <w:rsid w:val="00F01DEB"/>
    <w:rsid w:val="00F02E47"/>
    <w:rsid w:val="00F030AF"/>
    <w:rsid w:val="00F060F0"/>
    <w:rsid w:val="00F06FEB"/>
    <w:rsid w:val="00F0769E"/>
    <w:rsid w:val="00F07D10"/>
    <w:rsid w:val="00F10C82"/>
    <w:rsid w:val="00F10FEF"/>
    <w:rsid w:val="00F112CA"/>
    <w:rsid w:val="00F13DED"/>
    <w:rsid w:val="00F145A5"/>
    <w:rsid w:val="00F21914"/>
    <w:rsid w:val="00F24D51"/>
    <w:rsid w:val="00F3022B"/>
    <w:rsid w:val="00F3076A"/>
    <w:rsid w:val="00F35245"/>
    <w:rsid w:val="00F3631B"/>
    <w:rsid w:val="00F3674B"/>
    <w:rsid w:val="00F405B9"/>
    <w:rsid w:val="00F4211E"/>
    <w:rsid w:val="00F42EA3"/>
    <w:rsid w:val="00F46381"/>
    <w:rsid w:val="00F47E4F"/>
    <w:rsid w:val="00F52522"/>
    <w:rsid w:val="00F53EA9"/>
    <w:rsid w:val="00F550F8"/>
    <w:rsid w:val="00F615D7"/>
    <w:rsid w:val="00F61BFB"/>
    <w:rsid w:val="00F6347A"/>
    <w:rsid w:val="00F65190"/>
    <w:rsid w:val="00F664E5"/>
    <w:rsid w:val="00F673D5"/>
    <w:rsid w:val="00F67B02"/>
    <w:rsid w:val="00F70329"/>
    <w:rsid w:val="00F716C6"/>
    <w:rsid w:val="00F740D9"/>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68E3"/>
    <w:rsid w:val="00FE7CCE"/>
    <w:rsid w:val="00FF0822"/>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705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7192186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995769886">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
      <w:docPartPr>
        <w:name w:val="B75E89BC88C541A2BDAE0C70A34DC2B0"/>
        <w:category>
          <w:name w:val="General"/>
          <w:gallery w:val="placeholder"/>
        </w:category>
        <w:types>
          <w:type w:val="bbPlcHdr"/>
        </w:types>
        <w:behaviors>
          <w:behavior w:val="content"/>
        </w:behaviors>
        <w:guid w:val="{673A1E50-13E5-4AC9-8E0D-959EB3830F29}"/>
      </w:docPartPr>
      <w:docPartBody>
        <w:p w:rsidR="003C4827" w:rsidRDefault="001D640F" w:rsidP="001D640F">
          <w:pPr>
            <w:pStyle w:val="B75E89BC88C541A2BDAE0C70A34DC2B0"/>
          </w:pPr>
          <w:r>
            <w:rPr>
              <w:rFonts w:ascii="Arial" w:hAnsi="Arial" w:cs="Arial"/>
              <w:bCs/>
              <w:color w:val="FF0000"/>
              <w:sz w:val="20"/>
              <w:szCs w:val="20"/>
            </w:rPr>
            <w:t>[Pasirinkti]</w:t>
          </w:r>
        </w:p>
      </w:docPartBody>
    </w:docPart>
    <w:docPart>
      <w:docPartPr>
        <w:name w:val="A968B757717A449C8DCFF1CA8FC110F7"/>
        <w:category>
          <w:name w:val="General"/>
          <w:gallery w:val="placeholder"/>
        </w:category>
        <w:types>
          <w:type w:val="bbPlcHdr"/>
        </w:types>
        <w:behaviors>
          <w:behavior w:val="content"/>
        </w:behaviors>
        <w:guid w:val="{DE92BAEA-B199-48C0-AF5D-B0D08CBDA6CB}"/>
      </w:docPartPr>
      <w:docPartBody>
        <w:p w:rsidR="003C4827" w:rsidRDefault="001D640F" w:rsidP="001D640F">
          <w:pPr>
            <w:pStyle w:val="A968B757717A449C8DCFF1CA8FC110F7"/>
          </w:pPr>
          <w:r>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C5151"/>
    <w:rsid w:val="00197116"/>
    <w:rsid w:val="001A73A3"/>
    <w:rsid w:val="001D640F"/>
    <w:rsid w:val="002518FD"/>
    <w:rsid w:val="003C4827"/>
    <w:rsid w:val="004D145C"/>
    <w:rsid w:val="00560B97"/>
    <w:rsid w:val="0059762E"/>
    <w:rsid w:val="00650B01"/>
    <w:rsid w:val="00897103"/>
    <w:rsid w:val="009B4416"/>
    <w:rsid w:val="00A005A5"/>
    <w:rsid w:val="00A15513"/>
    <w:rsid w:val="00B912FC"/>
    <w:rsid w:val="00B96004"/>
    <w:rsid w:val="00CA56E6"/>
    <w:rsid w:val="00E55C5D"/>
    <w:rsid w:val="00EF2A87"/>
    <w:rsid w:val="00F93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B75E89BC88C541A2BDAE0C70A34DC2B0">
    <w:name w:val="B75E89BC88C541A2BDAE0C70A34DC2B0"/>
    <w:rsid w:val="001D640F"/>
  </w:style>
  <w:style w:type="paragraph" w:customStyle="1" w:styleId="A968B757717A449C8DCFF1CA8FC110F7">
    <w:name w:val="A968B757717A449C8DCFF1CA8FC110F7"/>
    <w:rsid w:val="001D6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823BB704-DF6C-424E-A29A-E6365D15B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9091</Words>
  <Characters>5183</Characters>
  <Application>Microsoft Office Word</Application>
  <DocSecurity>4</DocSecurity>
  <Lines>43</Lines>
  <Paragraphs>28</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2023-05-18T07:03:00Z</dcterms:created>
  <dcterms:modified xsi:type="dcterms:W3CDTF">2023-05-18T07:03:00Z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