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3"/>
        <w:gridCol w:w="1460"/>
        <w:gridCol w:w="7357"/>
      </w:tblGrid>
      <w:tr w:rsidR="005878BD" w:rsidRPr="00FA69C1" w14:paraId="4147565C" w14:textId="77777777" w:rsidTr="0D462EEB">
        <w:tc>
          <w:tcPr>
            <w:tcW w:w="534" w:type="dxa"/>
          </w:tcPr>
          <w:p w14:paraId="326EEA17" w14:textId="645DBA1E" w:rsidR="005878BD" w:rsidRPr="00FA69C1" w:rsidRDefault="005878BD">
            <w:pPr>
              <w:rPr>
                <w:rFonts w:cstheme="minorHAnsi"/>
                <w:b/>
                <w:bCs/>
                <w:lang w:val="it-IT"/>
              </w:rPr>
            </w:pPr>
            <w:r w:rsidRPr="00FA69C1">
              <w:rPr>
                <w:rFonts w:cstheme="minorHAnsi"/>
                <w:b/>
                <w:bCs/>
                <w:lang w:val="it-IT"/>
              </w:rPr>
              <w:t xml:space="preserve">Eil. Nr. </w:t>
            </w:r>
          </w:p>
        </w:tc>
        <w:tc>
          <w:tcPr>
            <w:tcW w:w="1451" w:type="dxa"/>
          </w:tcPr>
          <w:p w14:paraId="64174055" w14:textId="3A97CA16" w:rsidR="005878BD" w:rsidRPr="00FA69C1" w:rsidRDefault="005878BD">
            <w:pPr>
              <w:rPr>
                <w:rFonts w:cstheme="minorHAnsi"/>
                <w:b/>
                <w:bCs/>
                <w:lang w:val="it-IT"/>
              </w:rPr>
            </w:pPr>
            <w:r w:rsidRPr="00FA69C1">
              <w:rPr>
                <w:rFonts w:cstheme="minorHAnsi"/>
                <w:b/>
                <w:bCs/>
                <w:lang w:val="it-IT"/>
              </w:rPr>
              <w:t>Objektas</w:t>
            </w:r>
          </w:p>
        </w:tc>
        <w:tc>
          <w:tcPr>
            <w:tcW w:w="7365" w:type="dxa"/>
          </w:tcPr>
          <w:p w14:paraId="6B0BDDC2" w14:textId="25B479C0" w:rsidR="005878BD" w:rsidRPr="00FA69C1" w:rsidRDefault="005878BD">
            <w:pPr>
              <w:rPr>
                <w:rFonts w:cstheme="minorHAnsi"/>
                <w:b/>
                <w:bCs/>
                <w:lang w:val="it-IT"/>
              </w:rPr>
            </w:pPr>
            <w:r w:rsidRPr="00FA69C1">
              <w:rPr>
                <w:rFonts w:cstheme="minorHAnsi"/>
                <w:b/>
                <w:bCs/>
                <w:lang w:val="it-IT"/>
              </w:rPr>
              <w:t>Reikalavimai</w:t>
            </w:r>
            <w:r w:rsidR="000E1924" w:rsidRPr="00FA69C1">
              <w:rPr>
                <w:rFonts w:cstheme="minorHAnsi"/>
                <w:b/>
                <w:bCs/>
                <w:lang w:val="it-IT"/>
              </w:rPr>
              <w:t xml:space="preserve">: </w:t>
            </w:r>
            <w:r w:rsidRPr="00FA69C1">
              <w:rPr>
                <w:rFonts w:cstheme="minorHAnsi"/>
              </w:rPr>
              <w:br/>
            </w:r>
            <w:r w:rsidRPr="00FA69C1">
              <w:rPr>
                <w:rFonts w:cstheme="minorHAnsi"/>
              </w:rPr>
              <w:br/>
            </w:r>
            <w:r w:rsidR="000E1924" w:rsidRPr="00FA69C1">
              <w:rPr>
                <w:rFonts w:cstheme="minorHAnsi"/>
                <w:b/>
                <w:bCs/>
                <w:lang w:val="it-IT"/>
              </w:rPr>
              <w:t>1 vnt.</w:t>
            </w:r>
            <w:r w:rsidR="00977746" w:rsidRPr="00FA69C1">
              <w:rPr>
                <w:rFonts w:cstheme="minorHAnsi"/>
                <w:b/>
                <w:bCs/>
                <w:lang w:val="it-IT"/>
              </w:rPr>
              <w:t xml:space="preserve"> K2 pikapai; </w:t>
            </w:r>
            <w:r w:rsidRPr="00FA69C1">
              <w:rPr>
                <w:rFonts w:cstheme="minorHAnsi"/>
              </w:rPr>
              <w:br/>
            </w:r>
            <w:r w:rsidRPr="00FA69C1">
              <w:rPr>
                <w:rFonts w:cstheme="minorHAnsi"/>
              </w:rPr>
              <w:br/>
            </w:r>
            <w:r w:rsidR="000E1924" w:rsidRPr="00FA69C1">
              <w:rPr>
                <w:rFonts w:cstheme="minorHAnsi"/>
                <w:b/>
                <w:bCs/>
                <w:lang w:val="it-IT"/>
              </w:rPr>
              <w:t xml:space="preserve">1 vnt. </w:t>
            </w:r>
            <w:r w:rsidR="00977746" w:rsidRPr="00FA69C1">
              <w:rPr>
                <w:rFonts w:cstheme="minorHAnsi"/>
                <w:b/>
                <w:bCs/>
                <w:lang w:val="it-IT"/>
              </w:rPr>
              <w:t>K3a. Vidutiniai furgonai</w:t>
            </w:r>
            <w:r w:rsidR="009C7FDA" w:rsidRPr="00FA69C1">
              <w:rPr>
                <w:rFonts w:cstheme="minorHAnsi"/>
                <w:b/>
                <w:bCs/>
                <w:lang w:val="it-IT"/>
              </w:rPr>
              <w:t xml:space="preserve"> arba</w:t>
            </w:r>
            <w:r w:rsidR="009C7FDA" w:rsidRPr="00FA69C1">
              <w:rPr>
                <w:rFonts w:cstheme="minorHAnsi"/>
              </w:rPr>
              <w:t xml:space="preserve"> </w:t>
            </w:r>
            <w:r w:rsidR="009C7FDA" w:rsidRPr="00FA69C1">
              <w:rPr>
                <w:rFonts w:cstheme="minorHAnsi"/>
                <w:b/>
                <w:bCs/>
                <w:lang w:val="it-IT"/>
              </w:rPr>
              <w:t xml:space="preserve">K3b. Dideli furgonai </w:t>
            </w:r>
            <w:r w:rsidR="00977746" w:rsidRPr="00FA69C1">
              <w:rPr>
                <w:rFonts w:cstheme="minorHAnsi"/>
                <w:b/>
                <w:bCs/>
                <w:lang w:val="it-IT"/>
              </w:rPr>
              <w:t xml:space="preserve">. </w:t>
            </w:r>
            <w:r w:rsidR="002A3456" w:rsidRPr="00FA69C1">
              <w:rPr>
                <w:rFonts w:cstheme="minorHAnsi"/>
                <w:b/>
                <w:bCs/>
                <w:lang w:val="it-IT"/>
              </w:rPr>
              <w:t>Keleivinis mikroautobusas</w:t>
            </w:r>
          </w:p>
        </w:tc>
      </w:tr>
      <w:tr w:rsidR="00287CC9" w:rsidRPr="00FA69C1" w14:paraId="160D99F0" w14:textId="77777777" w:rsidTr="0D462EEB">
        <w:tc>
          <w:tcPr>
            <w:tcW w:w="534" w:type="dxa"/>
          </w:tcPr>
          <w:p w14:paraId="78ECA1BF" w14:textId="1063EB45" w:rsidR="00287CC9" w:rsidRPr="00FA69C1" w:rsidRDefault="00287CC9">
            <w:pPr>
              <w:rPr>
                <w:rFonts w:cstheme="minorHAnsi"/>
                <w:lang w:val="it-IT"/>
              </w:rPr>
            </w:pPr>
            <w:r w:rsidRPr="00FA69C1">
              <w:rPr>
                <w:rFonts w:cstheme="minorHAnsi"/>
                <w:lang w:val="it-IT"/>
              </w:rPr>
              <w:t>1.</w:t>
            </w:r>
          </w:p>
        </w:tc>
        <w:tc>
          <w:tcPr>
            <w:tcW w:w="1451" w:type="dxa"/>
          </w:tcPr>
          <w:p w14:paraId="290602E4" w14:textId="0182D6E9" w:rsidR="00287CC9" w:rsidRPr="00FA69C1" w:rsidRDefault="00287CC9">
            <w:pPr>
              <w:rPr>
                <w:rFonts w:cstheme="minorHAnsi"/>
                <w:lang w:val="it-IT"/>
              </w:rPr>
            </w:pPr>
            <w:r w:rsidRPr="00FA69C1">
              <w:rPr>
                <w:rFonts w:cstheme="minorHAnsi"/>
                <w:lang w:val="it-IT"/>
              </w:rPr>
              <w:t>Automobilis</w:t>
            </w:r>
          </w:p>
        </w:tc>
        <w:tc>
          <w:tcPr>
            <w:tcW w:w="7365" w:type="dxa"/>
          </w:tcPr>
          <w:p w14:paraId="7439BEB2" w14:textId="7E4947D0" w:rsidR="00287CC9" w:rsidRPr="00FA69C1" w:rsidRDefault="00287CC9" w:rsidP="00287CC9">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1. Visų varančiųjų ratų pavara.</w:t>
            </w:r>
          </w:p>
          <w:p w14:paraId="17799109" w14:textId="77777777" w:rsidR="00287CC9" w:rsidRPr="00FA69C1" w:rsidRDefault="00287CC9" w:rsidP="00287CC9">
            <w:pPr>
              <w:pStyle w:val="LO-Normal"/>
              <w:jc w:val="both"/>
              <w:rPr>
                <w:rFonts w:asciiTheme="minorHAnsi" w:eastAsia="SimSun" w:hAnsiTheme="minorHAnsi" w:cstheme="minorHAnsi"/>
                <w:kern w:val="2"/>
                <w:sz w:val="22"/>
                <w:szCs w:val="22"/>
                <w:lang w:eastAsia="zh-CN"/>
              </w:rPr>
            </w:pPr>
            <w:r w:rsidRPr="00FA69C1">
              <w:rPr>
                <w:rFonts w:asciiTheme="minorHAnsi" w:eastAsia="Calibri" w:hAnsiTheme="minorHAnsi" w:cstheme="minorHAnsi"/>
                <w:sz w:val="22"/>
                <w:szCs w:val="22"/>
              </w:rPr>
              <w:t xml:space="preserve">2. </w:t>
            </w:r>
            <w:r w:rsidRPr="00FA69C1">
              <w:rPr>
                <w:rFonts w:asciiTheme="minorHAnsi" w:eastAsia="SimSun" w:hAnsiTheme="minorHAnsi" w:cstheme="minorHAnsi"/>
                <w:kern w:val="2"/>
                <w:sz w:val="22"/>
                <w:szCs w:val="22"/>
                <w:lang w:eastAsia="zh-CN"/>
              </w:rPr>
              <w:t>Spalva tamsiai mėlyna iš automobilio gamintojo spalvų paletės.</w:t>
            </w:r>
          </w:p>
          <w:p w14:paraId="78D906D2" w14:textId="77777777" w:rsidR="00287CC9" w:rsidRPr="00FA69C1" w:rsidRDefault="00287CC9" w:rsidP="00287CC9">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3. Automatinė greičių dėžė </w:t>
            </w:r>
          </w:p>
          <w:p w14:paraId="17FB796B" w14:textId="77777777" w:rsidR="00F763A6" w:rsidRPr="00FA69C1" w:rsidRDefault="00F763A6" w:rsidP="00287CC9">
            <w:pPr>
              <w:pStyle w:val="LO-Normal"/>
              <w:jc w:val="both"/>
              <w:rPr>
                <w:rFonts w:asciiTheme="minorHAnsi" w:eastAsia="Calibri" w:hAnsiTheme="minorHAnsi" w:cstheme="minorHAnsi"/>
                <w:sz w:val="22"/>
                <w:szCs w:val="22"/>
              </w:rPr>
            </w:pPr>
          </w:p>
          <w:p w14:paraId="7C1136D0" w14:textId="0CA033B2" w:rsidR="00F763A6" w:rsidRPr="00FA69C1" w:rsidRDefault="00F763A6" w:rsidP="0D462EEB">
            <w:pPr>
              <w:pStyle w:val="LO-Normal"/>
              <w:jc w:val="both"/>
              <w:rPr>
                <w:rFonts w:asciiTheme="minorHAnsi" w:eastAsia="Calibri" w:hAnsiTheme="minorHAnsi" w:cstheme="minorBidi"/>
                <w:sz w:val="22"/>
                <w:szCs w:val="22"/>
              </w:rPr>
            </w:pPr>
            <w:r w:rsidRPr="0D462EEB">
              <w:rPr>
                <w:rFonts w:asciiTheme="minorHAnsi" w:eastAsia="Calibri" w:hAnsiTheme="minorHAnsi" w:cstheme="minorBidi"/>
                <w:sz w:val="22"/>
                <w:szCs w:val="22"/>
              </w:rPr>
              <w:t>Planuojama</w:t>
            </w:r>
            <w:r w:rsidR="00621738" w:rsidRPr="0D462EEB">
              <w:rPr>
                <w:rFonts w:asciiTheme="minorHAnsi" w:eastAsia="Calibri" w:hAnsiTheme="minorHAnsi" w:cstheme="minorBidi"/>
                <w:sz w:val="22"/>
                <w:szCs w:val="22"/>
              </w:rPr>
              <w:t xml:space="preserve"> </w:t>
            </w:r>
            <w:r w:rsidR="665B204D" w:rsidRPr="0D462EEB">
              <w:rPr>
                <w:rFonts w:asciiTheme="minorHAnsi" w:eastAsia="Calibri" w:hAnsiTheme="minorHAnsi" w:cstheme="minorBidi"/>
                <w:sz w:val="22"/>
                <w:szCs w:val="22"/>
              </w:rPr>
              <w:t xml:space="preserve">maksimali </w:t>
            </w:r>
            <w:r w:rsidRPr="0D462EEB">
              <w:rPr>
                <w:rFonts w:asciiTheme="minorHAnsi" w:eastAsia="Calibri" w:hAnsiTheme="minorHAnsi" w:cstheme="minorBidi"/>
                <w:sz w:val="22"/>
                <w:szCs w:val="22"/>
              </w:rPr>
              <w:t>rida:</w:t>
            </w:r>
          </w:p>
          <w:p w14:paraId="29A96062" w14:textId="6A2CA172" w:rsidR="00600F8B" w:rsidRPr="00FA69C1" w:rsidRDefault="0078467A" w:rsidP="00287CC9">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Visureigis</w:t>
            </w:r>
            <w:r w:rsidR="00F763A6" w:rsidRPr="00FA69C1">
              <w:rPr>
                <w:rFonts w:asciiTheme="minorHAnsi" w:eastAsia="Calibri" w:hAnsiTheme="minorHAnsi" w:cstheme="minorHAnsi"/>
                <w:sz w:val="22"/>
                <w:szCs w:val="22"/>
              </w:rPr>
              <w:t xml:space="preserve"> – </w:t>
            </w:r>
            <w:r w:rsidR="00600F8B" w:rsidRPr="00FA69C1">
              <w:rPr>
                <w:rFonts w:asciiTheme="minorHAnsi" w:eastAsia="Calibri" w:hAnsiTheme="minorHAnsi" w:cstheme="minorHAnsi"/>
                <w:sz w:val="22"/>
                <w:szCs w:val="22"/>
              </w:rPr>
              <w:t>5000</w:t>
            </w:r>
            <w:r w:rsidR="00F763A6" w:rsidRPr="00FA69C1">
              <w:rPr>
                <w:rFonts w:asciiTheme="minorHAnsi" w:eastAsia="Calibri" w:hAnsiTheme="minorHAnsi" w:cstheme="minorHAnsi"/>
                <w:sz w:val="22"/>
                <w:szCs w:val="22"/>
              </w:rPr>
              <w:t xml:space="preserve"> km/</w:t>
            </w:r>
            <w:r w:rsidR="00600F8B" w:rsidRPr="00FA69C1">
              <w:rPr>
                <w:rFonts w:asciiTheme="minorHAnsi" w:eastAsia="Calibri" w:hAnsiTheme="minorHAnsi" w:cstheme="minorHAnsi"/>
                <w:sz w:val="22"/>
                <w:szCs w:val="22"/>
              </w:rPr>
              <w:t>mėn</w:t>
            </w:r>
            <w:r w:rsidR="00F763A6" w:rsidRPr="00FA69C1">
              <w:rPr>
                <w:rFonts w:asciiTheme="minorHAnsi" w:eastAsia="Calibri" w:hAnsiTheme="minorHAnsi" w:cstheme="minorHAnsi"/>
                <w:sz w:val="22"/>
                <w:szCs w:val="22"/>
              </w:rPr>
              <w:t>.</w:t>
            </w:r>
          </w:p>
          <w:p w14:paraId="66A9AAE2" w14:textId="3B91F281" w:rsidR="00600F8B" w:rsidRPr="00FA69C1" w:rsidRDefault="00600F8B" w:rsidP="00287CC9">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Mikroautobus</w:t>
            </w:r>
            <w:r w:rsidR="0078467A" w:rsidRPr="00FA69C1">
              <w:rPr>
                <w:rFonts w:asciiTheme="minorHAnsi" w:eastAsia="Calibri" w:hAnsiTheme="minorHAnsi" w:cstheme="minorHAnsi"/>
                <w:sz w:val="22"/>
                <w:szCs w:val="22"/>
              </w:rPr>
              <w:t>as</w:t>
            </w:r>
            <w:r w:rsidR="00F763A6" w:rsidRPr="00FA69C1">
              <w:rPr>
                <w:rFonts w:asciiTheme="minorHAnsi" w:eastAsia="Calibri" w:hAnsiTheme="minorHAnsi" w:cstheme="minorHAnsi"/>
                <w:sz w:val="22"/>
                <w:szCs w:val="22"/>
              </w:rPr>
              <w:t xml:space="preserve"> – </w:t>
            </w:r>
            <w:r w:rsidRPr="00FA69C1">
              <w:rPr>
                <w:rFonts w:asciiTheme="minorHAnsi" w:eastAsia="Calibri" w:hAnsiTheme="minorHAnsi" w:cstheme="minorHAnsi"/>
                <w:sz w:val="22"/>
                <w:szCs w:val="22"/>
              </w:rPr>
              <w:t xml:space="preserve">10000 </w:t>
            </w:r>
            <w:r w:rsidR="00F763A6" w:rsidRPr="00FA69C1">
              <w:rPr>
                <w:rFonts w:asciiTheme="minorHAnsi" w:eastAsia="Calibri" w:hAnsiTheme="minorHAnsi" w:cstheme="minorHAnsi"/>
                <w:sz w:val="22"/>
                <w:szCs w:val="22"/>
              </w:rPr>
              <w:t>km/</w:t>
            </w:r>
            <w:r w:rsidRPr="00FA69C1">
              <w:rPr>
                <w:rFonts w:asciiTheme="minorHAnsi" w:eastAsia="Calibri" w:hAnsiTheme="minorHAnsi" w:cstheme="minorHAnsi"/>
                <w:sz w:val="22"/>
                <w:szCs w:val="22"/>
              </w:rPr>
              <w:t>mėn.</w:t>
            </w:r>
          </w:p>
        </w:tc>
      </w:tr>
      <w:tr w:rsidR="005878BD" w:rsidRPr="00FA69C1" w14:paraId="33CFF5CA" w14:textId="77777777" w:rsidTr="0D462EEB">
        <w:tc>
          <w:tcPr>
            <w:tcW w:w="534" w:type="dxa"/>
          </w:tcPr>
          <w:p w14:paraId="1B337B2A" w14:textId="64455E3A" w:rsidR="005878BD" w:rsidRPr="00FA69C1" w:rsidRDefault="00287CC9">
            <w:pPr>
              <w:rPr>
                <w:rFonts w:cstheme="minorHAnsi"/>
                <w:lang w:val="it-IT"/>
              </w:rPr>
            </w:pPr>
            <w:r w:rsidRPr="00FA69C1">
              <w:rPr>
                <w:rFonts w:cstheme="minorHAnsi"/>
                <w:lang w:val="it-IT"/>
              </w:rPr>
              <w:t>2.</w:t>
            </w:r>
          </w:p>
        </w:tc>
        <w:tc>
          <w:tcPr>
            <w:tcW w:w="1451" w:type="dxa"/>
          </w:tcPr>
          <w:p w14:paraId="2108BF58" w14:textId="7B260149" w:rsidR="005878BD" w:rsidRPr="00FA69C1" w:rsidRDefault="005878BD">
            <w:pPr>
              <w:rPr>
                <w:rFonts w:cstheme="minorHAnsi"/>
                <w:lang w:val="it-IT"/>
              </w:rPr>
            </w:pPr>
            <w:r w:rsidRPr="00FA69C1">
              <w:rPr>
                <w:rFonts w:cstheme="minorHAnsi"/>
                <w:lang w:val="it-IT"/>
              </w:rPr>
              <w:t>Švyturėliai</w:t>
            </w:r>
          </w:p>
        </w:tc>
        <w:tc>
          <w:tcPr>
            <w:tcW w:w="7365" w:type="dxa"/>
          </w:tcPr>
          <w:p w14:paraId="29AA26FB" w14:textId="1A4EDEE4" w:rsidR="008D47C2" w:rsidRPr="00FA69C1" w:rsidRDefault="008D47C2"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Speciali šviesos ir garso signalizacija:</w:t>
            </w:r>
          </w:p>
          <w:p w14:paraId="2D273536" w14:textId="28E9BAA5" w:rsidR="005878BD" w:rsidRPr="00FA69C1" w:rsidRDefault="00E3228B"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1</w:t>
            </w:r>
            <w:r w:rsidR="005878BD" w:rsidRPr="00FA69C1">
              <w:rPr>
                <w:rFonts w:asciiTheme="minorHAnsi" w:eastAsia="Calibri" w:hAnsiTheme="minorHAnsi" w:cstheme="minorHAnsi"/>
                <w:sz w:val="22"/>
                <w:szCs w:val="22"/>
              </w:rPr>
              <w:t>. Automobilio stogo priekinėje dalyje (virš vairuotojo skyriaus), sumontuota stacionari (LED mėlynos spalvos) švyturėlių juosta.</w:t>
            </w:r>
          </w:p>
          <w:p w14:paraId="2E232E07" w14:textId="640AAE9B" w:rsidR="00E3228B" w:rsidRPr="00FA69C1" w:rsidRDefault="00E3228B" w:rsidP="00E3228B">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2</w:t>
            </w:r>
            <w:r w:rsidR="005878BD" w:rsidRPr="00FA69C1">
              <w:rPr>
                <w:rFonts w:asciiTheme="minorHAnsi" w:eastAsia="Calibri" w:hAnsiTheme="minorHAnsi" w:cstheme="minorHAnsi"/>
                <w:sz w:val="22"/>
                <w:szCs w:val="22"/>
              </w:rPr>
              <w:t>. Sumontuotas (po variklio dangčiu, už priekinių grotelių) garsiakalbis (nemažiau 100 W). Vairuotojo skyriuje sumontuotas garsinės įrangos stiprintuvas (mažiausiai 100 W) ir mikrofonas.</w:t>
            </w:r>
            <w:r w:rsidRPr="00FA69C1">
              <w:rPr>
                <w:rFonts w:asciiTheme="minorHAnsi" w:eastAsia="Calibri" w:hAnsiTheme="minorHAnsi" w:cstheme="minorHAnsi"/>
                <w:sz w:val="22"/>
                <w:szCs w:val="22"/>
              </w:rPr>
              <w:t xml:space="preserve"> </w:t>
            </w:r>
          </w:p>
          <w:p w14:paraId="2315CE65" w14:textId="00E76F8D" w:rsidR="00E3228B" w:rsidRPr="00FA69C1" w:rsidRDefault="00E3228B" w:rsidP="00E3228B">
            <w:pPr>
              <w:pStyle w:val="LO-Normal"/>
              <w:jc w:val="both"/>
              <w:rPr>
                <w:rFonts w:asciiTheme="minorHAnsi" w:hAnsiTheme="minorHAnsi" w:cstheme="minorHAnsi"/>
                <w:sz w:val="22"/>
                <w:szCs w:val="22"/>
              </w:rPr>
            </w:pPr>
            <w:r w:rsidRPr="00FA69C1">
              <w:rPr>
                <w:rFonts w:asciiTheme="minorHAnsi" w:eastAsia="Calibri" w:hAnsiTheme="minorHAnsi" w:cstheme="minorHAnsi"/>
                <w:sz w:val="22"/>
                <w:szCs w:val="22"/>
              </w:rPr>
              <w:t xml:space="preserve">3. </w:t>
            </w:r>
            <w:r w:rsidRPr="00FA69C1">
              <w:rPr>
                <w:rFonts w:asciiTheme="minorHAnsi" w:hAnsiTheme="minorHAnsi" w:cstheme="minorHAnsi"/>
                <w:sz w:val="22"/>
                <w:szCs w:val="22"/>
              </w:rPr>
              <w:t>Specialiųjų garso ir šviesos signalų valdymo pultas sumontuotas vairuotojui patogiai pasiekiamoje vietoje.</w:t>
            </w:r>
          </w:p>
          <w:p w14:paraId="67A15893" w14:textId="3B000286" w:rsidR="005878BD" w:rsidRPr="00FA69C1" w:rsidRDefault="00E3228B" w:rsidP="007943C2">
            <w:pPr>
              <w:pStyle w:val="LO-Normal"/>
              <w:jc w:val="both"/>
              <w:rPr>
                <w:rFonts w:asciiTheme="minorHAnsi" w:hAnsiTheme="minorHAnsi" w:cstheme="minorHAnsi"/>
                <w:sz w:val="22"/>
                <w:szCs w:val="22"/>
              </w:rPr>
            </w:pPr>
            <w:r w:rsidRPr="00FA69C1">
              <w:rPr>
                <w:rFonts w:asciiTheme="minorHAnsi" w:hAnsiTheme="minorHAnsi" w:cstheme="minorHAnsi"/>
                <w:sz w:val="22"/>
                <w:szCs w:val="22"/>
              </w:rPr>
              <w:t>4</w:t>
            </w:r>
            <w:r w:rsidR="005878BD" w:rsidRPr="00FA69C1">
              <w:rPr>
                <w:rFonts w:asciiTheme="minorHAnsi" w:hAnsiTheme="minorHAnsi" w:cstheme="minorHAnsi"/>
                <w:sz w:val="22"/>
                <w:szCs w:val="22"/>
              </w:rPr>
              <w:t>. Visa sumontuota šviesos signalizacijos įranga (visuma) turi atitikti</w:t>
            </w:r>
            <w:r w:rsidR="005878BD" w:rsidRPr="00FA69C1">
              <w:rPr>
                <w:rFonts w:asciiTheme="minorHAnsi" w:hAnsiTheme="minorHAnsi" w:cstheme="minorHAnsi"/>
                <w:spacing w:val="1"/>
                <w:sz w:val="22"/>
                <w:szCs w:val="22"/>
              </w:rPr>
              <w:t xml:space="preserve"> </w:t>
            </w:r>
            <w:r w:rsidR="005878BD" w:rsidRPr="00FA69C1">
              <w:rPr>
                <w:rFonts w:asciiTheme="minorHAnsi" w:hAnsiTheme="minorHAnsi" w:cstheme="minorHAnsi"/>
                <w:sz w:val="22"/>
                <w:szCs w:val="22"/>
              </w:rPr>
              <w:t>JT/EEK normos R65 reikalavimus</w:t>
            </w:r>
          </w:p>
        </w:tc>
      </w:tr>
      <w:tr w:rsidR="005878BD" w:rsidRPr="00FA69C1" w14:paraId="67E5B18C" w14:textId="77777777" w:rsidTr="0D462EEB">
        <w:tc>
          <w:tcPr>
            <w:tcW w:w="534" w:type="dxa"/>
          </w:tcPr>
          <w:p w14:paraId="3F72DEF5" w14:textId="594A3F1C" w:rsidR="005878BD" w:rsidRPr="00FA69C1" w:rsidRDefault="00287CC9">
            <w:pPr>
              <w:rPr>
                <w:rFonts w:cstheme="minorHAnsi"/>
                <w:lang w:val="it-IT"/>
              </w:rPr>
            </w:pPr>
            <w:r w:rsidRPr="00FA69C1">
              <w:rPr>
                <w:rFonts w:cstheme="minorHAnsi"/>
                <w:lang w:val="it-IT"/>
              </w:rPr>
              <w:t>3</w:t>
            </w:r>
            <w:r w:rsidR="005878BD" w:rsidRPr="00FA69C1">
              <w:rPr>
                <w:rFonts w:cstheme="minorHAnsi"/>
                <w:lang w:val="it-IT"/>
              </w:rPr>
              <w:t>.</w:t>
            </w:r>
          </w:p>
        </w:tc>
        <w:tc>
          <w:tcPr>
            <w:tcW w:w="1451" w:type="dxa"/>
          </w:tcPr>
          <w:p w14:paraId="34E03A37" w14:textId="5DB48F60" w:rsidR="005878BD" w:rsidRPr="00FA69C1" w:rsidRDefault="005878BD">
            <w:pPr>
              <w:rPr>
                <w:rFonts w:cstheme="minorHAnsi"/>
                <w:lang w:val="it-IT"/>
              </w:rPr>
            </w:pPr>
            <w:r w:rsidRPr="00FA69C1">
              <w:rPr>
                <w:rFonts w:cstheme="minorHAnsi"/>
                <w:lang w:val="it-IT"/>
              </w:rPr>
              <w:t>Spec. žymėjimas</w:t>
            </w:r>
          </w:p>
        </w:tc>
        <w:tc>
          <w:tcPr>
            <w:tcW w:w="7365" w:type="dxa"/>
          </w:tcPr>
          <w:p w14:paraId="6A68359B" w14:textId="75E324FA" w:rsidR="005878BD" w:rsidRPr="00FA69C1" w:rsidRDefault="00287CC9" w:rsidP="005878BD">
            <w:pPr>
              <w:pStyle w:val="LO-Normal"/>
              <w:jc w:val="both"/>
              <w:rPr>
                <w:rFonts w:asciiTheme="minorHAnsi" w:eastAsia="SimSun" w:hAnsiTheme="minorHAnsi" w:cstheme="minorHAnsi"/>
                <w:kern w:val="2"/>
                <w:sz w:val="22"/>
                <w:szCs w:val="22"/>
                <w:lang w:eastAsia="zh-CN"/>
              </w:rPr>
            </w:pPr>
            <w:r w:rsidRPr="00FA69C1">
              <w:rPr>
                <w:rFonts w:asciiTheme="minorHAnsi" w:eastAsia="SimSun" w:hAnsiTheme="minorHAnsi" w:cstheme="minorHAnsi"/>
                <w:kern w:val="2"/>
                <w:sz w:val="22"/>
                <w:szCs w:val="22"/>
                <w:lang w:eastAsia="zh-CN"/>
              </w:rPr>
              <w:t>1</w:t>
            </w:r>
            <w:r w:rsidR="007943C2" w:rsidRPr="00FA69C1">
              <w:rPr>
                <w:rFonts w:asciiTheme="minorHAnsi" w:eastAsia="SimSun" w:hAnsiTheme="minorHAnsi" w:cstheme="minorHAnsi"/>
                <w:kern w:val="2"/>
                <w:sz w:val="22"/>
                <w:szCs w:val="22"/>
                <w:lang w:eastAsia="zh-CN"/>
              </w:rPr>
              <w:t>.</w:t>
            </w:r>
            <w:r w:rsidR="005878BD" w:rsidRPr="00FA69C1">
              <w:rPr>
                <w:rFonts w:asciiTheme="minorHAnsi" w:eastAsia="SimSun" w:hAnsiTheme="minorHAnsi" w:cstheme="minorHAnsi"/>
                <w:kern w:val="2"/>
                <w:sz w:val="22"/>
                <w:szCs w:val="22"/>
                <w:lang w:eastAsia="zh-CN"/>
              </w:rPr>
              <w:t xml:space="preserve"> Aplink transporto priemonę apklijuojama žalios spalvos, šviesą atspindinti juosta (spalvos kodas pagal CMYK 100;0;44;58);</w:t>
            </w:r>
          </w:p>
          <w:p w14:paraId="050EA88C" w14:textId="77777777" w:rsidR="005878BD" w:rsidRPr="00FA69C1" w:rsidRDefault="005878BD" w:rsidP="005878BD">
            <w:pPr>
              <w:pStyle w:val="LO-Normal"/>
              <w:jc w:val="both"/>
              <w:rPr>
                <w:rFonts w:asciiTheme="minorHAnsi" w:eastAsia="SimSun" w:hAnsiTheme="minorHAnsi" w:cstheme="minorHAnsi"/>
                <w:kern w:val="2"/>
                <w:sz w:val="22"/>
                <w:szCs w:val="22"/>
                <w:lang w:eastAsia="zh-CN"/>
              </w:rPr>
            </w:pPr>
            <w:r w:rsidRPr="00FA69C1">
              <w:rPr>
                <w:rFonts w:asciiTheme="minorHAnsi" w:eastAsia="SimSun" w:hAnsiTheme="minorHAnsi" w:cstheme="minorHAnsi"/>
                <w:kern w:val="2"/>
                <w:sz w:val="22"/>
                <w:szCs w:val="22"/>
                <w:lang w:eastAsia="zh-CN"/>
              </w:rPr>
              <w:t>2. Klijuojamos juostos plotis turi būti 150 mm..</w:t>
            </w:r>
          </w:p>
          <w:p w14:paraId="3BDA1BE1" w14:textId="77777777" w:rsidR="005878BD" w:rsidRPr="00FA69C1" w:rsidRDefault="005878BD" w:rsidP="005878BD">
            <w:pPr>
              <w:pStyle w:val="LO-Normal"/>
              <w:jc w:val="both"/>
              <w:rPr>
                <w:rFonts w:asciiTheme="minorHAnsi" w:eastAsia="SimSun" w:hAnsiTheme="minorHAnsi" w:cstheme="minorHAnsi"/>
                <w:kern w:val="2"/>
                <w:sz w:val="22"/>
                <w:szCs w:val="22"/>
                <w:lang w:eastAsia="zh-CN"/>
              </w:rPr>
            </w:pPr>
            <w:r w:rsidRPr="00FA69C1">
              <w:rPr>
                <w:rFonts w:asciiTheme="minorHAnsi" w:eastAsia="SimSun" w:hAnsiTheme="minorHAnsi" w:cstheme="minorHAnsi"/>
                <w:kern w:val="2"/>
                <w:sz w:val="22"/>
                <w:szCs w:val="22"/>
                <w:lang w:eastAsia="zh-CN"/>
              </w:rPr>
              <w:t xml:space="preserve">3. Juosta turi būti klijuojama simetriškai išilginės ašies atžvilgiu. </w:t>
            </w:r>
          </w:p>
          <w:p w14:paraId="5F596257" w14:textId="0DB5E0ED" w:rsidR="005878BD" w:rsidRPr="00FA69C1" w:rsidRDefault="005878BD" w:rsidP="005878BD">
            <w:pPr>
              <w:pStyle w:val="LO-Normal"/>
              <w:jc w:val="both"/>
              <w:rPr>
                <w:rFonts w:asciiTheme="minorHAnsi" w:eastAsia="SimSun" w:hAnsiTheme="minorHAnsi" w:cstheme="minorHAnsi"/>
                <w:kern w:val="2"/>
                <w:sz w:val="22"/>
                <w:szCs w:val="22"/>
                <w:lang w:eastAsia="zh-CN"/>
              </w:rPr>
            </w:pPr>
            <w:r w:rsidRPr="00FA69C1">
              <w:rPr>
                <w:rFonts w:asciiTheme="minorHAnsi" w:eastAsia="SimSun" w:hAnsiTheme="minorHAnsi" w:cstheme="minorHAnsi"/>
                <w:kern w:val="2"/>
                <w:sz w:val="22"/>
                <w:szCs w:val="22"/>
                <w:lang w:eastAsia="zh-CN"/>
              </w:rPr>
              <w:t xml:space="preserve">4. Ant vairuotojo ir keleivio durelių </w:t>
            </w:r>
            <w:r w:rsidR="006B331C" w:rsidRPr="00FA69C1">
              <w:rPr>
                <w:rFonts w:asciiTheme="minorHAnsi" w:eastAsia="SimSun" w:hAnsiTheme="minorHAnsi" w:cstheme="minorHAnsi"/>
                <w:kern w:val="2"/>
                <w:sz w:val="22"/>
                <w:szCs w:val="22"/>
                <w:lang w:eastAsia="zh-CN"/>
              </w:rPr>
              <w:t>bei</w:t>
            </w:r>
            <w:r w:rsidRPr="00FA69C1">
              <w:rPr>
                <w:rFonts w:asciiTheme="minorHAnsi" w:eastAsia="SimSun" w:hAnsiTheme="minorHAnsi" w:cstheme="minorHAnsi"/>
                <w:kern w:val="2"/>
                <w:sz w:val="22"/>
                <w:szCs w:val="22"/>
                <w:lang w:eastAsia="zh-CN"/>
              </w:rPr>
              <w:t xml:space="preserve"> kapoto klijuojami Viešojo saugumo tarnybos  logotipai. VST logotipo diametras 300 mm..</w:t>
            </w:r>
          </w:p>
          <w:p w14:paraId="19262853" w14:textId="3F57CAD1"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SimSun" w:hAnsiTheme="minorHAnsi" w:cstheme="minorHAnsi"/>
                <w:kern w:val="2"/>
                <w:sz w:val="22"/>
                <w:szCs w:val="22"/>
                <w:lang w:eastAsia="zh-CN"/>
              </w:rPr>
              <w:t>Galutinė klijuojamos juostos forma ir išdėstymas derinamas prieš apklijavimą.</w:t>
            </w:r>
          </w:p>
        </w:tc>
      </w:tr>
      <w:tr w:rsidR="005878BD" w:rsidRPr="00FA69C1" w14:paraId="3FEEC1A6" w14:textId="77777777" w:rsidTr="0D462EEB">
        <w:tc>
          <w:tcPr>
            <w:tcW w:w="534" w:type="dxa"/>
          </w:tcPr>
          <w:p w14:paraId="5B66C814" w14:textId="396C9485" w:rsidR="005878BD" w:rsidRPr="00FA69C1" w:rsidRDefault="00287CC9">
            <w:pPr>
              <w:rPr>
                <w:rFonts w:cstheme="minorHAnsi"/>
              </w:rPr>
            </w:pPr>
            <w:r w:rsidRPr="00FA69C1">
              <w:rPr>
                <w:rFonts w:cstheme="minorHAnsi"/>
              </w:rPr>
              <w:t>4</w:t>
            </w:r>
            <w:r w:rsidR="005878BD" w:rsidRPr="00FA69C1">
              <w:rPr>
                <w:rFonts w:cstheme="minorHAnsi"/>
              </w:rPr>
              <w:t>.</w:t>
            </w:r>
          </w:p>
        </w:tc>
        <w:tc>
          <w:tcPr>
            <w:tcW w:w="1451" w:type="dxa"/>
          </w:tcPr>
          <w:p w14:paraId="11167D49" w14:textId="7A86058F" w:rsidR="005878BD" w:rsidRPr="00FA69C1" w:rsidRDefault="005878BD">
            <w:pPr>
              <w:rPr>
                <w:rFonts w:cstheme="minorHAnsi"/>
              </w:rPr>
            </w:pPr>
            <w:r w:rsidRPr="00FA69C1">
              <w:rPr>
                <w:rFonts w:cstheme="minorHAnsi"/>
              </w:rPr>
              <w:t>Registratorius</w:t>
            </w:r>
          </w:p>
        </w:tc>
        <w:tc>
          <w:tcPr>
            <w:tcW w:w="7365" w:type="dxa"/>
          </w:tcPr>
          <w:p w14:paraId="4DD73D69" w14:textId="7040E4A3"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Vaizdo registratori</w:t>
            </w:r>
            <w:r w:rsidR="00F763A6" w:rsidRPr="00FA69C1">
              <w:rPr>
                <w:rFonts w:asciiTheme="minorHAnsi" w:eastAsia="Calibri" w:hAnsiTheme="minorHAnsi" w:cstheme="minorHAnsi"/>
                <w:sz w:val="22"/>
                <w:szCs w:val="22"/>
              </w:rPr>
              <w:t>us</w:t>
            </w:r>
            <w:r w:rsidRPr="00FA69C1">
              <w:rPr>
                <w:rFonts w:asciiTheme="minorHAnsi" w:eastAsia="Calibri" w:hAnsiTheme="minorHAnsi" w:cstheme="minorHAnsi"/>
                <w:sz w:val="22"/>
                <w:szCs w:val="22"/>
              </w:rPr>
              <w:t xml:space="preserve"> filmuojant</w:t>
            </w:r>
            <w:r w:rsidR="00F763A6" w:rsidRPr="00FA69C1">
              <w:rPr>
                <w:rFonts w:asciiTheme="minorHAnsi" w:eastAsia="Calibri" w:hAnsiTheme="minorHAnsi" w:cstheme="minorHAnsi"/>
                <w:sz w:val="22"/>
                <w:szCs w:val="22"/>
              </w:rPr>
              <w:t>i</w:t>
            </w:r>
            <w:r w:rsidRPr="00FA69C1">
              <w:rPr>
                <w:rFonts w:asciiTheme="minorHAnsi" w:eastAsia="Calibri" w:hAnsiTheme="minorHAnsi" w:cstheme="minorHAnsi"/>
                <w:sz w:val="22"/>
                <w:szCs w:val="22"/>
              </w:rPr>
              <w:t>s automobilio priekį:</w:t>
            </w:r>
          </w:p>
          <w:p w14:paraId="555BCC8C" w14:textId="77777777" w:rsidR="005878BD" w:rsidRPr="00FA69C1" w:rsidRDefault="005878BD" w:rsidP="005878BD">
            <w:pPr>
              <w:pStyle w:val="LO-Normal"/>
              <w:jc w:val="both"/>
              <w:rPr>
                <w:rFonts w:asciiTheme="minorHAnsi" w:eastAsia="Calibri" w:hAnsiTheme="minorHAnsi" w:cstheme="minorHAnsi"/>
                <w:sz w:val="22"/>
                <w:szCs w:val="22"/>
              </w:rPr>
            </w:pPr>
          </w:p>
          <w:p w14:paraId="3DC2FAD0" w14:textId="04902805"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1. vaizdo </w:t>
            </w:r>
            <w:r w:rsidR="006B331C" w:rsidRPr="00FA69C1">
              <w:rPr>
                <w:rFonts w:asciiTheme="minorHAnsi" w:eastAsia="Calibri" w:hAnsiTheme="minorHAnsi" w:cstheme="minorHAnsi"/>
                <w:sz w:val="22"/>
                <w:szCs w:val="22"/>
              </w:rPr>
              <w:t>registratorius</w:t>
            </w:r>
            <w:r w:rsidRPr="00FA69C1">
              <w:rPr>
                <w:rFonts w:asciiTheme="minorHAnsi" w:eastAsia="Calibri" w:hAnsiTheme="minorHAnsi" w:cstheme="minorHAnsi"/>
                <w:sz w:val="22"/>
                <w:szCs w:val="22"/>
              </w:rPr>
              <w:t xml:space="preserve"> montuojama</w:t>
            </w:r>
            <w:r w:rsidR="006B331C" w:rsidRPr="00FA69C1">
              <w:rPr>
                <w:rFonts w:asciiTheme="minorHAnsi" w:eastAsia="Calibri" w:hAnsiTheme="minorHAnsi" w:cstheme="minorHAnsi"/>
                <w:sz w:val="22"/>
                <w:szCs w:val="22"/>
              </w:rPr>
              <w:t>s</w:t>
            </w:r>
            <w:r w:rsidRPr="00FA69C1">
              <w:rPr>
                <w:rFonts w:asciiTheme="minorHAnsi" w:eastAsia="Calibri" w:hAnsiTheme="minorHAnsi" w:cstheme="minorHAnsi"/>
                <w:sz w:val="22"/>
                <w:szCs w:val="22"/>
              </w:rPr>
              <w:t xml:space="preserve"> ant priekinio automobilio stiklo, salono viduje;</w:t>
            </w:r>
          </w:p>
          <w:p w14:paraId="7B4687A7" w14:textId="1A1A15B5" w:rsidR="005878BD" w:rsidRPr="00FA69C1" w:rsidRDefault="007943C2"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2</w:t>
            </w:r>
            <w:r w:rsidR="005878BD" w:rsidRPr="00FA69C1">
              <w:rPr>
                <w:rFonts w:asciiTheme="minorHAnsi" w:eastAsia="Calibri" w:hAnsiTheme="minorHAnsi" w:cstheme="minorHAnsi"/>
                <w:sz w:val="22"/>
                <w:szCs w:val="22"/>
              </w:rPr>
              <w:t>. įrenginių apžvalgos kampas – ne mažiau 120</w:t>
            </w:r>
            <w:r w:rsidR="005878BD" w:rsidRPr="00FA69C1">
              <w:rPr>
                <w:rFonts w:asciiTheme="minorHAnsi" w:eastAsia="Calibri" w:hAnsiTheme="minorHAnsi" w:cstheme="minorHAnsi"/>
                <w:sz w:val="22"/>
                <w:szCs w:val="22"/>
                <w:vertAlign w:val="superscript"/>
              </w:rPr>
              <w:t>o</w:t>
            </w:r>
            <w:r w:rsidR="005878BD" w:rsidRPr="00FA69C1">
              <w:rPr>
                <w:rFonts w:asciiTheme="minorHAnsi" w:eastAsia="Calibri" w:hAnsiTheme="minorHAnsi" w:cstheme="minorHAnsi"/>
                <w:sz w:val="22"/>
                <w:szCs w:val="22"/>
              </w:rPr>
              <w:t xml:space="preserve"> esant 1920x1080p rezoliucijai;</w:t>
            </w:r>
          </w:p>
          <w:p w14:paraId="5BCF1278" w14:textId="51419A69" w:rsidR="005878BD" w:rsidRPr="00FA69C1" w:rsidRDefault="007943C2"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3</w:t>
            </w:r>
            <w:r w:rsidR="005878BD" w:rsidRPr="00FA69C1">
              <w:rPr>
                <w:rFonts w:asciiTheme="minorHAnsi" w:eastAsia="Calibri" w:hAnsiTheme="minorHAnsi" w:cstheme="minorHAnsi"/>
                <w:sz w:val="22"/>
                <w:szCs w:val="22"/>
              </w:rPr>
              <w:t>. vaizdo įrašymo raiška – ne prastesnė kaip 1920x1080p;</w:t>
            </w:r>
          </w:p>
          <w:p w14:paraId="320468BA"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5. režimai – diena ir naktis, automatinis persijungimas. </w:t>
            </w:r>
          </w:p>
          <w:p w14:paraId="6E3266F5"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6. vaizdo įrašymo įrenginys automatiškai įsijungia ir pradeda įrašinėjimą įjungus automobilio degimą;</w:t>
            </w:r>
          </w:p>
          <w:p w14:paraId="1EA4B879"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7. įrašymas nutraukiamas ir įrenginys išsijungia išjungus variklio degimą;</w:t>
            </w:r>
          </w:p>
          <w:p w14:paraId="3045A9FD"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8. įrenginys turi sinchronizuotai įrašinėti vaizdą, daromo įrašymo datą ir laiką;</w:t>
            </w:r>
          </w:p>
          <w:p w14:paraId="7B9712F1"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9. Pasiekus atminties limitą automatiškai pašalinamas seniausias įrašas;</w:t>
            </w:r>
          </w:p>
          <w:p w14:paraId="4F5FA785" w14:textId="7632B7A9"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10. įrenginio talpa nemažiau 128 GB.</w:t>
            </w:r>
          </w:p>
          <w:p w14:paraId="6DBEA50E" w14:textId="77777777" w:rsidR="005878BD" w:rsidRPr="00FA69C1" w:rsidRDefault="005878BD" w:rsidP="005878BD">
            <w:pPr>
              <w:pStyle w:val="LO-Normal"/>
              <w:jc w:val="both"/>
              <w:rPr>
                <w:rFonts w:asciiTheme="minorHAnsi" w:eastAsia="Calibri" w:hAnsiTheme="minorHAnsi" w:cstheme="minorHAnsi"/>
                <w:sz w:val="22"/>
                <w:szCs w:val="22"/>
              </w:rPr>
            </w:pPr>
          </w:p>
          <w:p w14:paraId="45CEED84"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Įrenginių maitinimo šaltinis – automobilinis DC 12V – 24V;</w:t>
            </w:r>
          </w:p>
          <w:p w14:paraId="2E7ABC4B"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Darbinė įrenginių temperatūra ne prasčiau kaip -20 </w:t>
            </w:r>
            <w:r w:rsidRPr="00FA69C1">
              <w:rPr>
                <w:rFonts w:asciiTheme="minorHAnsi" w:eastAsia="Calibri" w:hAnsiTheme="minorHAnsi" w:cstheme="minorHAnsi"/>
                <w:sz w:val="22"/>
                <w:szCs w:val="22"/>
                <w:vertAlign w:val="superscript"/>
              </w:rPr>
              <w:t>o</w:t>
            </w:r>
            <w:r w:rsidRPr="00FA69C1">
              <w:rPr>
                <w:rFonts w:asciiTheme="minorHAnsi" w:eastAsia="Calibri" w:hAnsiTheme="minorHAnsi" w:cstheme="minorHAnsi"/>
                <w:sz w:val="22"/>
                <w:szCs w:val="22"/>
              </w:rPr>
              <w:t xml:space="preserve">C iki 40 </w:t>
            </w:r>
            <w:r w:rsidRPr="00FA69C1">
              <w:rPr>
                <w:rFonts w:asciiTheme="minorHAnsi" w:eastAsia="Calibri" w:hAnsiTheme="minorHAnsi" w:cstheme="minorHAnsi"/>
                <w:sz w:val="22"/>
                <w:szCs w:val="22"/>
                <w:vertAlign w:val="superscript"/>
              </w:rPr>
              <w:t>o</w:t>
            </w:r>
            <w:r w:rsidRPr="00FA69C1">
              <w:rPr>
                <w:rFonts w:asciiTheme="minorHAnsi" w:eastAsia="Calibri" w:hAnsiTheme="minorHAnsi" w:cstheme="minorHAnsi"/>
                <w:sz w:val="22"/>
                <w:szCs w:val="22"/>
              </w:rPr>
              <w:t>C;</w:t>
            </w:r>
          </w:p>
          <w:p w14:paraId="35964CD5" w14:textId="77777777" w:rsidR="005878BD" w:rsidRPr="00FA69C1" w:rsidRDefault="005878BD" w:rsidP="005878BD">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Visi daromi įrašai ne mažiau nei 30 kadrų per sekundę.</w:t>
            </w:r>
          </w:p>
          <w:p w14:paraId="620E5B12" w14:textId="77777777" w:rsidR="005878BD" w:rsidRPr="00FA69C1" w:rsidRDefault="005878BD" w:rsidP="005878BD">
            <w:pPr>
              <w:pStyle w:val="LO-Normal"/>
              <w:jc w:val="both"/>
              <w:rPr>
                <w:rFonts w:asciiTheme="minorHAnsi" w:eastAsia="Calibri" w:hAnsiTheme="minorHAnsi" w:cstheme="minorHAnsi"/>
                <w:sz w:val="22"/>
                <w:szCs w:val="22"/>
              </w:rPr>
            </w:pPr>
          </w:p>
          <w:p w14:paraId="26D12114" w14:textId="5CCD837D" w:rsidR="005878BD" w:rsidRPr="00FA69C1" w:rsidRDefault="005878BD" w:rsidP="005878BD">
            <w:pPr>
              <w:pStyle w:val="LO-Normal"/>
              <w:jc w:val="both"/>
              <w:rPr>
                <w:rFonts w:asciiTheme="minorHAnsi" w:eastAsia="SimSun" w:hAnsiTheme="minorHAnsi" w:cstheme="minorHAnsi"/>
                <w:kern w:val="2"/>
                <w:sz w:val="22"/>
                <w:szCs w:val="22"/>
                <w:lang w:eastAsia="zh-CN"/>
              </w:rPr>
            </w:pPr>
            <w:r w:rsidRPr="00FA69C1">
              <w:rPr>
                <w:rFonts w:asciiTheme="minorHAnsi" w:eastAsia="Calibri" w:hAnsiTheme="minorHAnsi" w:cstheme="minorHAnsi"/>
                <w:sz w:val="22"/>
                <w:szCs w:val="22"/>
              </w:rPr>
              <w:lastRenderedPageBreak/>
              <w:t>Atliekant montavimo darbus, vaizdo įrašymo</w:t>
            </w:r>
            <w:r w:rsidR="00F75AA8" w:rsidRPr="00FA69C1">
              <w:rPr>
                <w:rFonts w:asciiTheme="minorHAnsi" w:eastAsia="Calibri" w:hAnsiTheme="minorHAnsi" w:cstheme="minorHAnsi"/>
                <w:sz w:val="22"/>
                <w:szCs w:val="22"/>
              </w:rPr>
              <w:t xml:space="preserve"> įrenginys ir jo</w:t>
            </w:r>
            <w:r w:rsidRPr="00FA69C1">
              <w:rPr>
                <w:rFonts w:asciiTheme="minorHAnsi" w:eastAsia="Calibri" w:hAnsiTheme="minorHAnsi" w:cstheme="minorHAnsi"/>
                <w:sz w:val="22"/>
                <w:szCs w:val="22"/>
              </w:rPr>
              <w:t xml:space="preserve"> sistemos laidai turi būti išvedžioti </w:t>
            </w:r>
            <w:r w:rsidR="00F75AA8" w:rsidRPr="00FA69C1">
              <w:rPr>
                <w:rFonts w:asciiTheme="minorHAnsi" w:eastAsia="Calibri" w:hAnsiTheme="minorHAnsi" w:cstheme="minorHAnsi"/>
                <w:sz w:val="22"/>
                <w:szCs w:val="22"/>
              </w:rPr>
              <w:t xml:space="preserve">ir sumontuoti </w:t>
            </w:r>
            <w:r w:rsidRPr="00FA69C1">
              <w:rPr>
                <w:rFonts w:asciiTheme="minorHAnsi" w:eastAsia="Calibri" w:hAnsiTheme="minorHAnsi" w:cstheme="minorHAnsi"/>
                <w:sz w:val="22"/>
                <w:szCs w:val="22"/>
              </w:rPr>
              <w:t xml:space="preserve">taip, kad netrukdytų vairuotojui ir keleiviams naudotis automobiliu. </w:t>
            </w:r>
          </w:p>
        </w:tc>
      </w:tr>
      <w:tr w:rsidR="00F75AA8" w:rsidRPr="00FA69C1" w14:paraId="5D6C469A" w14:textId="77777777" w:rsidTr="0D462EEB">
        <w:tc>
          <w:tcPr>
            <w:tcW w:w="534" w:type="dxa"/>
          </w:tcPr>
          <w:p w14:paraId="1DD38E07" w14:textId="00775D77" w:rsidR="00F75AA8" w:rsidRPr="00FA69C1" w:rsidRDefault="00287CC9">
            <w:pPr>
              <w:rPr>
                <w:rFonts w:cstheme="minorHAnsi"/>
              </w:rPr>
            </w:pPr>
            <w:r w:rsidRPr="00FA69C1">
              <w:rPr>
                <w:rFonts w:cstheme="minorHAnsi"/>
              </w:rPr>
              <w:lastRenderedPageBreak/>
              <w:t>5</w:t>
            </w:r>
            <w:r w:rsidR="00F75AA8" w:rsidRPr="00FA69C1">
              <w:rPr>
                <w:rFonts w:cstheme="minorHAnsi"/>
              </w:rPr>
              <w:t>.</w:t>
            </w:r>
          </w:p>
        </w:tc>
        <w:tc>
          <w:tcPr>
            <w:tcW w:w="1451" w:type="dxa"/>
          </w:tcPr>
          <w:p w14:paraId="57FC606F" w14:textId="161C1669" w:rsidR="00F75AA8" w:rsidRPr="00FA69C1" w:rsidRDefault="00F75AA8">
            <w:pPr>
              <w:rPr>
                <w:rFonts w:cstheme="minorHAnsi"/>
              </w:rPr>
            </w:pPr>
            <w:r w:rsidRPr="00FA69C1">
              <w:rPr>
                <w:rFonts w:cstheme="minorHAnsi"/>
              </w:rPr>
              <w:t>Ra</w:t>
            </w:r>
            <w:r w:rsidR="00F763A6" w:rsidRPr="00FA69C1">
              <w:rPr>
                <w:rFonts w:cstheme="minorHAnsi"/>
              </w:rPr>
              <w:t>dijo ryšio stotis</w:t>
            </w:r>
          </w:p>
        </w:tc>
        <w:tc>
          <w:tcPr>
            <w:tcW w:w="7365" w:type="dxa"/>
          </w:tcPr>
          <w:p w14:paraId="1AF3687D"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Automobilyje sumontuota radijo ryšio stotis: </w:t>
            </w:r>
          </w:p>
          <w:p w14:paraId="06FC4E4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Suderinamumas: skaitmeninis automobilinis radijo ryšio terminalas (toliau – terminalas) su priedais privalo dirbti Vidaus reikalų radijo ryšio tinkle, įdiegtame naudojant profesionalaus radijo ryšio standartą („Motorola Dimetra Release 9.0“ „TETRA“ standarto skaitmeninė mobiliojo radijo ryšio sistema). Pirkėjui pareikalavus, turi būti sudaryta galimybė išbandyti terminalą ir patikrinti jo funkcionalumą.</w:t>
            </w:r>
          </w:p>
          <w:p w14:paraId="18534BC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Tiekėjas turi pateikti bendrovės Motorola Solutions ar kitą tarptautiniu mastu sertifikatą, patvirtinantį, kad siūlomas skaitmeninio radijo ryšio terminalas ištestuotas ir tinkamai veikia radijo ryšio tinkluose, kurių programinė įranga yra „Motorola Dimetra Release 9.0“.</w:t>
            </w:r>
          </w:p>
          <w:p w14:paraId="4E8F49FE"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Programavimas: terminalą su priedais pagal funkcionalumo poreikius programuos Informatikos ir ryšių departamento prie Lietuvos Respublikos vidaus reikalų ministerijos (toliau – IRD) specialistai. Naujausia terminalų programinė įranga turi būti teikiama IRD. </w:t>
            </w:r>
          </w:p>
          <w:p w14:paraId="6A16654B"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Tipas: automobilinis.</w:t>
            </w:r>
          </w:p>
          <w:p w14:paraId="7838EE25"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Veikimo dažnio palaikymas: ne blogiau kaip nuo 380 iki 430 MHz.</w:t>
            </w:r>
          </w:p>
          <w:p w14:paraId="3B1503F8"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Displėjus: ne blogesnis kaip 320 x 240 rezoliucijos spalvotas LCD.</w:t>
            </w:r>
          </w:p>
          <w:p w14:paraId="304604C1"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Kanalų kiekis: ne mažiau 2000.</w:t>
            </w:r>
          </w:p>
          <w:p w14:paraId="09313AC8"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Kanalų išskyrimo dažnis: </w:t>
            </w:r>
          </w:p>
          <w:p w14:paraId="40A8B5E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 xml:space="preserve"> radijo dažnių žingsnis (tinklelis): 25 kHz;</w:t>
            </w:r>
          </w:p>
          <w:p w14:paraId="2356BE40"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 xml:space="preserve"> radijo dažnių programavimo žingsnis: 12,5 kHz.</w:t>
            </w:r>
          </w:p>
          <w:p w14:paraId="51CD6F98"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Veikimo režimai: Radijo terminalas turi palaikyti (įdiegta su visomis reikiamomis licencijomis):</w:t>
            </w:r>
          </w:p>
          <w:p w14:paraId="513F0BF6"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kamieninio veikimo režimą (angl. trumpinys TMO);</w:t>
            </w:r>
          </w:p>
          <w:p w14:paraId="7ABAABDD"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tiesioginio veikimo režimą (angl. trumpinys - DMO);</w:t>
            </w:r>
          </w:p>
          <w:p w14:paraId="666032C5"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 xml:space="preserve">tiesioginio ryšio kartotuvo funkcionalumą (angl. trumpinys - DMO Repeater). </w:t>
            </w:r>
          </w:p>
          <w:p w14:paraId="1388A89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TMO/DMO vartų (angl. trumpinys - TMO Gateway) funkcionalumą;</w:t>
            </w:r>
          </w:p>
          <w:p w14:paraId="7CB7F6A6"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grįžimo veikimo režimą (angl.  Fallback operation);</w:t>
            </w:r>
          </w:p>
          <w:p w14:paraId="387E4A0C"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atlikti vienalaikio dvipusio ryšio individualius ir telefoninius pokalbius (angl. Full Duplex);</w:t>
            </w:r>
          </w:p>
          <w:p w14:paraId="5FEB7F0E"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w:t>
            </w:r>
          </w:p>
          <w:p w14:paraId="68762DF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Funkcinės savybės:</w:t>
            </w:r>
          </w:p>
          <w:p w14:paraId="18CEAD42"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individualūs skambučiai;</w:t>
            </w:r>
          </w:p>
          <w:p w14:paraId="4BD983DC"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grupiniai skambučiai;</w:t>
            </w:r>
          </w:p>
          <w:p w14:paraId="72A46250"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vėlyvas prisijungimas (angl. – late entry);</w:t>
            </w:r>
          </w:p>
          <w:p w14:paraId="275C9DA3"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dinaminės grupės;</w:t>
            </w:r>
          </w:p>
          <w:p w14:paraId="27183262"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avariniai skambučiai;</w:t>
            </w:r>
          </w:p>
          <w:p w14:paraId="6651ADF8"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prioritetiniai skambučiai;</w:t>
            </w:r>
          </w:p>
          <w:p w14:paraId="668BF129"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paketinis duomenų perdavimas:</w:t>
            </w:r>
          </w:p>
          <w:p w14:paraId="21AFAB95"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paketinių duomenų perdavimas naudojant kelis laiko tarpsnius;</w:t>
            </w:r>
          </w:p>
          <w:p w14:paraId="6B562601"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paketinių duomenų perdavimas WAP protokolu;</w:t>
            </w:r>
          </w:p>
          <w:p w14:paraId="62FCDB03"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trumpųjų duomenų perdavimas (angl. SDA);</w:t>
            </w:r>
          </w:p>
          <w:p w14:paraId="196AFC9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lastRenderedPageBreak/>
              <w:t>• būsenos pranešimai (angl. Status Messaging);</w:t>
            </w:r>
          </w:p>
          <w:p w14:paraId="386952BF"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terminalo identifikavimas pokalbio metu;</w:t>
            </w:r>
          </w:p>
          <w:p w14:paraId="3B984912"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galimybė vykdyti pokalbių grupių skenavimą, prioritetinį pokalbių grupių skenavimą;</w:t>
            </w:r>
          </w:p>
          <w:p w14:paraId="5C380FA7"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ne blogiau kaip TEA2 šifravimas;</w:t>
            </w:r>
          </w:p>
          <w:p w14:paraId="6DBD6AE2"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įspėjimo apie tinklo nebuvimą funkcija;</w:t>
            </w:r>
          </w:p>
          <w:p w14:paraId="16BA4B8D"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tinklo našumo monitoringas.</w:t>
            </w:r>
          </w:p>
          <w:p w14:paraId="03F125FC"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celių perrinkimas (angl. Handover);</w:t>
            </w:r>
          </w:p>
          <w:p w14:paraId="554AEC25"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identifikavimas unikaliais identifikatoriais (tokie kaip unikalus numeris, IP adresai);</w:t>
            </w:r>
          </w:p>
          <w:p w14:paraId="365218BD" w14:textId="73A722BF"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r>
            <w:r w:rsidRPr="00FA69C1">
              <w:rPr>
                <w:rFonts w:asciiTheme="minorHAnsi" w:eastAsia="Calibri" w:hAnsiTheme="minorHAnsi" w:cstheme="minorHAnsi"/>
                <w:color w:val="000000" w:themeColor="text1"/>
                <w:sz w:val="22"/>
                <w:szCs w:val="22"/>
              </w:rPr>
              <w:t>programuojamas avarinis/pavojaus mygtukas</w:t>
            </w:r>
            <w:r w:rsidRPr="00FA69C1">
              <w:rPr>
                <w:rFonts w:asciiTheme="minorHAnsi" w:eastAsia="Calibri" w:hAnsiTheme="minorHAnsi" w:cstheme="minorHAnsi"/>
                <w:sz w:val="22"/>
                <w:szCs w:val="22"/>
              </w:rPr>
              <w:t>;</w:t>
            </w:r>
          </w:p>
          <w:p w14:paraId="068BE793"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siuntimo draudimas;</w:t>
            </w:r>
          </w:p>
          <w:p w14:paraId="403FAEDF"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rinkto telefoninio abonento numerio (angl. DTMF) perrinkimas;</w:t>
            </w:r>
          </w:p>
          <w:p w14:paraId="66246AE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telefonų knyga, galinti palaikyti ne mažiau 50 įrašų, kuriuos gali redaguoti vartotojai;</w:t>
            </w:r>
          </w:p>
          <w:p w14:paraId="1E258A6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skambučių istorija (įeinantys, išeinantys, praleisti skambučiai);</w:t>
            </w:r>
          </w:p>
          <w:p w14:paraId="213BD95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radijo terminalo profiliai (tokius kaip normalus profilis ir tylus profilis), kuriuos vartotojai gali padaryti aktyviais;</w:t>
            </w:r>
          </w:p>
          <w:p w14:paraId="100D36AC"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vartotojų grupei būdingi trumpieji numeriai (angl. Fleet Specific Short Number);</w:t>
            </w:r>
          </w:p>
          <w:p w14:paraId="65F71F1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vieta modulio įdiegimui (pvz. SIM kortelė), modulis gali būti naudojamas ištisiniam kodavimui;</w:t>
            </w:r>
          </w:p>
          <w:p w14:paraId="54701DC1"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w:t>
            </w:r>
            <w:r w:rsidRPr="00FA69C1">
              <w:rPr>
                <w:rFonts w:asciiTheme="minorHAnsi" w:eastAsia="Calibri" w:hAnsiTheme="minorHAnsi" w:cstheme="minorHAnsi"/>
                <w:sz w:val="22"/>
                <w:szCs w:val="22"/>
              </w:rPr>
              <w:tab/>
              <w:t xml:space="preserve">įdiegtas ir aktyvuotas GPS modulio funkcionalumas su visomis reikalingomis licencijomis (turi būti GPS koordinačių siuntimo funkcija), kurio funkcionalumas būtų </w:t>
            </w:r>
            <w:r w:rsidRPr="00FA69C1">
              <w:rPr>
                <w:rFonts w:asciiTheme="minorHAnsi" w:eastAsia="Calibri" w:hAnsiTheme="minorHAnsi" w:cstheme="minorHAnsi"/>
                <w:color w:val="000000" w:themeColor="text1"/>
                <w:sz w:val="22"/>
                <w:szCs w:val="22"/>
              </w:rPr>
              <w:t xml:space="preserve">suderinamas su </w:t>
            </w:r>
            <w:r w:rsidRPr="00FA69C1">
              <w:rPr>
                <w:rFonts w:asciiTheme="minorHAnsi" w:eastAsia="Times New Roman" w:hAnsiTheme="minorHAnsi" w:cstheme="minorHAnsi"/>
                <w:color w:val="000000" w:themeColor="text1"/>
                <w:sz w:val="22"/>
                <w:szCs w:val="22"/>
                <w:lang w:eastAsia="zh-CN"/>
              </w:rPr>
              <w:t>perkančiosios organizacijos (VST)</w:t>
            </w:r>
            <w:r w:rsidRPr="00FA69C1">
              <w:rPr>
                <w:rFonts w:asciiTheme="minorHAnsi" w:eastAsia="Calibri" w:hAnsiTheme="minorHAnsi" w:cstheme="minorHAnsi"/>
                <w:color w:val="000000" w:themeColor="text1"/>
                <w:sz w:val="22"/>
                <w:szCs w:val="22"/>
              </w:rPr>
              <w:t xml:space="preserve"> jau </w:t>
            </w:r>
            <w:r w:rsidRPr="00FA69C1">
              <w:rPr>
                <w:rFonts w:asciiTheme="minorHAnsi" w:eastAsia="Calibri" w:hAnsiTheme="minorHAnsi" w:cstheme="minorHAnsi"/>
                <w:sz w:val="22"/>
                <w:szCs w:val="22"/>
              </w:rPr>
              <w:t>naudojama programine įranga „Akis“ (duomenims priimti naudojami GPS duomenų gavimo terminalai „Sepura SRG3900“). Taip pat turi būti galima nurodyti siųsti ne mažiau kaip dviem GPS koordinačių gavimo adresatams vienu metu (esant poreikiui tiekėjas turi pademonstruoti veikimą). Jei suderinamumas negalimas, tiekėjas turi savo lėšomis pateikti terminalus, skirtus GPS koordinačių priėmimui, suderinamus su siūlomais ir VST jau naudojamais radijo ryšio terminalais, bei savo lėšomis atlikti integracijos darbus.</w:t>
            </w:r>
          </w:p>
          <w:p w14:paraId="6C3246A2" w14:textId="77777777" w:rsidR="00F763A6" w:rsidRPr="00FA69C1" w:rsidRDefault="00F763A6" w:rsidP="00F763A6">
            <w:pPr>
              <w:pStyle w:val="LO-Normal"/>
              <w:jc w:val="both"/>
              <w:rPr>
                <w:rFonts w:asciiTheme="minorHAnsi" w:eastAsia="Calibri" w:hAnsiTheme="minorHAnsi" w:cstheme="minorHAnsi"/>
                <w:sz w:val="22"/>
                <w:szCs w:val="22"/>
              </w:rPr>
            </w:pPr>
          </w:p>
          <w:p w14:paraId="5FCCA6AB"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Vartotojo sąsaja (kalba): grafinė (angl. trumpinys - GUI), visos terminalo programinės įrangos aplinkos ir navigaciniai pasirinkimai lietuvių kalba, tačiau sunkiai verčiami žodžiai ar neverčiami terminai (pvz.: TMO, DMO, SDS ir t.t.) gali būti pateikiami anglų kalba.</w:t>
            </w:r>
          </w:p>
          <w:p w14:paraId="4922C4A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Siųstuvo spinduliuojamo signalo galia: ne mažiau nei 10 W.</w:t>
            </w:r>
          </w:p>
          <w:p w14:paraId="55DF7FB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Imtuvo jautrumas: Statinis: ne blogiau 112 dBm; </w:t>
            </w:r>
          </w:p>
          <w:p w14:paraId="7A33F7D4"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Dinaminis: ne blogiau 103 dBm.</w:t>
            </w:r>
          </w:p>
          <w:p w14:paraId="36B78A7C"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Audio išėjimas: ne mažiau 6 W.</w:t>
            </w:r>
          </w:p>
          <w:p w14:paraId="3A48844C"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Klaviatūra: DTMF tipo arba lygiavertė.</w:t>
            </w:r>
          </w:p>
          <w:p w14:paraId="0B083BDE"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Atsparumo klasė: nuo purvo ir vandens ne mažiau IP 54.</w:t>
            </w:r>
          </w:p>
          <w:p w14:paraId="55ED6879"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Darbinė įtampa: ne blogiau kaip nuo 11 iki 15,5V.</w:t>
            </w:r>
          </w:p>
          <w:p w14:paraId="0FCDC5F9"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Darbo temperatūros ribos: nuo -25°C iki + 60°C.</w:t>
            </w:r>
          </w:p>
          <w:p w14:paraId="64309707"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Sertifikatai ir licencijos: visa pateikiama įranga privalo turėti Europos Sąjungos „CE“ sertifikavimą ir ženklinimą, bei būti pateiktos visos licencijos, reikalingos reikalaujamam </w:t>
            </w:r>
            <w:r w:rsidRPr="00FA69C1">
              <w:rPr>
                <w:rFonts w:asciiTheme="minorHAnsi" w:eastAsia="Calibri" w:hAnsiTheme="minorHAnsi" w:cstheme="minorHAnsi"/>
                <w:color w:val="000000" w:themeColor="text1"/>
                <w:sz w:val="22"/>
                <w:szCs w:val="22"/>
              </w:rPr>
              <w:t xml:space="preserve">funkcionalumui </w:t>
            </w:r>
            <w:r w:rsidRPr="00FA69C1">
              <w:rPr>
                <w:rFonts w:asciiTheme="minorHAnsi" w:hAnsiTheme="minorHAnsi" w:cstheme="minorHAnsi"/>
                <w:color w:val="000000" w:themeColor="text1"/>
                <w:sz w:val="22"/>
                <w:szCs w:val="22"/>
              </w:rPr>
              <w:t xml:space="preserve">ir programavimui </w:t>
            </w:r>
            <w:r w:rsidRPr="00FA69C1">
              <w:rPr>
                <w:rFonts w:asciiTheme="minorHAnsi" w:eastAsia="Calibri" w:hAnsiTheme="minorHAnsi" w:cstheme="minorHAnsi"/>
                <w:color w:val="000000" w:themeColor="text1"/>
                <w:sz w:val="22"/>
                <w:szCs w:val="22"/>
              </w:rPr>
              <w:t>užtikrinti</w:t>
            </w:r>
            <w:r w:rsidRPr="00FA69C1">
              <w:rPr>
                <w:rFonts w:asciiTheme="minorHAnsi" w:eastAsia="Calibri" w:hAnsiTheme="minorHAnsi" w:cstheme="minorHAnsi"/>
                <w:sz w:val="22"/>
                <w:szCs w:val="22"/>
              </w:rPr>
              <w:t>.</w:t>
            </w:r>
          </w:p>
          <w:p w14:paraId="371EE2E0"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lastRenderedPageBreak/>
              <w:t xml:space="preserve">           Garantija: ne mažiau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Lietuvoje, Vilniaus m. Garantinis remontas ar techninis aptarnavimas visai priduodamai įrangai turi trukti ne ilgiau kaip 30 kalendorinių dienų, skaičiuojant nuo įrangos pridavimo garantiniam remontui ar techniniam aptarnavimui dienos iki pranešimo (elektroninėmis informavimo priemonėmis) įrangą pridavusiai įstaigai, kad įranga suremontuota ar techninis aptarnavimas atliktas ir ją galima paimti, gavimo dienos.</w:t>
            </w:r>
          </w:p>
          <w:p w14:paraId="36F28477"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Komplektacija: turi būti:</w:t>
            </w:r>
          </w:p>
          <w:p w14:paraId="10D0A1F3"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siųstuvo/imtuvo blokas su spalvotu displėjumi ir pilna valdymo klaviatūra – panelė (siųstuvo/imtuvo blokas ir valdymo panelė turi būti atskiruose korpusuose su jiems skirtu standartiniu jungiamuoju kabeliu);</w:t>
            </w:r>
          </w:p>
          <w:p w14:paraId="2EE19D27"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montavimo stovas su reikiamais laikikliais bei tvirtinimo detalėmis tiek siųstuvo-imtuvo blokui, tiek valdymo panelei;</w:t>
            </w:r>
          </w:p>
          <w:p w14:paraId="2056ABA6"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delninis mikrofonas-manipuliatorius;</w:t>
            </w:r>
          </w:p>
          <w:p w14:paraId="3803C7E9"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atitinkamos varžos ir galios išorinis montuojamas garsiakalbis, atsparus vandeniui (drėgmei);</w:t>
            </w:r>
          </w:p>
          <w:p w14:paraId="04190FDD"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įgręžiama, tinkanti siūlomiems terminalams ¼ bangos ilgio, lanksti, kombinuota (radijo ryšio ir GPS signalo), ant automobilio stogo montuojama, antena su atitinkamo ilgio anteniniu kabeliu ir  visomis reikiamomis jungtimis ir kabeliniais perėjimais;</w:t>
            </w:r>
          </w:p>
          <w:p w14:paraId="50823912"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12V standartinis maitinimo laidas;</w:t>
            </w:r>
          </w:p>
          <w:p w14:paraId="2ED452B0"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  vartotojo instrukcija lietuvių kalba.</w:t>
            </w:r>
          </w:p>
          <w:p w14:paraId="2274FA0A" w14:textId="77777777" w:rsidR="00F763A6" w:rsidRPr="00FA69C1" w:rsidRDefault="00F763A6" w:rsidP="00F763A6">
            <w:pPr>
              <w:pStyle w:val="LO-Normal"/>
              <w:jc w:val="both"/>
              <w:rPr>
                <w:rFonts w:asciiTheme="minorHAnsi" w:eastAsia="Calibri" w:hAnsiTheme="minorHAnsi" w:cstheme="minorHAnsi"/>
                <w:sz w:val="22"/>
                <w:szCs w:val="22"/>
              </w:rPr>
            </w:pPr>
            <w:r w:rsidRPr="00FA69C1">
              <w:rPr>
                <w:rFonts w:asciiTheme="minorHAnsi" w:eastAsia="Calibri" w:hAnsiTheme="minorHAnsi" w:cstheme="minorHAnsi"/>
                <w:sz w:val="22"/>
                <w:szCs w:val="22"/>
              </w:rPr>
              <w:t xml:space="preserve">   Taip pat (jeigu reikia) turi būti visi reikalingi bet neišvardyti pajungimo laidai, kabeliai, jungtys bei priedai pilnam terminalo funkcionavimui užtikrinti. Visa įranga ir jos komplektuojančios dalys turi būti naujos ir nenaudotos, gamykliškai atnaujinti komponentai (angl. remarketing/refurbished) neleistini.</w:t>
            </w:r>
          </w:p>
          <w:p w14:paraId="23251972" w14:textId="77777777" w:rsidR="00F763A6" w:rsidRPr="00FA69C1" w:rsidRDefault="00F763A6" w:rsidP="00F763A6">
            <w:pPr>
              <w:pStyle w:val="LO-Normal"/>
              <w:jc w:val="both"/>
              <w:rPr>
                <w:rFonts w:asciiTheme="minorHAnsi" w:eastAsia="Calibri" w:hAnsiTheme="minorHAnsi" w:cstheme="minorHAnsi"/>
                <w:sz w:val="22"/>
                <w:szCs w:val="22"/>
              </w:rPr>
            </w:pPr>
          </w:p>
          <w:p w14:paraId="080C5D84" w14:textId="7C35A955" w:rsidR="00F75AA8" w:rsidRPr="00FA69C1" w:rsidRDefault="00F763A6" w:rsidP="00F763A6">
            <w:pPr>
              <w:pStyle w:val="LO-Normal"/>
              <w:jc w:val="both"/>
              <w:rPr>
                <w:rFonts w:asciiTheme="minorHAnsi" w:eastAsia="Calibri" w:hAnsiTheme="minorHAnsi" w:cstheme="minorHAnsi"/>
                <w:sz w:val="22"/>
                <w:szCs w:val="22"/>
              </w:rPr>
            </w:pPr>
            <w:r w:rsidRPr="00FA69C1">
              <w:rPr>
                <w:rFonts w:asciiTheme="minorHAnsi" w:hAnsiTheme="minorHAnsi" w:cstheme="minorHAnsi"/>
                <w:sz w:val="22"/>
                <w:szCs w:val="22"/>
              </w:rPr>
              <w:t>Prekė neturi kelti grėsmės nacionaliniam saugumui Lietuvos Respublikos viešųjų pirkimų įstatymo 37 str. 9 d. prasme. Techninės ar programinės įrangos gamintojas ar jį kontroliuojantis asmuo (jeigu gamintojas ar jį kontroliuojantis asmuo yra fizinis asmuo – nuolat gyvenantis ar turintis pilietybę) nėra registruoti VPĮ 92 straipsnio 14 dalyje numatytame sąraše nurodytose valstybėse ar teritorijose,  techninės ar programinės įrangos priežiūra ir palaikymas nėra vykdomas iš VPĮ 92 straipsnio 14 dalyje numatytame sąraše nurodytų valstybių ar teritorijų (</w:t>
            </w:r>
            <w:hyperlink r:id="rId7" w:history="1">
              <w:r w:rsidRPr="00FA69C1">
                <w:rPr>
                  <w:rStyle w:val="Hyperlink"/>
                  <w:rFonts w:asciiTheme="minorHAnsi" w:hAnsiTheme="minorHAnsi" w:cstheme="minorHAnsi"/>
                  <w:sz w:val="22"/>
                  <w:szCs w:val="22"/>
                </w:rPr>
                <w:t>https://e-seimas.lrs.lt/portal/legalAct/lt/TAP/16f99e01af6811ecaf79c2120caf5094</w:t>
              </w:r>
            </w:hyperlink>
            <w:r w:rsidRPr="00FA69C1">
              <w:rPr>
                <w:rStyle w:val="Hyperlink"/>
                <w:rFonts w:asciiTheme="minorHAnsi" w:hAnsiTheme="minorHAnsi" w:cstheme="minorHAnsi"/>
                <w:sz w:val="22"/>
                <w:szCs w:val="22"/>
              </w:rPr>
              <w:t>).</w:t>
            </w:r>
          </w:p>
        </w:tc>
      </w:tr>
    </w:tbl>
    <w:p w14:paraId="663DBEF8" w14:textId="77777777" w:rsidR="007E0AC6" w:rsidRPr="00FA69C1" w:rsidRDefault="007E0AC6">
      <w:pPr>
        <w:rPr>
          <w:rFonts w:cstheme="minorHAnsi"/>
        </w:rPr>
      </w:pPr>
    </w:p>
    <w:sectPr w:rsidR="007E0AC6" w:rsidRPr="00FA69C1" w:rsidSect="00B368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B5AE" w14:textId="77777777" w:rsidR="00CE13E7" w:rsidRDefault="00CE13E7" w:rsidP="00CE13E7">
      <w:pPr>
        <w:spacing w:after="0" w:line="240" w:lineRule="auto"/>
      </w:pPr>
      <w:r>
        <w:separator/>
      </w:r>
    </w:p>
  </w:endnote>
  <w:endnote w:type="continuationSeparator" w:id="0">
    <w:p w14:paraId="031C80E6" w14:textId="77777777" w:rsidR="00CE13E7" w:rsidRDefault="00CE13E7" w:rsidP="00CE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auto"/>
    <w:pitch w:val="variable"/>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88D144" w14:paraId="0ED3295A" w14:textId="77777777" w:rsidTr="3A88D144">
      <w:trPr>
        <w:trHeight w:val="300"/>
      </w:trPr>
      <w:tc>
        <w:tcPr>
          <w:tcW w:w="3120" w:type="dxa"/>
        </w:tcPr>
        <w:p w14:paraId="77176CEA" w14:textId="259C1AB9" w:rsidR="3A88D144" w:rsidRDefault="3A88D144" w:rsidP="3A88D144">
          <w:pPr>
            <w:pStyle w:val="Header"/>
            <w:ind w:left="-115"/>
          </w:pPr>
        </w:p>
      </w:tc>
      <w:tc>
        <w:tcPr>
          <w:tcW w:w="3120" w:type="dxa"/>
        </w:tcPr>
        <w:p w14:paraId="3B831010" w14:textId="18D0336B" w:rsidR="3A88D144" w:rsidRDefault="3A88D144" w:rsidP="3A88D144">
          <w:pPr>
            <w:pStyle w:val="Header"/>
            <w:jc w:val="center"/>
          </w:pPr>
        </w:p>
      </w:tc>
      <w:tc>
        <w:tcPr>
          <w:tcW w:w="3120" w:type="dxa"/>
        </w:tcPr>
        <w:p w14:paraId="1A735F60" w14:textId="00640452" w:rsidR="3A88D144" w:rsidRDefault="3A88D144" w:rsidP="3A88D144">
          <w:pPr>
            <w:pStyle w:val="Header"/>
            <w:ind w:right="-115"/>
            <w:jc w:val="right"/>
          </w:pPr>
        </w:p>
      </w:tc>
    </w:tr>
  </w:tbl>
  <w:p w14:paraId="4B0F2BC5" w14:textId="4A3FF250" w:rsidR="3A88D144" w:rsidRDefault="3A88D144" w:rsidP="3A88D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680E" w14:textId="77777777" w:rsidR="00CE13E7" w:rsidRDefault="00CE13E7" w:rsidP="00CE13E7">
      <w:pPr>
        <w:spacing w:after="0" w:line="240" w:lineRule="auto"/>
      </w:pPr>
      <w:r>
        <w:separator/>
      </w:r>
    </w:p>
  </w:footnote>
  <w:footnote w:type="continuationSeparator" w:id="0">
    <w:p w14:paraId="4A9184D9" w14:textId="77777777" w:rsidR="00CE13E7" w:rsidRDefault="00CE13E7" w:rsidP="00CE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5D40" w14:textId="36CEF9A3" w:rsidR="00CE13E7" w:rsidRPr="00FA69C1" w:rsidRDefault="00FA69C1" w:rsidP="00CE13E7">
    <w:pPr>
      <w:pStyle w:val="Header"/>
      <w:jc w:val="right"/>
      <w:rPr>
        <w:b/>
        <w:bCs/>
      </w:rPr>
    </w:pPr>
    <w:r w:rsidRPr="00FA69C1">
      <w:rPr>
        <w:b/>
        <w:bCs/>
      </w:rPr>
      <w:t>Techninės specifikacijos 5</w:t>
    </w:r>
    <w:r w:rsidR="3A88D144" w:rsidRPr="00FA69C1">
      <w:rPr>
        <w:b/>
        <w:bCs/>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43137"/>
    <w:multiLevelType w:val="hybridMultilevel"/>
    <w:tmpl w:val="F2D0B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059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BD"/>
    <w:rsid w:val="000772E2"/>
    <w:rsid w:val="000E1924"/>
    <w:rsid w:val="0011198C"/>
    <w:rsid w:val="00152CCF"/>
    <w:rsid w:val="00190499"/>
    <w:rsid w:val="00287CC9"/>
    <w:rsid w:val="002A3456"/>
    <w:rsid w:val="004F134A"/>
    <w:rsid w:val="005878BD"/>
    <w:rsid w:val="005F1CC9"/>
    <w:rsid w:val="00600F8B"/>
    <w:rsid w:val="00621738"/>
    <w:rsid w:val="00622E91"/>
    <w:rsid w:val="00674A5D"/>
    <w:rsid w:val="006B331C"/>
    <w:rsid w:val="00766349"/>
    <w:rsid w:val="0078467A"/>
    <w:rsid w:val="007943C2"/>
    <w:rsid w:val="007E0AC6"/>
    <w:rsid w:val="00872EEC"/>
    <w:rsid w:val="008A1220"/>
    <w:rsid w:val="008C2F56"/>
    <w:rsid w:val="008D47C2"/>
    <w:rsid w:val="00977746"/>
    <w:rsid w:val="009B0B34"/>
    <w:rsid w:val="009C7FDA"/>
    <w:rsid w:val="00B368A0"/>
    <w:rsid w:val="00B40FDD"/>
    <w:rsid w:val="00C42126"/>
    <w:rsid w:val="00CE13E7"/>
    <w:rsid w:val="00E3228B"/>
    <w:rsid w:val="00F449CE"/>
    <w:rsid w:val="00F505CF"/>
    <w:rsid w:val="00F75AA8"/>
    <w:rsid w:val="00F763A6"/>
    <w:rsid w:val="00FA69C1"/>
    <w:rsid w:val="054AFCE0"/>
    <w:rsid w:val="0D462EEB"/>
    <w:rsid w:val="0E3FD619"/>
    <w:rsid w:val="3A88D144"/>
    <w:rsid w:val="5FB7D1D7"/>
    <w:rsid w:val="665B2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5D6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5878BD"/>
    <w:pPr>
      <w:suppressAutoHyphens/>
      <w:autoSpaceDN w:val="0"/>
      <w:spacing w:after="0" w:line="240" w:lineRule="auto"/>
    </w:pPr>
    <w:rPr>
      <w:rFonts w:ascii="Liberation Serif" w:eastAsia="0" w:hAnsi="Liberation Serif" w:cs="Liberation Serif"/>
      <w:kern w:val="3"/>
      <w:sz w:val="24"/>
      <w:szCs w:val="24"/>
      <w:lang w:eastAsia="hi-IN" w:bidi="hi-IN"/>
    </w:rPr>
  </w:style>
  <w:style w:type="paragraph" w:styleId="ListParagraph">
    <w:name w:val="List Paragraph"/>
    <w:basedOn w:val="Normal"/>
    <w:uiPriority w:val="34"/>
    <w:qFormat/>
    <w:rsid w:val="005878BD"/>
    <w:pPr>
      <w:ind w:left="720"/>
      <w:contextualSpacing/>
    </w:pPr>
  </w:style>
  <w:style w:type="paragraph" w:styleId="BodyText">
    <w:name w:val="Body Text"/>
    <w:basedOn w:val="Normal"/>
    <w:link w:val="BodyTextChar"/>
    <w:uiPriority w:val="1"/>
    <w:qFormat/>
    <w:rsid w:val="00F75AA8"/>
    <w:pPr>
      <w:widowControl w:val="0"/>
      <w:autoSpaceDE w:val="0"/>
      <w:autoSpaceDN w:val="0"/>
      <w:spacing w:after="0" w:line="240" w:lineRule="auto"/>
      <w:ind w:left="604"/>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75AA8"/>
    <w:rPr>
      <w:rFonts w:ascii="Times New Roman" w:eastAsia="Times New Roman" w:hAnsi="Times New Roman" w:cs="Times New Roman"/>
    </w:rPr>
  </w:style>
  <w:style w:type="character" w:styleId="Hyperlink">
    <w:name w:val="Hyperlink"/>
    <w:basedOn w:val="DefaultParagraphFont"/>
    <w:uiPriority w:val="99"/>
    <w:semiHidden/>
    <w:unhideWhenUsed/>
    <w:rsid w:val="00F763A6"/>
    <w:rPr>
      <w:color w:val="0563C1" w:themeColor="hyperlink"/>
      <w:u w:val="single"/>
    </w:rPr>
  </w:style>
  <w:style w:type="paragraph" w:styleId="Header">
    <w:name w:val="header"/>
    <w:basedOn w:val="Normal"/>
    <w:link w:val="HeaderChar"/>
    <w:uiPriority w:val="99"/>
    <w:unhideWhenUsed/>
    <w:rsid w:val="00CE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3E7"/>
  </w:style>
  <w:style w:type="paragraph" w:styleId="Footer">
    <w:name w:val="footer"/>
    <w:basedOn w:val="Normal"/>
    <w:link w:val="FooterChar"/>
    <w:uiPriority w:val="99"/>
    <w:unhideWhenUsed/>
    <w:rsid w:val="00CE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0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P/16f99e01af6811ecaf79c2120caf5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6640</Words>
  <Characters>3785</Characters>
  <Application>Microsoft Office Word</Application>
  <DocSecurity>0</DocSecurity>
  <Lines>31</Lines>
  <Paragraphs>20</Paragraphs>
  <ScaleCrop>false</ScaleCrop>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2025-04-10T07:07:00Z</dcterms:created>
  <dcterms:modified xsi:type="dcterms:W3CDTF">2025-04-10T07:07:00Z</dcterms:modified>
</cp:coreProperties>
</file>