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8BD7" w14:textId="759A482F" w:rsidR="00102E8E" w:rsidRPr="00102E8E" w:rsidRDefault="00102E8E" w:rsidP="00102E8E">
      <w:pPr>
        <w:pStyle w:val="Sraopastraipa"/>
        <w:numPr>
          <w:ilvl w:val="0"/>
          <w:numId w:val="6"/>
        </w:numPr>
        <w:tabs>
          <w:tab w:val="left" w:pos="426"/>
          <w:tab w:val="left" w:pos="851"/>
          <w:tab w:val="left" w:pos="993"/>
          <w:tab w:val="left" w:pos="1276"/>
        </w:tabs>
        <w:spacing w:after="120" w:line="276" w:lineRule="auto"/>
        <w:jc w:val="center"/>
        <w:rPr>
          <w:rFonts w:ascii="Times New Roman" w:eastAsia="Times New Roman" w:hAnsi="Times New Roman" w:cs="Times New Roman"/>
          <w:b/>
          <w:color w:val="632423"/>
          <w:sz w:val="24"/>
          <w:szCs w:val="24"/>
          <w:lang w:eastAsia="x-none"/>
        </w:rPr>
      </w:pPr>
      <w:bookmarkStart w:id="0" w:name="_Ref342466277"/>
      <w:r w:rsidRPr="00102E8E">
        <w:rPr>
          <w:rFonts w:ascii="Times New Roman" w:eastAsia="Times New Roman" w:hAnsi="Times New Roman" w:cs="Times New Roman"/>
          <w:b/>
          <w:color w:val="632423"/>
          <w:sz w:val="24"/>
          <w:szCs w:val="24"/>
          <w:lang w:eastAsia="x-none"/>
        </w:rPr>
        <w:t>Sutarties priedas</w:t>
      </w:r>
      <w:bookmarkEnd w:id="0"/>
    </w:p>
    <w:p w14:paraId="657982B5" w14:textId="77777777" w:rsidR="00102E8E" w:rsidRPr="00102E8E" w:rsidRDefault="00102E8E" w:rsidP="00102E8E">
      <w:pPr>
        <w:tabs>
          <w:tab w:val="left" w:pos="426"/>
          <w:tab w:val="left" w:pos="851"/>
          <w:tab w:val="left" w:pos="993"/>
          <w:tab w:val="left" w:pos="1276"/>
        </w:tabs>
        <w:spacing w:after="120" w:line="276" w:lineRule="auto"/>
        <w:ind w:firstLine="709"/>
        <w:jc w:val="both"/>
        <w:rPr>
          <w:color w:val="632423"/>
        </w:rPr>
      </w:pPr>
    </w:p>
    <w:p w14:paraId="01983E29" w14:textId="32A28E2A" w:rsidR="00102E8E" w:rsidRPr="00102E8E" w:rsidRDefault="00102E8E" w:rsidP="00102E8E">
      <w:pPr>
        <w:tabs>
          <w:tab w:val="left" w:pos="426"/>
          <w:tab w:val="left" w:pos="851"/>
          <w:tab w:val="left" w:pos="993"/>
          <w:tab w:val="left" w:pos="1276"/>
        </w:tabs>
        <w:spacing w:after="120" w:line="276" w:lineRule="auto"/>
        <w:ind w:firstLine="709"/>
        <w:jc w:val="center"/>
        <w:rPr>
          <w:b/>
          <w:color w:val="632423"/>
        </w:rPr>
      </w:pPr>
      <w:r w:rsidRPr="00102E8E">
        <w:rPr>
          <w:b/>
          <w:color w:val="632423"/>
        </w:rPr>
        <w:t>KONCESININKO VEIKLOS STEBĖSENOS, MOKĖJIMŲ IR IŠSKAITŲ MECHANIZMAS</w:t>
      </w:r>
    </w:p>
    <w:p w14:paraId="48956DA8" w14:textId="77777777" w:rsidR="00102E8E" w:rsidRPr="00102E8E" w:rsidRDefault="00102E8E" w:rsidP="00102E8E">
      <w:pPr>
        <w:tabs>
          <w:tab w:val="left" w:pos="426"/>
          <w:tab w:val="left" w:pos="851"/>
          <w:tab w:val="left" w:pos="993"/>
          <w:tab w:val="left" w:pos="1276"/>
        </w:tabs>
        <w:spacing w:before="240" w:after="240"/>
        <w:ind w:firstLine="709"/>
      </w:pPr>
    </w:p>
    <w:p w14:paraId="279C99CE" w14:textId="77777777" w:rsidR="00102E8E" w:rsidRPr="00102E8E" w:rsidRDefault="00102E8E" w:rsidP="002B49EA">
      <w:pPr>
        <w:numPr>
          <w:ilvl w:val="0"/>
          <w:numId w:val="3"/>
        </w:numPr>
        <w:tabs>
          <w:tab w:val="left" w:pos="426"/>
          <w:tab w:val="left" w:pos="851"/>
          <w:tab w:val="left" w:pos="993"/>
          <w:tab w:val="left" w:pos="1276"/>
        </w:tabs>
        <w:spacing w:before="240" w:after="240"/>
        <w:ind w:left="811" w:right="2552" w:firstLine="1457"/>
        <w:jc w:val="center"/>
        <w:rPr>
          <w:b/>
        </w:rPr>
      </w:pPr>
      <w:bookmarkStart w:id="1" w:name="_Toc369173998"/>
      <w:bookmarkStart w:id="2" w:name="_Toc428437207"/>
      <w:r w:rsidRPr="00102E8E">
        <w:rPr>
          <w:b/>
        </w:rPr>
        <w:t>Veiklos stebėsenos programa</w:t>
      </w:r>
      <w:bookmarkEnd w:id="1"/>
    </w:p>
    <w:p w14:paraId="51A70108" w14:textId="284F02DB" w:rsidR="00102E8E" w:rsidRPr="00102E8E" w:rsidRDefault="00102E8E" w:rsidP="002B49EA">
      <w:pPr>
        <w:numPr>
          <w:ilvl w:val="1"/>
          <w:numId w:val="2"/>
        </w:numPr>
        <w:tabs>
          <w:tab w:val="left" w:pos="426"/>
          <w:tab w:val="left" w:pos="851"/>
          <w:tab w:val="left" w:pos="993"/>
          <w:tab w:val="left" w:pos="1276"/>
        </w:tabs>
        <w:spacing w:line="276" w:lineRule="auto"/>
        <w:ind w:left="-142" w:hanging="142"/>
        <w:contextualSpacing/>
        <w:jc w:val="both"/>
        <w:rPr>
          <w:rFonts w:ascii="Palemonas" w:hAnsi="Palemonas"/>
        </w:rPr>
      </w:pPr>
      <w:r w:rsidRPr="00102E8E">
        <w:t xml:space="preserve">Suteikiančioji institucija turi teisę patikrinti Paslaugų teikimą bei įrašus, daromus teikiant Paslaugas tiek </w:t>
      </w:r>
      <w:r w:rsidR="002B49EA">
        <w:t>Sporto objektuose</w:t>
      </w:r>
      <w:r w:rsidRPr="00102E8E">
        <w:t xml:space="preserve">, tiek ir Koncesininko </w:t>
      </w:r>
      <w:r w:rsidR="00B636BC">
        <w:t>registracijos adresu</w:t>
      </w:r>
      <w:r w:rsidRPr="00102E8E">
        <w:t>.</w:t>
      </w:r>
    </w:p>
    <w:p w14:paraId="0EDF7BCE" w14:textId="77777777" w:rsidR="00102E8E" w:rsidRPr="00102E8E" w:rsidRDefault="00102E8E" w:rsidP="002B49EA">
      <w:pPr>
        <w:numPr>
          <w:ilvl w:val="1"/>
          <w:numId w:val="2"/>
        </w:numPr>
        <w:tabs>
          <w:tab w:val="left" w:pos="426"/>
          <w:tab w:val="left" w:pos="851"/>
          <w:tab w:val="left" w:pos="993"/>
          <w:tab w:val="left" w:pos="1276"/>
        </w:tabs>
        <w:spacing w:line="276" w:lineRule="auto"/>
        <w:ind w:left="-142" w:hanging="142"/>
        <w:contextualSpacing/>
        <w:jc w:val="both"/>
        <w:rPr>
          <w:rFonts w:ascii="Palemonas" w:hAnsi="Palemonas"/>
        </w:rPr>
      </w:pPr>
      <w:r w:rsidRPr="00102E8E">
        <w:t xml:space="preserve">Jokie Suteikiančiosios institucijos vykdomi patikrinimai neatleidžia Koncesininko nuo jokių Sutarties vykdymo prievolių. </w:t>
      </w:r>
    </w:p>
    <w:p w14:paraId="2E9D56E4" w14:textId="712A9ED9" w:rsidR="00102E8E" w:rsidRPr="00102E8E" w:rsidRDefault="00102E8E" w:rsidP="002B49EA">
      <w:pPr>
        <w:numPr>
          <w:ilvl w:val="1"/>
          <w:numId w:val="2"/>
        </w:numPr>
        <w:tabs>
          <w:tab w:val="left" w:pos="426"/>
          <w:tab w:val="left" w:pos="851"/>
          <w:tab w:val="left" w:pos="993"/>
          <w:tab w:val="left" w:pos="1276"/>
        </w:tabs>
        <w:spacing w:line="276" w:lineRule="auto"/>
        <w:ind w:left="-142" w:hanging="142"/>
        <w:contextualSpacing/>
        <w:jc w:val="both"/>
      </w:pPr>
      <w:bookmarkStart w:id="3" w:name="_Toc369174005"/>
      <w:r w:rsidRPr="00102E8E">
        <w:t>Išskaita skaičiuojama už tą ataskaitinį laikotarpį, kurio metu tokie pažeidimai yra užfiksuoti, vadovaujantis Specifikacijomis ir Sutartimi, nesvarbu, kada tokie pažeidimai padaryti.</w:t>
      </w:r>
    </w:p>
    <w:p w14:paraId="651B467D" w14:textId="77777777" w:rsidR="00102E8E" w:rsidRPr="00102E8E" w:rsidRDefault="00102E8E" w:rsidP="002B49EA">
      <w:pPr>
        <w:numPr>
          <w:ilvl w:val="1"/>
          <w:numId w:val="2"/>
        </w:numPr>
        <w:tabs>
          <w:tab w:val="left" w:pos="426"/>
          <w:tab w:val="left" w:pos="851"/>
          <w:tab w:val="left" w:pos="993"/>
          <w:tab w:val="left" w:pos="1276"/>
        </w:tabs>
        <w:spacing w:line="276" w:lineRule="auto"/>
        <w:ind w:left="-142" w:hanging="142"/>
        <w:contextualSpacing/>
        <w:jc w:val="both"/>
        <w:rPr>
          <w:bCs/>
        </w:rPr>
      </w:pPr>
      <w:r w:rsidRPr="00102E8E">
        <w:rPr>
          <w:bCs/>
        </w:rPr>
        <w:t xml:space="preserve">Paslaugų prieinamumo atitikimo įvertinimas bus atliekamas nuolatos (reguliariai). </w:t>
      </w:r>
    </w:p>
    <w:p w14:paraId="626C0532" w14:textId="4CB7C1F8" w:rsidR="00102E8E" w:rsidRDefault="00102E8E" w:rsidP="002B49EA">
      <w:pPr>
        <w:numPr>
          <w:ilvl w:val="1"/>
          <w:numId w:val="2"/>
        </w:numPr>
        <w:tabs>
          <w:tab w:val="left" w:pos="426"/>
          <w:tab w:val="left" w:pos="851"/>
          <w:tab w:val="left" w:pos="993"/>
          <w:tab w:val="left" w:pos="1276"/>
        </w:tabs>
        <w:spacing w:line="276" w:lineRule="auto"/>
        <w:ind w:left="-142" w:hanging="142"/>
        <w:contextualSpacing/>
        <w:jc w:val="both"/>
      </w:pPr>
      <w:r w:rsidRPr="00102E8E">
        <w:t>Suteikiančioji institucija savarankiškai stebės, kaip Koncesininkas teikia Paslaugas, naudodama bet kokį metodą, kuris, Suteikiančiosios institucijos nuomone, yra tinkamas, įskaitant nurodytus žemiau (toliau - Stebėsenos metodai):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D06BC2" w:rsidRPr="00102E8E" w14:paraId="15DBB92C" w14:textId="77777777" w:rsidTr="00425A90">
        <w:trPr>
          <w:trHeight w:val="582"/>
        </w:trPr>
        <w:tc>
          <w:tcPr>
            <w:tcW w:w="9776" w:type="dxa"/>
            <w:shd w:val="clear" w:color="auto" w:fill="auto"/>
          </w:tcPr>
          <w:p w14:paraId="7C1A3E7A" w14:textId="77777777" w:rsidR="00D06BC2" w:rsidRPr="00102E8E" w:rsidRDefault="00D06BC2" w:rsidP="00425A90">
            <w:pPr>
              <w:tabs>
                <w:tab w:val="left" w:pos="426"/>
                <w:tab w:val="left" w:pos="851"/>
                <w:tab w:val="left" w:pos="993"/>
                <w:tab w:val="left" w:pos="1276"/>
              </w:tabs>
              <w:jc w:val="center"/>
              <w:rPr>
                <w:b/>
              </w:rPr>
            </w:pPr>
            <w:r w:rsidRPr="00102E8E">
              <w:rPr>
                <w:b/>
              </w:rPr>
              <w:t>Koncesininko veiklos stebėsenos metodas</w:t>
            </w:r>
          </w:p>
        </w:tc>
      </w:tr>
      <w:tr w:rsidR="00D06BC2" w:rsidRPr="00102E8E" w14:paraId="367E7EFD" w14:textId="77777777" w:rsidTr="00425A90">
        <w:trPr>
          <w:trHeight w:val="582"/>
        </w:trPr>
        <w:tc>
          <w:tcPr>
            <w:tcW w:w="9776" w:type="dxa"/>
            <w:shd w:val="clear" w:color="auto" w:fill="auto"/>
          </w:tcPr>
          <w:p w14:paraId="295B815C" w14:textId="77777777" w:rsidR="00D06BC2" w:rsidRPr="00102E8E" w:rsidRDefault="00D06BC2" w:rsidP="00425A90">
            <w:pPr>
              <w:tabs>
                <w:tab w:val="left" w:pos="426"/>
                <w:tab w:val="left" w:pos="851"/>
                <w:tab w:val="left" w:pos="993"/>
                <w:tab w:val="left" w:pos="1276"/>
              </w:tabs>
            </w:pPr>
            <w:r w:rsidRPr="00102E8E">
              <w:t>Stebėjimas (palyginimas), kaip atitinkama Specifikacijų reikalavimams bei procedūroms, standartams ir darbų planams</w:t>
            </w:r>
          </w:p>
        </w:tc>
      </w:tr>
      <w:tr w:rsidR="00D06BC2" w:rsidRPr="00102E8E" w14:paraId="3228B057" w14:textId="77777777" w:rsidTr="00425A90">
        <w:trPr>
          <w:trHeight w:val="347"/>
        </w:trPr>
        <w:tc>
          <w:tcPr>
            <w:tcW w:w="9776" w:type="dxa"/>
            <w:shd w:val="clear" w:color="auto" w:fill="auto"/>
          </w:tcPr>
          <w:p w14:paraId="2DDA7E36" w14:textId="77777777" w:rsidR="00D06BC2" w:rsidRPr="00102E8E" w:rsidRDefault="00D06BC2" w:rsidP="00425A90">
            <w:pPr>
              <w:tabs>
                <w:tab w:val="left" w:pos="426"/>
                <w:tab w:val="left" w:pos="851"/>
                <w:tab w:val="left" w:pos="993"/>
                <w:tab w:val="left" w:pos="1276"/>
              </w:tabs>
            </w:pPr>
            <w:r w:rsidRPr="00102E8E">
              <w:t>Koncesininko ir kitų naudojamų įrašų informacijos analizė</w:t>
            </w:r>
          </w:p>
        </w:tc>
      </w:tr>
      <w:tr w:rsidR="00D06BC2" w:rsidRPr="00102E8E" w14:paraId="0467AD21" w14:textId="77777777" w:rsidTr="00425A90">
        <w:trPr>
          <w:trHeight w:val="70"/>
        </w:trPr>
        <w:tc>
          <w:tcPr>
            <w:tcW w:w="9776" w:type="dxa"/>
            <w:shd w:val="clear" w:color="auto" w:fill="auto"/>
          </w:tcPr>
          <w:p w14:paraId="5E01C176" w14:textId="77777777" w:rsidR="00D06BC2" w:rsidRPr="00102E8E" w:rsidRDefault="00D06BC2" w:rsidP="00425A90">
            <w:pPr>
              <w:tabs>
                <w:tab w:val="left" w:pos="426"/>
                <w:tab w:val="left" w:pos="851"/>
                <w:tab w:val="left" w:pos="993"/>
                <w:tab w:val="left" w:pos="1276"/>
              </w:tabs>
            </w:pPr>
            <w:r w:rsidRPr="00102E8E">
              <w:t xml:space="preserve">Naudotojų pasitenkinimo tyrimas </w:t>
            </w:r>
          </w:p>
        </w:tc>
      </w:tr>
      <w:tr w:rsidR="00D06BC2" w:rsidRPr="00102E8E" w14:paraId="20D23C2A" w14:textId="77777777" w:rsidTr="00425A90">
        <w:trPr>
          <w:trHeight w:val="70"/>
        </w:trPr>
        <w:tc>
          <w:tcPr>
            <w:tcW w:w="9776" w:type="dxa"/>
            <w:shd w:val="clear" w:color="auto" w:fill="auto"/>
          </w:tcPr>
          <w:p w14:paraId="186975A0" w14:textId="77777777" w:rsidR="00D06BC2" w:rsidRPr="00102E8E" w:rsidRDefault="00D06BC2" w:rsidP="00425A90">
            <w:pPr>
              <w:tabs>
                <w:tab w:val="left" w:pos="426"/>
                <w:tab w:val="left" w:pos="851"/>
                <w:tab w:val="left" w:pos="993"/>
                <w:tab w:val="left" w:pos="1276"/>
              </w:tabs>
            </w:pPr>
            <w:r w:rsidRPr="00102E8E">
              <w:t>Auditas</w:t>
            </w:r>
          </w:p>
        </w:tc>
      </w:tr>
      <w:tr w:rsidR="00D06BC2" w:rsidRPr="00102E8E" w14:paraId="05F1B400" w14:textId="77777777" w:rsidTr="00425A90">
        <w:trPr>
          <w:trHeight w:val="70"/>
        </w:trPr>
        <w:tc>
          <w:tcPr>
            <w:tcW w:w="9776" w:type="dxa"/>
            <w:shd w:val="clear" w:color="auto" w:fill="auto"/>
          </w:tcPr>
          <w:p w14:paraId="3C5AE436" w14:textId="77777777" w:rsidR="00D06BC2" w:rsidRPr="00102E8E" w:rsidRDefault="00D06BC2" w:rsidP="00425A90">
            <w:pPr>
              <w:tabs>
                <w:tab w:val="left" w:pos="426"/>
                <w:tab w:val="left" w:pos="851"/>
                <w:tab w:val="left" w:pos="993"/>
                <w:tab w:val="left" w:pos="1276"/>
              </w:tabs>
            </w:pPr>
            <w:r w:rsidRPr="00102E8E">
              <w:t>Kitos tokio pobūdžio patikrinimams įprastai naudojamos priemonės</w:t>
            </w:r>
          </w:p>
        </w:tc>
      </w:tr>
    </w:tbl>
    <w:p w14:paraId="40992C66" w14:textId="4F490EB5" w:rsidR="00D06BC2" w:rsidRDefault="00D06BC2" w:rsidP="00D06BC2">
      <w:pPr>
        <w:tabs>
          <w:tab w:val="left" w:pos="426"/>
          <w:tab w:val="left" w:pos="851"/>
          <w:tab w:val="left" w:pos="993"/>
          <w:tab w:val="left" w:pos="1276"/>
        </w:tabs>
        <w:spacing w:line="276" w:lineRule="auto"/>
        <w:contextualSpacing/>
        <w:jc w:val="both"/>
      </w:pPr>
    </w:p>
    <w:p w14:paraId="40C624CC" w14:textId="4CB0A63A" w:rsidR="00D06BC2" w:rsidRPr="00001FFC" w:rsidRDefault="00D06BC2" w:rsidP="00D06BC2">
      <w:pPr>
        <w:tabs>
          <w:tab w:val="left" w:pos="426"/>
          <w:tab w:val="left" w:pos="851"/>
          <w:tab w:val="left" w:pos="993"/>
          <w:tab w:val="left" w:pos="1276"/>
        </w:tabs>
        <w:spacing w:line="276" w:lineRule="auto"/>
        <w:contextualSpacing/>
        <w:jc w:val="both"/>
      </w:pPr>
      <w:r w:rsidRPr="00001FFC">
        <w:t>1.6</w:t>
      </w:r>
      <w:r w:rsidR="00CD1279">
        <w:rPr>
          <w:lang w:val="lt-LT"/>
        </w:rPr>
        <w:t>.</w:t>
      </w:r>
      <w:r w:rsidRPr="00001FFC">
        <w:t xml:space="preserve"> </w:t>
      </w:r>
      <w:r w:rsidR="00001FFC">
        <w:t>A</w:t>
      </w:r>
      <w:r w:rsidR="00001FFC" w:rsidRPr="00001FFC">
        <w:t>uditai gali būti atliekami ne dažniau kaip kartą nustatytą terminą (ne dažniau kaip kartą per pusę metų), o patikrinimai dėl Paslaugų teikimo tinkamumo gali būti atliekami pagal Suteikiančiosios institucijos poreikius, t.y. nenustatant patikrų riboto periodiškumo</w:t>
      </w:r>
      <w:r w:rsidR="007265EA">
        <w:t>.</w:t>
      </w:r>
    </w:p>
    <w:p w14:paraId="3190877E" w14:textId="77777777" w:rsidR="00102E8E" w:rsidRPr="00102E8E" w:rsidRDefault="00102E8E" w:rsidP="000D025C">
      <w:pPr>
        <w:numPr>
          <w:ilvl w:val="0"/>
          <w:numId w:val="2"/>
        </w:numPr>
        <w:tabs>
          <w:tab w:val="left" w:pos="426"/>
          <w:tab w:val="left" w:pos="851"/>
          <w:tab w:val="left" w:pos="993"/>
          <w:tab w:val="left" w:pos="1276"/>
        </w:tabs>
        <w:spacing w:before="240" w:after="240"/>
        <w:ind w:left="357" w:right="709" w:firstLine="352"/>
        <w:jc w:val="center"/>
        <w:rPr>
          <w:b/>
        </w:rPr>
      </w:pPr>
      <w:r w:rsidRPr="00102E8E">
        <w:rPr>
          <w:b/>
        </w:rPr>
        <w:t>Ataskaitos</w:t>
      </w:r>
    </w:p>
    <w:p w14:paraId="7F1CEE89" w14:textId="52F444F6" w:rsidR="00102E8E" w:rsidRPr="00102E8E" w:rsidRDefault="00102E8E" w:rsidP="000D025C">
      <w:pPr>
        <w:tabs>
          <w:tab w:val="left" w:pos="426"/>
          <w:tab w:val="left" w:pos="851"/>
          <w:tab w:val="left" w:pos="993"/>
          <w:tab w:val="left" w:pos="1276"/>
        </w:tabs>
        <w:spacing w:line="276" w:lineRule="auto"/>
        <w:ind w:firstLine="709"/>
        <w:jc w:val="both"/>
      </w:pPr>
      <w:r w:rsidRPr="00102E8E">
        <w:t>Koncesininkas Suteikiančiajai institucijai turi pateikti elektronines šiame skyriuje nurodytų ataskaitų kopijas</w:t>
      </w:r>
      <w:r w:rsidR="000D025C">
        <w:t>.</w:t>
      </w:r>
    </w:p>
    <w:p w14:paraId="2C44464A" w14:textId="77777777" w:rsidR="00102E8E" w:rsidRPr="00102E8E" w:rsidRDefault="00102E8E" w:rsidP="000D025C">
      <w:pPr>
        <w:numPr>
          <w:ilvl w:val="1"/>
          <w:numId w:val="2"/>
        </w:numPr>
        <w:tabs>
          <w:tab w:val="left" w:pos="1276"/>
        </w:tabs>
        <w:spacing w:line="276" w:lineRule="auto"/>
        <w:ind w:left="0" w:right="3684" w:hanging="142"/>
        <w:contextualSpacing/>
        <w:jc w:val="center"/>
        <w:rPr>
          <w:b/>
        </w:rPr>
      </w:pPr>
      <w:r w:rsidRPr="00102E8E">
        <w:rPr>
          <w:b/>
        </w:rPr>
        <w:t>Mėnesinė veiklos ataskaita darbų laikotarpiu</w:t>
      </w:r>
    </w:p>
    <w:p w14:paraId="52496218" w14:textId="77777777" w:rsidR="00102E8E" w:rsidRPr="00102E8E" w:rsidRDefault="00102E8E" w:rsidP="007F5E7F">
      <w:pPr>
        <w:numPr>
          <w:ilvl w:val="2"/>
          <w:numId w:val="2"/>
        </w:numPr>
        <w:tabs>
          <w:tab w:val="left" w:pos="1276"/>
        </w:tabs>
        <w:spacing w:line="276" w:lineRule="auto"/>
        <w:ind w:left="-142" w:firstLine="0"/>
        <w:contextualSpacing/>
        <w:jc w:val="both"/>
      </w:pPr>
      <w:r w:rsidRPr="00102E8E">
        <w:t xml:space="preserve">Laikotarpiu nuo Sutarties sudarymo iki </w:t>
      </w:r>
      <w:r w:rsidRPr="00102E8E">
        <w:rPr>
          <w:szCs w:val="20"/>
        </w:rPr>
        <w:t xml:space="preserve">Sutartyje nustatyta tvarka atliekami Darbai bei gaunamas Suteikiančiosios </w:t>
      </w:r>
      <w:r w:rsidRPr="00102E8E">
        <w:rPr>
          <w:color w:val="000000"/>
          <w:szCs w:val="20"/>
        </w:rPr>
        <w:t xml:space="preserve">institucijos patvirtinimas dėl jų atitikimo Specifikacijai ir Pasiūlymui. </w:t>
      </w:r>
      <w:r w:rsidRPr="00102E8E">
        <w:t xml:space="preserve">Koncesininkas iki kiekvieno mėnesio 5 (penktos) darbo dienos turi pateikti Suteikiančiajai institucijai mėnesinę veiklos ataskaitą už praėjusį kalendorinį mėnesį. </w:t>
      </w:r>
      <w:bookmarkStart w:id="4" w:name="_Ref367436590"/>
      <w:r w:rsidRPr="00102E8E">
        <w:t>Mėnesinė ataskaita Darbų laikotarpiu turi apimti visus Darbų aspektus, įskaitant:</w:t>
      </w:r>
      <w:bookmarkEnd w:id="4"/>
    </w:p>
    <w:p w14:paraId="64450B0F" w14:textId="77777777" w:rsidR="00102E8E" w:rsidRPr="00102E8E" w:rsidRDefault="00102E8E" w:rsidP="007F5E7F">
      <w:pPr>
        <w:numPr>
          <w:ilvl w:val="3"/>
          <w:numId w:val="2"/>
        </w:numPr>
        <w:tabs>
          <w:tab w:val="left" w:pos="1276"/>
        </w:tabs>
        <w:spacing w:line="276" w:lineRule="auto"/>
        <w:ind w:left="-142" w:firstLine="0"/>
        <w:contextualSpacing/>
        <w:jc w:val="both"/>
      </w:pPr>
      <w:r w:rsidRPr="00102E8E">
        <w:t>Ataskaitą apie projektavimo darbų eigą, lyginant su planuota jų eiga ir Darbų vykdymo grafiku;</w:t>
      </w:r>
    </w:p>
    <w:p w14:paraId="47C61E35" w14:textId="77777777" w:rsidR="00102E8E" w:rsidRPr="00102E8E" w:rsidRDefault="00102E8E" w:rsidP="000D025C">
      <w:pPr>
        <w:numPr>
          <w:ilvl w:val="3"/>
          <w:numId w:val="2"/>
        </w:numPr>
        <w:tabs>
          <w:tab w:val="left" w:pos="1276"/>
        </w:tabs>
        <w:spacing w:line="276" w:lineRule="auto"/>
        <w:ind w:left="709" w:hanging="851"/>
        <w:contextualSpacing/>
        <w:jc w:val="both"/>
      </w:pPr>
      <w:r w:rsidRPr="00102E8E">
        <w:t>Ataskaitą apie Darbų eigą, lyginant su planuota jų eiga ir Darbų vykdymo grafiku;</w:t>
      </w:r>
    </w:p>
    <w:p w14:paraId="1681B657" w14:textId="77777777" w:rsidR="00102E8E" w:rsidRPr="00102E8E" w:rsidRDefault="00102E8E" w:rsidP="000D025C">
      <w:pPr>
        <w:numPr>
          <w:ilvl w:val="3"/>
          <w:numId w:val="2"/>
        </w:numPr>
        <w:tabs>
          <w:tab w:val="left" w:pos="1276"/>
        </w:tabs>
        <w:spacing w:line="276" w:lineRule="auto"/>
        <w:ind w:left="709" w:hanging="851"/>
        <w:contextualSpacing/>
        <w:jc w:val="both"/>
      </w:pPr>
      <w:r w:rsidRPr="00102E8E">
        <w:lastRenderedPageBreak/>
        <w:t>Ataskaitą apie tarpinių Darbų etapų eigą;</w:t>
      </w:r>
    </w:p>
    <w:p w14:paraId="093CEE57" w14:textId="77777777" w:rsidR="00102E8E" w:rsidRPr="00102E8E" w:rsidRDefault="00102E8E" w:rsidP="000D025C">
      <w:pPr>
        <w:numPr>
          <w:ilvl w:val="3"/>
          <w:numId w:val="2"/>
        </w:numPr>
        <w:tabs>
          <w:tab w:val="left" w:pos="1276"/>
        </w:tabs>
        <w:spacing w:line="276" w:lineRule="auto"/>
        <w:ind w:left="709" w:hanging="851"/>
        <w:contextualSpacing/>
        <w:jc w:val="both"/>
      </w:pPr>
      <w:r w:rsidRPr="00102E8E">
        <w:t>Faktinę atliktų Darbų vertę, palyginant su planuota atliktų Darbų verte;</w:t>
      </w:r>
    </w:p>
    <w:p w14:paraId="01904511"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Visus svarbesnius įvykius, turinčius įtakos Darbų atlikimo savalaikiškumui ir kokybei;</w:t>
      </w:r>
    </w:p>
    <w:p w14:paraId="16B65F44"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Visus esamus ar galimus nukrypimus nuo Sutarties reikalavimų, įskaitant visus taikomus reikalavimus Darbams ir Darbų vykdymo grafikui;</w:t>
      </w:r>
    </w:p>
    <w:p w14:paraId="6D716F1F"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Visas esančias ar numatomas pagrįstai galinčias kilti priežastis, dėl kurių gali kilti ginčas tarp Koncesininko ir Suteikiančiosios institucijos, nurodant priemones, kurių imtasi siekiant jas išspręsti;</w:t>
      </w:r>
    </w:p>
    <w:p w14:paraId="33C0DF2D"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Visus Sutarties pažeidimus;</w:t>
      </w:r>
    </w:p>
    <w:p w14:paraId="093E9A97"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Visus svarbius nesutarimus tarp Koncesininko, Darbus atliekančio Subtiekėjo (rangovo, projektuotojo, techninio prižiūrėtojo ir kitų už Darbų atlikimą atsakingų asmenų), galinčius turėti įtakos Darbų atlikimui;</w:t>
      </w:r>
    </w:p>
    <w:p w14:paraId="41BD5325" w14:textId="77777777" w:rsidR="00102E8E" w:rsidRPr="00102E8E" w:rsidRDefault="00102E8E" w:rsidP="009D73ED">
      <w:pPr>
        <w:numPr>
          <w:ilvl w:val="3"/>
          <w:numId w:val="2"/>
        </w:numPr>
        <w:tabs>
          <w:tab w:val="left" w:pos="1276"/>
        </w:tabs>
        <w:spacing w:line="276" w:lineRule="auto"/>
        <w:ind w:left="0" w:firstLine="0"/>
        <w:contextualSpacing/>
        <w:jc w:val="both"/>
      </w:pPr>
      <w:r w:rsidRPr="00102E8E">
        <w:t>Siūlomas priemones, kurių imsis Koncesininkas, siekiant išvengti priežasčių, dėl kurių gali kilti nukrypimas, pažeidimas ar neatitikimas Darbų reikalavimams, ar panaikinti tokias atsiradusias priežastis;</w:t>
      </w:r>
    </w:p>
    <w:p w14:paraId="172B8670" w14:textId="57CE9F39" w:rsidR="00102E8E" w:rsidRPr="00102E8E" w:rsidRDefault="00102E8E" w:rsidP="009D73ED">
      <w:pPr>
        <w:numPr>
          <w:ilvl w:val="3"/>
          <w:numId w:val="2"/>
        </w:numPr>
        <w:tabs>
          <w:tab w:val="left" w:pos="1276"/>
        </w:tabs>
        <w:spacing w:line="276" w:lineRule="auto"/>
        <w:ind w:left="0" w:firstLine="0"/>
        <w:contextualSpacing/>
        <w:jc w:val="both"/>
      </w:pPr>
      <w:r w:rsidRPr="00102E8E">
        <w:t xml:space="preserve">Datą, kada Koncesininkas planuoja užbaigti Darbus, kad </w:t>
      </w:r>
      <w:r w:rsidR="00080936">
        <w:t>Sporto objektas</w:t>
      </w:r>
      <w:r w:rsidRPr="00102E8E">
        <w:t xml:space="preserve"> būtų tinkamas saugiam Naudotojų naudojimui ir galėtų būti pradėtos tiekti Sutartyje numatytos Paslaugos;</w:t>
      </w:r>
    </w:p>
    <w:p w14:paraId="7BD141EA" w14:textId="77777777" w:rsidR="00102E8E" w:rsidRPr="00102E8E" w:rsidRDefault="00102E8E" w:rsidP="009D73ED">
      <w:pPr>
        <w:numPr>
          <w:ilvl w:val="2"/>
          <w:numId w:val="2"/>
        </w:numPr>
        <w:tabs>
          <w:tab w:val="left" w:pos="1276"/>
        </w:tabs>
        <w:spacing w:line="276" w:lineRule="auto"/>
        <w:ind w:left="0" w:firstLine="0"/>
        <w:contextualSpacing/>
        <w:jc w:val="both"/>
      </w:pPr>
      <w:r w:rsidRPr="00102E8E">
        <w:t>Ataskaita turi detalizuoti atliekamų Darbų būklę ir nurodyti, ar ji tenkina Specifikacijoje nustatytus veiklos reikalavimus.</w:t>
      </w:r>
    </w:p>
    <w:p w14:paraId="25DA95EF" w14:textId="77777777" w:rsidR="00102E8E" w:rsidRPr="00102E8E" w:rsidRDefault="00102E8E" w:rsidP="009D73ED">
      <w:pPr>
        <w:numPr>
          <w:ilvl w:val="2"/>
          <w:numId w:val="2"/>
        </w:numPr>
        <w:tabs>
          <w:tab w:val="left" w:pos="1276"/>
        </w:tabs>
        <w:spacing w:line="276" w:lineRule="auto"/>
        <w:ind w:left="0" w:firstLine="0"/>
        <w:contextualSpacing/>
        <w:jc w:val="both"/>
      </w:pPr>
      <w:r w:rsidRPr="00102E8E">
        <w:t>Koncesininkas turės teikti Suteikiančiajai institucijai ir kitas Suteikiančiosios institucijos pagrįstai reikalaujamas ataskaitas.</w:t>
      </w:r>
    </w:p>
    <w:p w14:paraId="4DB6C944" w14:textId="77777777" w:rsidR="00102E8E" w:rsidRPr="00102E8E" w:rsidRDefault="00102E8E" w:rsidP="009D73ED">
      <w:pPr>
        <w:numPr>
          <w:ilvl w:val="2"/>
          <w:numId w:val="2"/>
        </w:numPr>
        <w:tabs>
          <w:tab w:val="left" w:pos="1276"/>
        </w:tabs>
        <w:spacing w:line="276" w:lineRule="auto"/>
        <w:ind w:left="0" w:firstLine="0"/>
        <w:contextualSpacing/>
        <w:jc w:val="both"/>
      </w:pPr>
      <w:r w:rsidRPr="00102E8E">
        <w:t>Koncesininkas kartu turi parengti ir pateikti Suteikiančiajai institucijai Finansinio veiklos modelio įgyvendinimo ataskaitą, kurioje pateikiama (neapsiribojant) informacija apie atliktas investicijas, Darbus (kartu pateikiant sudarytas sutartis, pasirašytus Darbų priėmimo-perdavimo aktus, gautas bei apmokėtas sąskaitas), suteiktas Paslaugas ir kita Suteikiančiosios institucijos pagrįstai reikalaujama informacija bei dokumentai.</w:t>
      </w:r>
    </w:p>
    <w:p w14:paraId="4BBFBAD9" w14:textId="7ACA8D4D" w:rsidR="00102E8E" w:rsidRPr="00102E8E" w:rsidRDefault="00102E8E" w:rsidP="00BE3326">
      <w:pPr>
        <w:numPr>
          <w:ilvl w:val="1"/>
          <w:numId w:val="2"/>
        </w:numPr>
        <w:tabs>
          <w:tab w:val="left" w:pos="426"/>
          <w:tab w:val="left" w:pos="851"/>
          <w:tab w:val="left" w:pos="993"/>
          <w:tab w:val="left" w:pos="1276"/>
        </w:tabs>
        <w:spacing w:before="240" w:after="240"/>
        <w:ind w:left="504" w:right="3119" w:hanging="646"/>
        <w:jc w:val="center"/>
        <w:rPr>
          <w:b/>
        </w:rPr>
      </w:pPr>
      <w:bookmarkStart w:id="5" w:name="_Toc369174003"/>
      <w:r w:rsidRPr="00102E8E">
        <w:rPr>
          <w:b/>
        </w:rPr>
        <w:t xml:space="preserve"> Mėnesinė veiklos ataskaita </w:t>
      </w:r>
      <w:r w:rsidR="00EB7C72">
        <w:rPr>
          <w:b/>
        </w:rPr>
        <w:t>P</w:t>
      </w:r>
      <w:r w:rsidRPr="00102E8E">
        <w:rPr>
          <w:b/>
        </w:rPr>
        <w:t>aslaugų teikimo laikotarpiu</w:t>
      </w:r>
      <w:bookmarkEnd w:id="5"/>
    </w:p>
    <w:p w14:paraId="04A9EE8E" w14:textId="48A970BC" w:rsidR="00102E8E" w:rsidRPr="00102E8E" w:rsidRDefault="00CD1279" w:rsidP="004C3751">
      <w:pPr>
        <w:numPr>
          <w:ilvl w:val="2"/>
          <w:numId w:val="2"/>
        </w:numPr>
        <w:tabs>
          <w:tab w:val="left" w:pos="426"/>
          <w:tab w:val="left" w:pos="851"/>
          <w:tab w:val="left" w:pos="1276"/>
        </w:tabs>
        <w:spacing w:line="276" w:lineRule="auto"/>
        <w:ind w:left="0" w:firstLine="0"/>
        <w:contextualSpacing/>
        <w:jc w:val="both"/>
      </w:pPr>
      <w:r w:rsidRPr="00102E8E">
        <w:t xml:space="preserve">Ne vėliau kaip per </w:t>
      </w:r>
      <w:r>
        <w:t>1</w:t>
      </w:r>
      <w:r w:rsidRPr="00102E8E">
        <w:t xml:space="preserve">0 (dešimt) </w:t>
      </w:r>
      <w:r>
        <w:rPr>
          <w:lang w:val="lt-LT"/>
        </w:rPr>
        <w:t xml:space="preserve">Darbo </w:t>
      </w:r>
      <w:r w:rsidRPr="00102E8E">
        <w:t xml:space="preserve">dienų </w:t>
      </w:r>
      <w:r>
        <w:rPr>
          <w:lang w:val="lt-LT"/>
        </w:rPr>
        <w:t xml:space="preserve">po kiekvieno Paslaugų teikimo mėnesio dienos Koncesininkas turi pateikti Suteikiančiajai institucijai mėnesinę veiklos ataskaitą. </w:t>
      </w:r>
      <w:r w:rsidR="00102E8E" w:rsidRPr="00102E8E">
        <w:t>Mėnesinė veiklos ataskaita Paslaugų teikimo laikotarpiu turi apimti pakankamo kiekio ir turinio informaciją, kad Suteikiančioji institucija šiame Sutarties priede pateiktoje mokamos mėnesinės Atlygio dalies apskaičiavimo tvarkoje nustatytais veiksmais galėtų apskaičiuoti už atitinkamą mėnesį mokėtiną Atlygio sumą, įskaitant tokią informaciją:</w:t>
      </w:r>
    </w:p>
    <w:p w14:paraId="06316647" w14:textId="77777777" w:rsidR="00102E8E" w:rsidRPr="00102E8E" w:rsidRDefault="00102E8E" w:rsidP="004C3751">
      <w:pPr>
        <w:numPr>
          <w:ilvl w:val="2"/>
          <w:numId w:val="2"/>
        </w:numPr>
        <w:tabs>
          <w:tab w:val="left" w:pos="426"/>
          <w:tab w:val="left" w:pos="851"/>
          <w:tab w:val="left" w:pos="1276"/>
        </w:tabs>
        <w:spacing w:line="276" w:lineRule="auto"/>
        <w:ind w:left="0" w:firstLine="0"/>
        <w:contextualSpacing/>
        <w:jc w:val="both"/>
      </w:pPr>
      <w:r w:rsidRPr="00102E8E">
        <w:t>Visus Paslaugų prieinamumo, kokybės, atskaitomybės  ir valdymo pažeidimus, įskaitant:</w:t>
      </w:r>
    </w:p>
    <w:p w14:paraId="302D571C" w14:textId="77777777" w:rsidR="00102E8E" w:rsidRPr="00102E8E" w:rsidRDefault="00102E8E" w:rsidP="004C3751">
      <w:pPr>
        <w:numPr>
          <w:ilvl w:val="3"/>
          <w:numId w:val="2"/>
        </w:numPr>
        <w:tabs>
          <w:tab w:val="left" w:pos="426"/>
          <w:tab w:val="left" w:pos="851"/>
          <w:tab w:val="left" w:pos="1276"/>
        </w:tabs>
        <w:spacing w:line="276" w:lineRule="auto"/>
        <w:ind w:left="0" w:firstLine="0"/>
        <w:contextualSpacing/>
        <w:jc w:val="both"/>
      </w:pPr>
      <w:r w:rsidRPr="00102E8E">
        <w:t>Prieinamumo pažeidimų skaičių ir jų trukmę;</w:t>
      </w:r>
    </w:p>
    <w:p w14:paraId="5673922E" w14:textId="77777777" w:rsidR="00102E8E" w:rsidRPr="00102E8E" w:rsidRDefault="00102E8E" w:rsidP="004C3751">
      <w:pPr>
        <w:numPr>
          <w:ilvl w:val="3"/>
          <w:numId w:val="2"/>
        </w:numPr>
        <w:tabs>
          <w:tab w:val="left" w:pos="426"/>
          <w:tab w:val="left" w:pos="851"/>
          <w:tab w:val="left" w:pos="1276"/>
        </w:tabs>
        <w:spacing w:line="276" w:lineRule="auto"/>
        <w:ind w:left="0" w:firstLine="0"/>
        <w:contextualSpacing/>
        <w:jc w:val="both"/>
      </w:pPr>
      <w:r w:rsidRPr="00102E8E">
        <w:t>Kokybės pažeidimų skaičių ir jų trukmę;</w:t>
      </w:r>
    </w:p>
    <w:p w14:paraId="2ABBD3B7" w14:textId="77777777" w:rsidR="00102E8E" w:rsidRPr="00102E8E" w:rsidRDefault="00102E8E" w:rsidP="004C3751">
      <w:pPr>
        <w:numPr>
          <w:ilvl w:val="3"/>
          <w:numId w:val="2"/>
        </w:numPr>
        <w:tabs>
          <w:tab w:val="left" w:pos="426"/>
          <w:tab w:val="left" w:pos="851"/>
          <w:tab w:val="left" w:pos="1276"/>
        </w:tabs>
        <w:spacing w:line="276" w:lineRule="auto"/>
        <w:ind w:left="0" w:firstLine="0"/>
        <w:contextualSpacing/>
        <w:jc w:val="both"/>
      </w:pPr>
      <w:r w:rsidRPr="00102E8E">
        <w:t>Atskaitomybės ir valdymo pažeidimų skaičių ir jų trukmę;</w:t>
      </w:r>
    </w:p>
    <w:p w14:paraId="02B5E7A1" w14:textId="77777777" w:rsidR="00102E8E" w:rsidRPr="00102E8E" w:rsidRDefault="00102E8E" w:rsidP="004C3751">
      <w:pPr>
        <w:numPr>
          <w:ilvl w:val="3"/>
          <w:numId w:val="2"/>
        </w:numPr>
        <w:tabs>
          <w:tab w:val="left" w:pos="426"/>
          <w:tab w:val="left" w:pos="851"/>
          <w:tab w:val="left" w:pos="1276"/>
        </w:tabs>
        <w:spacing w:line="276" w:lineRule="auto"/>
        <w:ind w:left="0" w:firstLine="0"/>
        <w:contextualSpacing/>
        <w:jc w:val="both"/>
      </w:pPr>
      <w:r w:rsidRPr="00102E8E">
        <w:t>Informaciją apie kiekvieną pažeidimą:</w:t>
      </w:r>
    </w:p>
    <w:p w14:paraId="1783BE4B"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Patalpa, kurioje fiksuotas pažeidimas;</w:t>
      </w:r>
    </w:p>
    <w:p w14:paraId="3427FC92"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pažeidimo data ir laikas;</w:t>
      </w:r>
    </w:p>
    <w:p w14:paraId="7D1135CB"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Reakcijos į pažeidimą data ir laikas;</w:t>
      </w:r>
    </w:p>
    <w:p w14:paraId="184994E6"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Ištaisymo data ir laikas;</w:t>
      </w:r>
    </w:p>
    <w:p w14:paraId="59E2019D"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lastRenderedPageBreak/>
        <w:t>Koncesininko apskaičiuotos išskaitos pagal šiame Sutarties priede pateiktą mechanizmą;</w:t>
      </w:r>
    </w:p>
    <w:p w14:paraId="4E64B781"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Bet kokios švelninančios aplinkybės, į kurias Suteikiančioji institucija, Koncesininko nuomone, turėtų atkreipti dėmesį.</w:t>
      </w:r>
    </w:p>
    <w:p w14:paraId="08E0B70B" w14:textId="3AB0F23A"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 xml:space="preserve">Išsamų visų Paslaugų pažeidimų ir saugumo incidentų aprašymą </w:t>
      </w:r>
      <w:r w:rsidR="00D43B2A">
        <w:t>Sporto objekte</w:t>
      </w:r>
      <w:r w:rsidRPr="00102E8E">
        <w:t xml:space="preserve"> atitinkamą mėnesį;</w:t>
      </w:r>
    </w:p>
    <w:p w14:paraId="2FDAD90B" w14:textId="0F1DA865"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 xml:space="preserve">Išsamų visų nelaimingų atsitikimų aprašymą </w:t>
      </w:r>
      <w:r w:rsidR="00D43B2A">
        <w:t>Sporto objekte</w:t>
      </w:r>
      <w:r w:rsidRPr="00102E8E" w:rsidDel="008C55F9">
        <w:t xml:space="preserve"> </w:t>
      </w:r>
      <w:r w:rsidRPr="00102E8E">
        <w:t>atitinkamą mėnesį;</w:t>
      </w:r>
    </w:p>
    <w:p w14:paraId="79C54FBD" w14:textId="46F13183"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 xml:space="preserve">Gautų klientų skundų, susijusių su Paslaugų teikimu </w:t>
      </w:r>
      <w:r w:rsidR="00D43B2A">
        <w:t>Sporto objekte</w:t>
      </w:r>
      <w:r w:rsidRPr="00102E8E">
        <w:t xml:space="preserve"> skaičių ir pobūdį;</w:t>
      </w:r>
    </w:p>
    <w:p w14:paraId="2190F036" w14:textId="77777777" w:rsidR="00102E8E" w:rsidRPr="00102E8E" w:rsidRDefault="00102E8E" w:rsidP="004C3751">
      <w:pPr>
        <w:numPr>
          <w:ilvl w:val="4"/>
          <w:numId w:val="2"/>
        </w:numPr>
        <w:tabs>
          <w:tab w:val="left" w:pos="426"/>
          <w:tab w:val="left" w:pos="851"/>
          <w:tab w:val="left" w:pos="1276"/>
        </w:tabs>
        <w:spacing w:line="276" w:lineRule="auto"/>
        <w:ind w:left="0" w:firstLine="0"/>
        <w:contextualSpacing/>
        <w:jc w:val="both"/>
      </w:pPr>
      <w:r w:rsidRPr="00102E8E">
        <w:t>Kitus klausimus, kurių reikalavimus gali nustatyti Specifikacija, Sutartis arba kurie gali būti sutarti su Valdžios subjektu.</w:t>
      </w:r>
    </w:p>
    <w:bookmarkEnd w:id="3"/>
    <w:p w14:paraId="757185BB" w14:textId="77777777" w:rsidR="00102E8E" w:rsidRPr="00102E8E" w:rsidRDefault="00102E8E" w:rsidP="00F3472F">
      <w:pPr>
        <w:numPr>
          <w:ilvl w:val="1"/>
          <w:numId w:val="2"/>
        </w:numPr>
        <w:tabs>
          <w:tab w:val="left" w:pos="851"/>
          <w:tab w:val="left" w:pos="993"/>
          <w:tab w:val="left" w:pos="1276"/>
        </w:tabs>
        <w:spacing w:before="240" w:after="240"/>
        <w:ind w:left="0" w:right="6095" w:firstLine="0"/>
        <w:jc w:val="center"/>
        <w:rPr>
          <w:b/>
        </w:rPr>
      </w:pPr>
      <w:r w:rsidRPr="00102E8E">
        <w:rPr>
          <w:b/>
        </w:rPr>
        <w:t xml:space="preserve"> Metinė veiklos ataskaita</w:t>
      </w:r>
    </w:p>
    <w:p w14:paraId="4E3B81F7" w14:textId="4CEB5A9C" w:rsidR="00102E8E" w:rsidRPr="00102E8E" w:rsidRDefault="00102E8E" w:rsidP="00267843">
      <w:pPr>
        <w:numPr>
          <w:ilvl w:val="2"/>
          <w:numId w:val="2"/>
        </w:numPr>
        <w:tabs>
          <w:tab w:val="left" w:pos="426"/>
          <w:tab w:val="left" w:pos="851"/>
          <w:tab w:val="left" w:pos="1276"/>
        </w:tabs>
        <w:spacing w:line="276" w:lineRule="auto"/>
        <w:ind w:left="0" w:firstLine="0"/>
        <w:contextualSpacing/>
        <w:jc w:val="both"/>
      </w:pPr>
      <w:r w:rsidRPr="00102E8E">
        <w:t xml:space="preserve">Ne vėliau kaip per </w:t>
      </w:r>
      <w:r w:rsidR="00CD1279">
        <w:t>1</w:t>
      </w:r>
      <w:r w:rsidRPr="00102E8E">
        <w:t xml:space="preserve">0 (dešimt) </w:t>
      </w:r>
      <w:r w:rsidR="00CD1279">
        <w:rPr>
          <w:lang w:val="lt-LT"/>
        </w:rPr>
        <w:t xml:space="preserve">Darbo </w:t>
      </w:r>
      <w:r w:rsidRPr="00102E8E">
        <w:t xml:space="preserve">dienų po kiekvienų Sutarties vykdymo metų pabaigos, arba kitais atvejais, to pagrįstai pareikalavus Suteikiančiajai institucijai, Koncesininkas turi parengti ir pateikti Suteikiančiajai institucijai Metinę veiklos ataskaitą apie </w:t>
      </w:r>
      <w:r w:rsidR="00F3472F">
        <w:t>Sporto objekto</w:t>
      </w:r>
      <w:r w:rsidRPr="00102E8E" w:rsidDel="008C55F9">
        <w:t xml:space="preserve"> </w:t>
      </w:r>
      <w:r w:rsidRPr="00102E8E">
        <w:t>veiklą, įskaitant:</w:t>
      </w:r>
    </w:p>
    <w:p w14:paraId="5BF5B540"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Ataskaitą apie Koncesininko veiklą atitinkamais Sutarties vykdymo metais bei paaiškinimus ir</w:t>
      </w:r>
    </w:p>
    <w:p w14:paraId="7C372DE4"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Informaciją apie atitinkamų metų veiklos tikslus einamiesiems metams, detalizuojant, kaip:</w:t>
      </w:r>
    </w:p>
    <w:p w14:paraId="6BE87544" w14:textId="77777777" w:rsidR="00102E8E" w:rsidRPr="00102E8E" w:rsidRDefault="00102E8E" w:rsidP="00267843">
      <w:pPr>
        <w:numPr>
          <w:ilvl w:val="4"/>
          <w:numId w:val="2"/>
        </w:numPr>
        <w:tabs>
          <w:tab w:val="left" w:pos="426"/>
          <w:tab w:val="left" w:pos="851"/>
          <w:tab w:val="left" w:pos="1276"/>
        </w:tabs>
        <w:spacing w:line="276" w:lineRule="auto"/>
        <w:ind w:left="0" w:firstLine="0"/>
        <w:contextualSpacing/>
        <w:jc w:val="both"/>
      </w:pPr>
      <w:r w:rsidRPr="00102E8E">
        <w:t>bus pasiekti tų metų veiklos tikslai;</w:t>
      </w:r>
    </w:p>
    <w:p w14:paraId="4FE7B234" w14:textId="58123D15" w:rsidR="00102E8E" w:rsidRPr="00102E8E" w:rsidRDefault="00102E8E" w:rsidP="00267843">
      <w:pPr>
        <w:numPr>
          <w:ilvl w:val="4"/>
          <w:numId w:val="2"/>
        </w:numPr>
        <w:tabs>
          <w:tab w:val="left" w:pos="426"/>
          <w:tab w:val="left" w:pos="851"/>
          <w:tab w:val="left" w:pos="1276"/>
        </w:tabs>
        <w:spacing w:line="276" w:lineRule="auto"/>
        <w:ind w:left="0" w:firstLine="0"/>
        <w:contextualSpacing/>
        <w:jc w:val="both"/>
      </w:pPr>
      <w:r w:rsidRPr="00102E8E">
        <w:t>bus pašalinti bet kokie ankstesni trukdžiai pasiekti atitinkamų metų tikslus</w:t>
      </w:r>
      <w:r w:rsidR="009738E8">
        <w:t>.</w:t>
      </w:r>
    </w:p>
    <w:p w14:paraId="06AC6284"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Saugumo incidentų statistiką;</w:t>
      </w:r>
    </w:p>
    <w:p w14:paraId="1E4C0B77"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Nelaimingų atsitikimų, kurių metu buvo sužeisti žmonės, statistiką, apimančią sunkius sužalojimus;</w:t>
      </w:r>
    </w:p>
    <w:p w14:paraId="66609FD5" w14:textId="753AD912"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 xml:space="preserve">Informaciją apie planuojamus laikotarpius, kai </w:t>
      </w:r>
      <w:r w:rsidR="000C2CC4">
        <w:t>S</w:t>
      </w:r>
      <w:r w:rsidR="009738E8">
        <w:t>porto</w:t>
      </w:r>
      <w:r w:rsidR="000C2CC4">
        <w:t xml:space="preserve"> objektas</w:t>
      </w:r>
      <w:r w:rsidRPr="00102E8E" w:rsidDel="008C55F9">
        <w:t xml:space="preserve"> </w:t>
      </w:r>
      <w:r w:rsidRPr="00102E8E">
        <w:t>nebus prieinamas;</w:t>
      </w:r>
    </w:p>
    <w:p w14:paraId="23E092C9"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 xml:space="preserve"> Kitą Suteikiančiosios institucijos pagrįstai pareikalautą informaciją.</w:t>
      </w:r>
    </w:p>
    <w:p w14:paraId="796BEBC7" w14:textId="77777777"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Suteikiančioji institucija turi teisę įtraukti ataskaitas ar jų dalį į bet kokią kasmetinę ar kitokią ataskaitą, viešai paskelbiamą Suteikiančiosios institucijos.</w:t>
      </w:r>
    </w:p>
    <w:p w14:paraId="3C412B6D" w14:textId="24FBA56F" w:rsidR="00102E8E" w:rsidRPr="00102E8E" w:rsidRDefault="00102E8E" w:rsidP="00267843">
      <w:pPr>
        <w:numPr>
          <w:ilvl w:val="3"/>
          <w:numId w:val="2"/>
        </w:numPr>
        <w:tabs>
          <w:tab w:val="left" w:pos="426"/>
          <w:tab w:val="left" w:pos="851"/>
          <w:tab w:val="left" w:pos="1276"/>
        </w:tabs>
        <w:spacing w:line="276" w:lineRule="auto"/>
        <w:ind w:left="0" w:firstLine="0"/>
        <w:contextualSpacing/>
        <w:jc w:val="both"/>
      </w:pPr>
      <w:r w:rsidRPr="00102E8E">
        <w:t xml:space="preserve">Jeigu Suteikiančioji institucija pagrįstai mano, jog Koncesininkas netinkamai vykdo Sutartyje nustatytus įsipareigojimus, Suteikiančioji institucija pati ar pasitelkęs trečiuosius asmenis turi teisę atlikti </w:t>
      </w:r>
      <w:r w:rsidR="000C2CC4">
        <w:t>Sporto objekto</w:t>
      </w:r>
      <w:r w:rsidRPr="00102E8E">
        <w:t xml:space="preserve"> bei Paslaugų patikrinimą ar auditą. Šia teise Suteikiančioji institucija gali naudotis </w:t>
      </w:r>
      <w:bookmarkStart w:id="6" w:name="_Toc369279841"/>
      <w:bookmarkEnd w:id="2"/>
      <w:bookmarkEnd w:id="6"/>
      <w:r w:rsidR="00CD1279">
        <w:rPr>
          <w:lang w:val="lt-LT"/>
        </w:rPr>
        <w:t>šio priedo 1.6. punkte numatytu periodiškumu.</w:t>
      </w:r>
    </w:p>
    <w:p w14:paraId="4B0E6B30" w14:textId="77777777" w:rsidR="00102E8E" w:rsidRPr="00102E8E" w:rsidRDefault="00102E8E" w:rsidP="00D35D33">
      <w:pPr>
        <w:numPr>
          <w:ilvl w:val="0"/>
          <w:numId w:val="2"/>
        </w:numPr>
        <w:tabs>
          <w:tab w:val="left" w:pos="426"/>
          <w:tab w:val="left" w:pos="851"/>
          <w:tab w:val="left" w:pos="993"/>
          <w:tab w:val="left" w:pos="1276"/>
        </w:tabs>
        <w:spacing w:before="240" w:after="240" w:line="360" w:lineRule="auto"/>
        <w:ind w:left="357" w:right="5669" w:hanging="357"/>
        <w:jc w:val="center"/>
        <w:rPr>
          <w:b/>
        </w:rPr>
      </w:pPr>
      <w:r w:rsidRPr="00102E8E">
        <w:rPr>
          <w:b/>
        </w:rPr>
        <w:t>Atlygio mokėjimas ir indeksavimas</w:t>
      </w:r>
    </w:p>
    <w:p w14:paraId="0332DE71" w14:textId="23F89B94" w:rsidR="00102E8E" w:rsidRPr="00102E8E" w:rsidRDefault="00102E8E" w:rsidP="00D35D33">
      <w:pPr>
        <w:numPr>
          <w:ilvl w:val="1"/>
          <w:numId w:val="2"/>
        </w:numPr>
        <w:tabs>
          <w:tab w:val="left" w:pos="0"/>
          <w:tab w:val="left" w:pos="851"/>
          <w:tab w:val="left" w:pos="993"/>
          <w:tab w:val="left" w:pos="1276"/>
        </w:tabs>
        <w:spacing w:after="120" w:line="276" w:lineRule="auto"/>
        <w:ind w:left="0" w:firstLine="0"/>
        <w:contextualSpacing/>
        <w:jc w:val="both"/>
      </w:pPr>
      <w:r w:rsidRPr="00102E8E">
        <w:t>Suteikiančioji institucija Atlygį Koncesininkui pradeda mokėti tik po to, kai pradedamos teikti Paslaugos</w:t>
      </w:r>
      <w:r w:rsidR="00005455">
        <w:t xml:space="preserve"> Baseine</w:t>
      </w:r>
      <w:r w:rsidRPr="00102E8E">
        <w:t>.</w:t>
      </w:r>
    </w:p>
    <w:p w14:paraId="0E488EE7" w14:textId="5023DA3B" w:rsidR="00102E8E" w:rsidRPr="00102E8E" w:rsidRDefault="00102E8E" w:rsidP="00D35D33">
      <w:pPr>
        <w:numPr>
          <w:ilvl w:val="1"/>
          <w:numId w:val="2"/>
        </w:numPr>
        <w:tabs>
          <w:tab w:val="left" w:pos="0"/>
          <w:tab w:val="left" w:pos="851"/>
          <w:tab w:val="left" w:pos="993"/>
          <w:tab w:val="left" w:pos="1276"/>
        </w:tabs>
        <w:spacing w:after="120" w:line="276" w:lineRule="auto"/>
        <w:ind w:left="0" w:firstLine="0"/>
        <w:contextualSpacing/>
        <w:jc w:val="both"/>
      </w:pPr>
      <w:r w:rsidRPr="00102E8E">
        <w:t xml:space="preserve">Jeigu faktinė Paslaugų teikimo pradžios data yra vėlesnė už Sutartyje nurodytą </w:t>
      </w:r>
      <w:r w:rsidR="00CC405F">
        <w:t xml:space="preserve">Darbų </w:t>
      </w:r>
      <w:r w:rsidRPr="00102E8E">
        <w:t xml:space="preserve">laikotarpio pabaigą dėl Suteikiančiosios institucijos kaltės ar jai Sutartimi priskirtos rizikos realizavimosi, tuomet laikotarpiu nuo Sutartyje nurodytos </w:t>
      </w:r>
      <w:r w:rsidR="00BB1CE9">
        <w:t xml:space="preserve">Darbų atlikimo </w:t>
      </w:r>
      <w:r w:rsidRPr="00102E8E">
        <w:t xml:space="preserve">laikotarpio pabaigos iki faktinės Paslaugų teikimo pradžios </w:t>
      </w:r>
      <w:r w:rsidR="00005455">
        <w:t xml:space="preserve">atitinkame objekte </w:t>
      </w:r>
      <w:r w:rsidRPr="00102E8E">
        <w:t xml:space="preserve">Koncesininkui taikytinos Atleidimo atvejį ir Kompensavimo įvykį reglamentuojančios Sutarties nuostatos; </w:t>
      </w:r>
    </w:p>
    <w:p w14:paraId="109EDDF5" w14:textId="7C365623" w:rsidR="00102E8E" w:rsidRPr="00102E8E" w:rsidRDefault="00102E8E" w:rsidP="00D35D33">
      <w:pPr>
        <w:numPr>
          <w:ilvl w:val="1"/>
          <w:numId w:val="2"/>
        </w:numPr>
        <w:tabs>
          <w:tab w:val="left" w:pos="0"/>
          <w:tab w:val="left" w:pos="851"/>
          <w:tab w:val="left" w:pos="993"/>
          <w:tab w:val="left" w:pos="1276"/>
        </w:tabs>
        <w:spacing w:after="120" w:line="276" w:lineRule="auto"/>
        <w:ind w:left="0" w:firstLine="0"/>
        <w:contextualSpacing/>
        <w:jc w:val="both"/>
      </w:pPr>
      <w:r w:rsidRPr="00102E8E">
        <w:t xml:space="preserve">Jeigu faktinė Paslaugų teikimo pradžios data yra vėlesnė už Sutartyje nurodytą </w:t>
      </w:r>
      <w:r w:rsidR="00886C38">
        <w:t>Darbų</w:t>
      </w:r>
      <w:r w:rsidRPr="00102E8E">
        <w:t xml:space="preserve"> sukūrimo laikotarpio pabaigą dėl Investuotojo/Koncesininko kaltės ar dėl jam/jiems Sutartimi priskirtos rizikos realizavimosi, tuomet Koncesininkui nuo Sutartyje nurodytos </w:t>
      </w:r>
      <w:r w:rsidR="00886C38">
        <w:t>Darbų</w:t>
      </w:r>
      <w:r w:rsidRPr="00102E8E">
        <w:t xml:space="preserve"> laikotarpio </w:t>
      </w:r>
      <w:r w:rsidRPr="00102E8E">
        <w:lastRenderedPageBreak/>
        <w:t>pabaigos iki faktinės Paslaugų teikimo pradžios datos Atlygis nėra mokamas, taip pat sprendžiamas sutartinės atsakomybės už netinkamą Sutarties vykdymą klausimas.</w:t>
      </w:r>
    </w:p>
    <w:p w14:paraId="39B5AFA9" w14:textId="77777777" w:rsidR="00102E8E" w:rsidRPr="00102E8E" w:rsidRDefault="00102E8E" w:rsidP="00D35D33">
      <w:pPr>
        <w:numPr>
          <w:ilvl w:val="1"/>
          <w:numId w:val="2"/>
        </w:numPr>
        <w:tabs>
          <w:tab w:val="left" w:pos="0"/>
          <w:tab w:val="left" w:pos="851"/>
          <w:tab w:val="left" w:pos="993"/>
          <w:tab w:val="left" w:pos="1276"/>
        </w:tabs>
        <w:spacing w:after="120" w:line="276" w:lineRule="auto"/>
        <w:ind w:left="0" w:firstLine="0"/>
        <w:contextualSpacing/>
        <w:jc w:val="both"/>
      </w:pPr>
      <w:r w:rsidRPr="00102E8E">
        <w:t xml:space="preserve">Atlygio mėnesiniai mokėjimai atliekami kas mėnesį šiame Sutarties priede nustatyta tvarka Koncesininkui pateikus PVM sąskaitą – faktūrą. PVM sąskaitoje-faktūroje Atlygio suma turi būti detalizuota atsižvelgiant į Lietuvos Respublikos finansų ministro 2012 m. gruodžio 20 d. įsakymu Nr. 1K-435 „Dėl viešojo sektoriaus apskaitos ir finansinės atskaitomybės 27-ojo standarto patvirtinimo“ patvirtinto </w:t>
      </w:r>
      <w:r w:rsidRPr="00102E8E">
        <w:rPr>
          <w:color w:val="000000"/>
        </w:rPr>
        <w:t>27-ojo viešojo sektoriaus apskaitos ir finansinės atskaitomybės standarto „Koncesijos ir valdžios ir privataus subjektų partnerystės sutartys“ 21 punktą.</w:t>
      </w:r>
    </w:p>
    <w:p w14:paraId="0A20ADF4" w14:textId="77777777" w:rsidR="00102E8E" w:rsidRPr="00102E8E" w:rsidRDefault="00102E8E" w:rsidP="00D35D33">
      <w:pPr>
        <w:numPr>
          <w:ilvl w:val="1"/>
          <w:numId w:val="2"/>
        </w:numPr>
        <w:tabs>
          <w:tab w:val="left" w:pos="0"/>
          <w:tab w:val="left" w:pos="851"/>
          <w:tab w:val="left" w:pos="993"/>
          <w:tab w:val="left" w:pos="1276"/>
        </w:tabs>
        <w:spacing w:line="276" w:lineRule="auto"/>
        <w:ind w:left="0" w:firstLine="0"/>
        <w:contextualSpacing/>
        <w:jc w:val="both"/>
      </w:pPr>
      <w:r w:rsidRPr="00102E8E">
        <w:t>PVM sąskaita-faktūra už praeitą kalendorinį mėnesį, kurį buvo teikiamos Paslaugos, Koncesininko turi būti išrašoma iki einamojo kalendorinio mėnesio 5 dienos. Jeigu einamojo kalendorinio mėnesio 5 diena yra nedarbo diena, PVM sąskaitos-faktūros išrašymo terminas yra pirma darbo diena po einamojo kalendorinio mėnesio 5 dienos.</w:t>
      </w:r>
    </w:p>
    <w:p w14:paraId="22BE2F07" w14:textId="77777777" w:rsidR="00102E8E" w:rsidRPr="00102E8E" w:rsidRDefault="00102E8E" w:rsidP="00D35D33">
      <w:pPr>
        <w:numPr>
          <w:ilvl w:val="1"/>
          <w:numId w:val="2"/>
        </w:numPr>
        <w:tabs>
          <w:tab w:val="left" w:pos="0"/>
          <w:tab w:val="left" w:pos="851"/>
          <w:tab w:val="left" w:pos="993"/>
          <w:tab w:val="left" w:pos="1276"/>
        </w:tabs>
        <w:spacing w:line="276" w:lineRule="auto"/>
        <w:ind w:left="0" w:firstLine="0"/>
        <w:contextualSpacing/>
        <w:jc w:val="both"/>
      </w:pPr>
      <w:r w:rsidRPr="00102E8E">
        <w:t xml:space="preserve">PVM sąskaita faktūra Suteikiančiosios institucijos patikrinama ir apmokama per 20 dienų nuo jos gavimo dienos arba per 10 dienų pateikiamas raštiškas atsisakymas ją apmokėti ir nurodomos to priežastys (pvz. nurodyta neteisinga suma, įtrauktos papildomos paslaugos ir pan.). </w:t>
      </w:r>
    </w:p>
    <w:p w14:paraId="751EDAA9" w14:textId="77777777" w:rsidR="00102E8E" w:rsidRPr="00102E8E" w:rsidRDefault="00102E8E" w:rsidP="00D35D33">
      <w:pPr>
        <w:numPr>
          <w:ilvl w:val="1"/>
          <w:numId w:val="2"/>
        </w:numPr>
        <w:tabs>
          <w:tab w:val="left" w:pos="0"/>
          <w:tab w:val="left" w:pos="851"/>
          <w:tab w:val="left" w:pos="993"/>
          <w:tab w:val="left" w:pos="1276"/>
        </w:tabs>
        <w:spacing w:line="276" w:lineRule="auto"/>
        <w:ind w:left="0" w:firstLine="0"/>
        <w:contextualSpacing/>
        <w:jc w:val="both"/>
      </w:pPr>
      <w:r w:rsidRPr="00102E8E">
        <w:t>PVM sąskaitoje – faktūroje turi būti atskirai išskiriama Atlygio mėnesinio mokėjimo suma, išskaitos iš Atlygio, delspinigiai bei kitos sumos ir nurodoma bendra Suteikiančiosios institucijos mokėtina suma.</w:t>
      </w:r>
    </w:p>
    <w:p w14:paraId="335131DF" w14:textId="1DE70DD9" w:rsidR="00005455" w:rsidRDefault="00005455" w:rsidP="00D35D33">
      <w:pPr>
        <w:numPr>
          <w:ilvl w:val="1"/>
          <w:numId w:val="2"/>
        </w:numPr>
        <w:tabs>
          <w:tab w:val="left" w:pos="0"/>
          <w:tab w:val="left" w:pos="851"/>
          <w:tab w:val="left" w:pos="993"/>
          <w:tab w:val="left" w:pos="1276"/>
        </w:tabs>
        <w:spacing w:after="120" w:line="276" w:lineRule="auto"/>
        <w:ind w:left="0" w:firstLine="0"/>
        <w:contextualSpacing/>
        <w:jc w:val="both"/>
      </w:pPr>
      <w:r>
        <w:t>Koncesininkui mokamas Atlygis:</w:t>
      </w:r>
    </w:p>
    <w:p w14:paraId="704DCE1B" w14:textId="1EBEB220" w:rsidR="007014B5" w:rsidRDefault="00005455" w:rsidP="001C0611">
      <w:pPr>
        <w:tabs>
          <w:tab w:val="left" w:pos="0"/>
          <w:tab w:val="left" w:pos="851"/>
          <w:tab w:val="left" w:pos="993"/>
          <w:tab w:val="left" w:pos="1276"/>
        </w:tabs>
        <w:spacing w:after="120" w:line="276" w:lineRule="auto"/>
        <w:contextualSpacing/>
        <w:jc w:val="both"/>
      </w:pPr>
      <w:r>
        <w:t>3.</w:t>
      </w:r>
      <w:r w:rsidR="00367F81">
        <w:t>8</w:t>
      </w:r>
      <w:r>
        <w:t xml:space="preserve">.1. </w:t>
      </w:r>
      <w:r w:rsidR="007014B5">
        <w:rPr>
          <w:lang w:val="lt-LT"/>
        </w:rPr>
        <w:t xml:space="preserve"> </w:t>
      </w:r>
      <w:r>
        <w:t xml:space="preserve">Nuo Baseino eksploatacijos pradžios iki </w:t>
      </w:r>
      <w:r w:rsidR="001C0611">
        <w:t xml:space="preserve">viso Sporto objekto eksploatacijos pradžios Koncesininkui mokamas Atlygis yra apskaičiuojamas: </w:t>
      </w:r>
    </w:p>
    <w:p w14:paraId="056791EC" w14:textId="2B42DCC7" w:rsidR="00BD4C74" w:rsidRPr="004E682B" w:rsidRDefault="00F17151" w:rsidP="004E682B">
      <w:pPr>
        <w:tabs>
          <w:tab w:val="left" w:pos="426"/>
          <w:tab w:val="left" w:pos="851"/>
          <w:tab w:val="left" w:pos="993"/>
          <w:tab w:val="left" w:pos="1276"/>
          <w:tab w:val="left" w:pos="3105"/>
        </w:tabs>
        <w:spacing w:before="240" w:after="120" w:line="276" w:lineRule="auto"/>
        <w:ind w:firstLine="709"/>
        <w:jc w:val="center"/>
        <w:rPr>
          <w:i/>
          <w:iCs/>
          <w:lang w:val="lt-LT"/>
        </w:rPr>
      </w:pPr>
      <m:oMathPara>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Cs/>
                </w:rPr>
              </m:ctrlPr>
            </m:fPr>
            <m:num>
              <m:f>
                <m:fPr>
                  <m:ctrlPr>
                    <w:rPr>
                      <w:rFonts w:ascii="Cambria Math" w:hAnsi="Cambria Math"/>
                      <w:iCs/>
                    </w:rPr>
                  </m:ctrlPr>
                </m:fPr>
                <m:num>
                  <m:r>
                    <m:rPr>
                      <m:sty m:val="p"/>
                    </m:rPr>
                    <w:rPr>
                      <w:rFonts w:ascii="Cambria Math" w:hAnsi="Cambria Math"/>
                    </w:rPr>
                    <m:t>DI</m:t>
                  </m:r>
                </m:num>
                <m:den>
                  <m:r>
                    <m:rPr>
                      <m:sty m:val="p"/>
                    </m:rPr>
                    <w:rPr>
                      <w:rFonts w:ascii="Cambria Math" w:hAnsi="Cambria Math"/>
                    </w:rPr>
                    <m:t>VI</m:t>
                  </m:r>
                </m:den>
              </m:f>
              <m:r>
                <m:rPr>
                  <m:sty m:val="p"/>
                </m:rPr>
                <w:rPr>
                  <w:rFonts w:ascii="Cambria Math" w:hAnsi="Cambria Math"/>
                  <w:lang w:val="lt-LT"/>
                </w:rPr>
                <m:t>X</m:t>
              </m:r>
              <m:d>
                <m:dPr>
                  <m:ctrlPr>
                    <w:rPr>
                      <w:rFonts w:ascii="Cambria Math" w:hAnsi="Cambria Math"/>
                      <w:iCs/>
                      <w:lang w:val="lt-LT"/>
                    </w:rPr>
                  </m:ctrlPr>
                </m:dPr>
                <m:e>
                  <m:r>
                    <m:rPr>
                      <m:sty m:val="p"/>
                    </m:rPr>
                    <w:rPr>
                      <w:rFonts w:ascii="Cambria Math" w:hAnsi="Cambria Math"/>
                      <w:lang w:val="lt-LT"/>
                    </w:rPr>
                    <m:t>M1+M2+M3</m:t>
                  </m:r>
                </m:e>
              </m:d>
              <m:r>
                <m:rPr>
                  <m:sty m:val="p"/>
                </m:rPr>
                <w:rPr>
                  <w:rFonts w:ascii="Cambria Math" w:hAnsi="Cambria Math"/>
                  <w:lang w:val="lt-LT"/>
                </w:rPr>
                <m:t>+M4+M5</m:t>
              </m:r>
            </m:num>
            <m:den>
              <m:r>
                <m:rPr>
                  <m:sty m:val="p"/>
                </m:rPr>
                <w:rPr>
                  <w:rFonts w:ascii="Cambria Math" w:hAnsi="Cambria Math"/>
                </w:rPr>
                <m:t>12</m:t>
              </m:r>
            </m:den>
          </m:f>
        </m:oMath>
      </m:oMathPara>
    </w:p>
    <w:p w14:paraId="5E5576F3" w14:textId="77777777" w:rsidR="007014B5" w:rsidRPr="00102E8E" w:rsidRDefault="007014B5" w:rsidP="007014B5">
      <w:pPr>
        <w:tabs>
          <w:tab w:val="left" w:pos="426"/>
          <w:tab w:val="left" w:pos="851"/>
          <w:tab w:val="left" w:pos="993"/>
          <w:tab w:val="left" w:pos="1276"/>
        </w:tabs>
        <w:spacing w:after="120" w:line="276" w:lineRule="auto"/>
        <w:ind w:firstLine="709"/>
        <w:jc w:val="both"/>
        <w:rPr>
          <w:lang w:eastAsia="lt-LT"/>
        </w:rPr>
      </w:pPr>
      <w:r w:rsidRPr="00102E8E">
        <w:rPr>
          <w:lang w:eastAsia="lt-LT"/>
        </w:rPr>
        <w:t>kur:</w:t>
      </w:r>
    </w:p>
    <w:p w14:paraId="459E3C95" w14:textId="771729D3" w:rsidR="007014B5" w:rsidRDefault="007014B5" w:rsidP="001C0611">
      <w:pPr>
        <w:tabs>
          <w:tab w:val="left" w:pos="0"/>
          <w:tab w:val="left" w:pos="851"/>
          <w:tab w:val="left" w:pos="993"/>
          <w:tab w:val="left" w:pos="1276"/>
        </w:tabs>
        <w:spacing w:after="120" w:line="276" w:lineRule="auto"/>
        <w:contextualSpacing/>
        <w:jc w:val="both"/>
      </w:pPr>
      <w:r w:rsidRPr="007014B5">
        <w:t xml:space="preserve">                      </w:t>
      </w:r>
      <m:oMath>
        <m:sSub>
          <m:sSubPr>
            <m:ctrlPr>
              <w:rPr>
                <w:rFonts w:ascii="Cambria Math" w:hAnsi="Cambria Math"/>
                <w:i/>
              </w:rPr>
            </m:ctrlPr>
          </m:sSubPr>
          <m:e>
            <m:r>
              <w:rPr>
                <w:rFonts w:ascii="Cambria Math" w:hAnsi="Cambria Math"/>
              </w:rPr>
              <m:t>m</m:t>
            </m:r>
          </m:e>
          <m:sub>
            <m:r>
              <w:rPr>
                <w:rFonts w:ascii="Cambria Math" w:hAnsi="Cambria Math"/>
              </w:rPr>
              <m:t>nk</m:t>
            </m:r>
          </m:sub>
        </m:sSub>
      </m:oMath>
      <w:r>
        <w:t xml:space="preserve"> – </w:t>
      </w:r>
      <w:r w:rsidR="00BD4C74" w:rsidRPr="00102E8E">
        <w:rPr>
          <w:lang w:eastAsia="lt-LT"/>
        </w:rPr>
        <w:t xml:space="preserve">Atlygio </w:t>
      </w:r>
      <w:r w:rsidR="00BD4C74" w:rsidRPr="00102E8E">
        <w:rPr>
          <w:i/>
          <w:lang w:eastAsia="lt-LT"/>
        </w:rPr>
        <w:t>k</w:t>
      </w:r>
      <w:r w:rsidR="00BD4C74" w:rsidRPr="00102E8E">
        <w:rPr>
          <w:lang w:eastAsia="lt-LT"/>
        </w:rPr>
        <w:t>-ojo mėnesio dalis nominalia</w:t>
      </w:r>
      <w:r w:rsidR="004E519A">
        <w:rPr>
          <w:lang w:val="lt-LT" w:eastAsia="lt-LT"/>
        </w:rPr>
        <w:t xml:space="preserve"> </w:t>
      </w:r>
      <w:r w:rsidR="00BD4C74" w:rsidRPr="00102E8E">
        <w:rPr>
          <w:lang w:eastAsia="lt-LT"/>
        </w:rPr>
        <w:t xml:space="preserve">verte </w:t>
      </w:r>
      <w:r w:rsidR="00BD4C74" w:rsidRPr="00102E8E">
        <w:rPr>
          <w:i/>
          <w:lang w:eastAsia="lt-LT"/>
        </w:rPr>
        <w:t>n</w:t>
      </w:r>
      <w:r w:rsidR="00BD4C74" w:rsidRPr="00102E8E">
        <w:rPr>
          <w:lang w:eastAsia="lt-LT"/>
        </w:rPr>
        <w:t>-aisiais metais</w:t>
      </w:r>
    </w:p>
    <w:p w14:paraId="5853EA1E" w14:textId="3CDC664F" w:rsidR="007014B5" w:rsidRDefault="007014B5" w:rsidP="001C0611">
      <w:pPr>
        <w:tabs>
          <w:tab w:val="left" w:pos="0"/>
          <w:tab w:val="left" w:pos="851"/>
          <w:tab w:val="left" w:pos="993"/>
          <w:tab w:val="left" w:pos="1276"/>
        </w:tabs>
        <w:spacing w:after="120" w:line="276" w:lineRule="auto"/>
        <w:contextualSpacing/>
        <w:jc w:val="both"/>
      </w:pPr>
      <w:r>
        <w:t xml:space="preserve">                      </w:t>
      </w:r>
      <w:r w:rsidRPr="004E682B">
        <w:rPr>
          <w:i/>
          <w:iCs/>
        </w:rPr>
        <w:t>DI</w:t>
      </w:r>
      <w:r>
        <w:t xml:space="preserve"> – </w:t>
      </w:r>
      <w:r w:rsidR="00EB15BA">
        <w:rPr>
          <w:lang w:val="lt-LT"/>
        </w:rPr>
        <w:t xml:space="preserve">faktiškai </w:t>
      </w:r>
      <w:r>
        <w:t>atliktų dalin</w:t>
      </w:r>
      <w:r>
        <w:rPr>
          <w:lang w:val="lt-LT"/>
        </w:rPr>
        <w:t>i</w:t>
      </w:r>
      <w:r>
        <w:t>ų investicijų suma</w:t>
      </w:r>
    </w:p>
    <w:p w14:paraId="7990AD60" w14:textId="2F826762" w:rsidR="007014B5" w:rsidRDefault="007014B5" w:rsidP="001C0611">
      <w:pPr>
        <w:tabs>
          <w:tab w:val="left" w:pos="0"/>
          <w:tab w:val="left" w:pos="851"/>
          <w:tab w:val="left" w:pos="993"/>
          <w:tab w:val="left" w:pos="1276"/>
        </w:tabs>
        <w:spacing w:after="120" w:line="276" w:lineRule="auto"/>
        <w:contextualSpacing/>
        <w:jc w:val="both"/>
      </w:pPr>
      <w:r>
        <w:t xml:space="preserve">                      </w:t>
      </w:r>
      <w:r w:rsidRPr="004E682B">
        <w:rPr>
          <w:i/>
          <w:iCs/>
        </w:rPr>
        <w:t>VI</w:t>
      </w:r>
      <w:r>
        <w:t xml:space="preserve"> – visų investicijų suma</w:t>
      </w:r>
    </w:p>
    <w:p w14:paraId="5CCF35EE" w14:textId="0E6B9A5A" w:rsidR="007014B5" w:rsidRDefault="007014B5" w:rsidP="007014B5">
      <w:pPr>
        <w:tabs>
          <w:tab w:val="left" w:pos="0"/>
          <w:tab w:val="left" w:pos="851"/>
          <w:tab w:val="left" w:pos="993"/>
          <w:tab w:val="left" w:pos="1276"/>
        </w:tabs>
        <w:spacing w:after="120" w:line="276" w:lineRule="auto"/>
        <w:contextualSpacing/>
        <w:jc w:val="both"/>
      </w:pPr>
      <w:r>
        <w:t xml:space="preserve">                      </w:t>
      </w:r>
      <w:r w:rsidRPr="004E682B">
        <w:rPr>
          <w:i/>
          <w:iCs/>
        </w:rPr>
        <w:t>M1</w:t>
      </w:r>
      <w:r>
        <w:t xml:space="preserve"> – </w:t>
      </w:r>
      <w:r w:rsidRPr="007014B5">
        <w:rPr>
          <w:szCs w:val="22"/>
          <w:lang w:eastAsia="en-US"/>
        </w:rPr>
        <w:t>Metinio atlyginimo dalis, skirta Finansuotojo suteikiamos paskolos, skirtos sukurtos infrastruktūros apmokėjimui ir su jomis susijusių finansavimo mokesčių apmokėjimui</w:t>
      </w:r>
    </w:p>
    <w:p w14:paraId="71BD27FF" w14:textId="520C83DF" w:rsidR="007014B5" w:rsidRPr="004E682B" w:rsidRDefault="007014B5" w:rsidP="007014B5">
      <w:pPr>
        <w:tabs>
          <w:tab w:val="left" w:pos="0"/>
          <w:tab w:val="left" w:pos="851"/>
          <w:tab w:val="left" w:pos="993"/>
          <w:tab w:val="left" w:pos="1276"/>
        </w:tabs>
        <w:spacing w:after="120" w:line="276" w:lineRule="auto"/>
        <w:contextualSpacing/>
        <w:jc w:val="both"/>
      </w:pPr>
      <w:r>
        <w:rPr>
          <w:lang w:val="lt-LT"/>
        </w:rPr>
        <w:t xml:space="preserve">                      </w:t>
      </w:r>
      <w:r w:rsidRPr="004E682B">
        <w:rPr>
          <w:i/>
          <w:iCs/>
          <w:szCs w:val="22"/>
          <w:lang w:eastAsia="en-US"/>
        </w:rPr>
        <w:t>M2</w:t>
      </w:r>
      <w:r w:rsidRPr="007014B5">
        <w:rPr>
          <w:szCs w:val="22"/>
          <w:lang w:eastAsia="en-US"/>
        </w:rPr>
        <w:t xml:space="preserve"> - Metinio atlyginimo dalis, skirta nuosavo kapitalo srautams t.y. investuoto kapitalo ir finansuotojų (pvz. akcininkų) suteiktos subordinuotos paskolos, skirtų sukurtos infrastruktūros ir su jomis susijusių finansavimo mokesčių apmokėjimui</w:t>
      </w:r>
    </w:p>
    <w:p w14:paraId="79E021F4" w14:textId="77777777" w:rsidR="001253B2" w:rsidRDefault="007014B5" w:rsidP="007014B5">
      <w:pPr>
        <w:tabs>
          <w:tab w:val="left" w:pos="0"/>
          <w:tab w:val="left" w:pos="851"/>
          <w:tab w:val="left" w:pos="993"/>
          <w:tab w:val="left" w:pos="1276"/>
        </w:tabs>
        <w:spacing w:after="120" w:line="276" w:lineRule="auto"/>
        <w:contextualSpacing/>
        <w:jc w:val="both"/>
        <w:rPr>
          <w:szCs w:val="22"/>
          <w:lang w:val="lt-LT" w:eastAsia="en-US"/>
        </w:rPr>
      </w:pPr>
      <w:r>
        <w:rPr>
          <w:szCs w:val="22"/>
          <w:lang w:val="lt-LT" w:eastAsia="en-US"/>
        </w:rPr>
        <w:t xml:space="preserve">                      </w:t>
      </w:r>
      <w:r w:rsidRPr="004E682B">
        <w:rPr>
          <w:i/>
          <w:iCs/>
          <w:szCs w:val="22"/>
          <w:lang w:eastAsia="en-US"/>
        </w:rPr>
        <w:t>M3</w:t>
      </w:r>
      <w:r w:rsidRPr="007014B5">
        <w:rPr>
          <w:szCs w:val="22"/>
          <w:lang w:eastAsia="en-US"/>
        </w:rPr>
        <w:t xml:space="preserve"> - Metinio atlyginimo dalis, skirta Finansuotojo paskolos, Kito paskolos teikėjo suteiktos</w:t>
      </w:r>
      <w:r>
        <w:rPr>
          <w:szCs w:val="22"/>
          <w:lang w:val="lt-LT" w:eastAsia="en-US"/>
        </w:rPr>
        <w:t xml:space="preserve"> </w:t>
      </w:r>
      <w:r w:rsidRPr="007014B5">
        <w:rPr>
          <w:szCs w:val="22"/>
          <w:lang w:val="lt-LT" w:eastAsia="en-US"/>
        </w:rPr>
        <w:t>subordinuotos paskolos palūkanų ir Privataus subjekto nuosavo kapitalo grąžos apmokėjimui</w:t>
      </w:r>
    </w:p>
    <w:p w14:paraId="286C88CC" w14:textId="4EAC7000" w:rsidR="001253B2" w:rsidRDefault="001253B2" w:rsidP="001253B2">
      <w:pPr>
        <w:tabs>
          <w:tab w:val="left" w:pos="0"/>
          <w:tab w:val="left" w:pos="851"/>
          <w:tab w:val="left" w:pos="993"/>
          <w:tab w:val="left" w:pos="1276"/>
        </w:tabs>
        <w:spacing w:after="120" w:line="276" w:lineRule="auto"/>
        <w:ind w:firstLine="1276"/>
        <w:contextualSpacing/>
        <w:jc w:val="both"/>
        <w:rPr>
          <w:szCs w:val="22"/>
          <w:lang w:val="lt-LT" w:eastAsia="en-US"/>
        </w:rPr>
      </w:pPr>
      <w:r w:rsidRPr="006E411C">
        <w:rPr>
          <w:i/>
          <w:iCs/>
          <w:szCs w:val="22"/>
          <w:lang w:eastAsia="en-US"/>
        </w:rPr>
        <w:t>M</w:t>
      </w:r>
      <w:r w:rsidRPr="004E682B">
        <w:rPr>
          <w:i/>
          <w:iCs/>
          <w:szCs w:val="22"/>
          <w:lang w:val="lt-LT" w:eastAsia="en-US"/>
        </w:rPr>
        <w:t>4</w:t>
      </w:r>
      <w:r w:rsidRPr="007014B5">
        <w:rPr>
          <w:szCs w:val="22"/>
          <w:lang w:eastAsia="en-US"/>
        </w:rPr>
        <w:t xml:space="preserve"> - </w:t>
      </w:r>
      <w:r w:rsidR="000C2216" w:rsidRPr="000C2216">
        <w:rPr>
          <w:szCs w:val="22"/>
          <w:lang w:val="lt-LT" w:eastAsia="en-US"/>
        </w:rPr>
        <w:t xml:space="preserve">Metinio atlyginimo dalis, skirta Paslaugų teikimo </w:t>
      </w:r>
      <w:r w:rsidR="000C2216" w:rsidRPr="004E682B">
        <w:rPr>
          <w:szCs w:val="22"/>
          <w:lang w:val="lt-LT" w:eastAsia="en-US"/>
        </w:rPr>
        <w:t xml:space="preserve">ir </w:t>
      </w:r>
      <w:r w:rsidR="000C2216" w:rsidRPr="000C2216">
        <w:rPr>
          <w:szCs w:val="22"/>
          <w:lang w:val="lt-LT" w:eastAsia="en-US"/>
        </w:rPr>
        <w:t xml:space="preserve"> Atnaujinimo ir remonto</w:t>
      </w:r>
      <w:r w:rsidR="004E682B">
        <w:rPr>
          <w:szCs w:val="22"/>
          <w:lang w:val="lt-LT" w:eastAsia="en-US"/>
        </w:rPr>
        <w:t xml:space="preserve"> </w:t>
      </w:r>
      <w:r w:rsidR="000C2216" w:rsidRPr="000C2216">
        <w:rPr>
          <w:szCs w:val="22"/>
          <w:lang w:val="lt-LT" w:eastAsia="en-US"/>
        </w:rPr>
        <w:t xml:space="preserve">sąnaudoms nuo </w:t>
      </w:r>
      <w:r w:rsidR="009B006C">
        <w:rPr>
          <w:szCs w:val="22"/>
          <w:lang w:val="lt-LT" w:eastAsia="en-US"/>
        </w:rPr>
        <w:t>Baseino e</w:t>
      </w:r>
      <w:r w:rsidR="000C2216" w:rsidRPr="000C2216">
        <w:rPr>
          <w:szCs w:val="22"/>
          <w:lang w:val="lt-LT" w:eastAsia="en-US"/>
        </w:rPr>
        <w:t>ksploatacijos pradžios datos padengti</w:t>
      </w:r>
    </w:p>
    <w:p w14:paraId="65C1418D" w14:textId="48517CA7" w:rsidR="001253B2" w:rsidRPr="004E682B" w:rsidRDefault="001253B2" w:rsidP="004E682B">
      <w:pPr>
        <w:tabs>
          <w:tab w:val="left" w:pos="0"/>
          <w:tab w:val="left" w:pos="851"/>
          <w:tab w:val="left" w:pos="993"/>
          <w:tab w:val="left" w:pos="1276"/>
        </w:tabs>
        <w:spacing w:after="120" w:line="276" w:lineRule="auto"/>
        <w:ind w:firstLine="1276"/>
        <w:contextualSpacing/>
        <w:jc w:val="both"/>
        <w:rPr>
          <w:szCs w:val="22"/>
          <w:lang w:val="lt-LT" w:eastAsia="en-US"/>
        </w:rPr>
      </w:pPr>
      <w:r w:rsidRPr="006E411C">
        <w:rPr>
          <w:i/>
          <w:iCs/>
          <w:szCs w:val="22"/>
          <w:lang w:eastAsia="en-US"/>
        </w:rPr>
        <w:t>M</w:t>
      </w:r>
      <w:r w:rsidRPr="004E682B">
        <w:rPr>
          <w:i/>
          <w:iCs/>
          <w:szCs w:val="22"/>
          <w:lang w:val="lt-LT" w:eastAsia="en-US"/>
        </w:rPr>
        <w:t>5</w:t>
      </w:r>
      <w:r w:rsidRPr="007014B5">
        <w:rPr>
          <w:szCs w:val="22"/>
          <w:lang w:eastAsia="en-US"/>
        </w:rPr>
        <w:t xml:space="preserve"> - </w:t>
      </w:r>
      <w:r w:rsidR="000C2216" w:rsidRPr="000C2216">
        <w:rPr>
          <w:szCs w:val="22"/>
          <w:lang w:val="lt-LT" w:eastAsia="en-US"/>
        </w:rPr>
        <w:t xml:space="preserve">Metinio atlyginimo dalis, skirta Administravimo ir valdymo sąnaudoms nuo </w:t>
      </w:r>
      <w:r w:rsidR="009B006C">
        <w:rPr>
          <w:szCs w:val="22"/>
          <w:lang w:val="lt-LT" w:eastAsia="en-US"/>
        </w:rPr>
        <w:t>Baseino e</w:t>
      </w:r>
      <w:r w:rsidR="000C2216" w:rsidRPr="000C2216">
        <w:rPr>
          <w:szCs w:val="22"/>
          <w:lang w:val="lt-LT" w:eastAsia="en-US"/>
        </w:rPr>
        <w:t>ksploatacijos pradžios padengti</w:t>
      </w:r>
    </w:p>
    <w:p w14:paraId="3BB76B4C" w14:textId="49457BF7" w:rsidR="00102E8E" w:rsidRPr="00102E8E" w:rsidRDefault="007014B5" w:rsidP="004E682B">
      <w:pPr>
        <w:tabs>
          <w:tab w:val="left" w:pos="0"/>
          <w:tab w:val="left" w:pos="851"/>
          <w:tab w:val="left" w:pos="993"/>
          <w:tab w:val="left" w:pos="1276"/>
        </w:tabs>
        <w:spacing w:after="120" w:line="276" w:lineRule="auto"/>
        <w:contextualSpacing/>
        <w:jc w:val="both"/>
      </w:pPr>
      <w:r>
        <w:rPr>
          <w:lang w:val="lt-LT"/>
        </w:rPr>
        <w:t>3.</w:t>
      </w:r>
      <w:r w:rsidR="00367F81">
        <w:rPr>
          <w:lang w:val="lt-LT"/>
        </w:rPr>
        <w:t>8</w:t>
      </w:r>
      <w:r>
        <w:rPr>
          <w:lang w:val="lt-LT"/>
        </w:rPr>
        <w:t xml:space="preserve">.2.     Nuo </w:t>
      </w:r>
      <w:r>
        <w:t xml:space="preserve">viso Sporto objekto eksploatacijos pradžios </w:t>
      </w:r>
      <w:r w:rsidR="00102E8E" w:rsidRPr="00102E8E">
        <w:t xml:space="preserve">Atlygio mėnesio dalis apskaičiuojama pagal tokią formulę: </w:t>
      </w:r>
    </w:p>
    <w:p w14:paraId="069C1DA7" w14:textId="77777777" w:rsidR="00102E8E" w:rsidRPr="009406FE" w:rsidRDefault="00F17151" w:rsidP="0071563F">
      <w:pPr>
        <w:tabs>
          <w:tab w:val="left" w:pos="426"/>
          <w:tab w:val="left" w:pos="851"/>
          <w:tab w:val="left" w:pos="993"/>
          <w:tab w:val="left" w:pos="1276"/>
          <w:tab w:val="left" w:pos="3105"/>
        </w:tabs>
        <w:spacing w:before="240" w:after="120" w:line="276" w:lineRule="auto"/>
        <w:ind w:firstLine="709"/>
        <w:jc w:val="both"/>
      </w:pPr>
      <m:oMathPara>
        <m:oMathParaPr>
          <m:jc m:val="center"/>
        </m:oMathParaP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m:oMathPara>
    </w:p>
    <w:p w14:paraId="2E2A3762"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kur:</w:t>
      </w:r>
    </w:p>
    <w:tbl>
      <w:tblPr>
        <w:tblW w:w="8821" w:type="dxa"/>
        <w:tblInd w:w="817" w:type="dxa"/>
        <w:tblLook w:val="04A0" w:firstRow="1" w:lastRow="0" w:firstColumn="1" w:lastColumn="0" w:noHBand="0" w:noVBand="1"/>
      </w:tblPr>
      <w:tblGrid>
        <w:gridCol w:w="1250"/>
        <w:gridCol w:w="4105"/>
        <w:gridCol w:w="3466"/>
      </w:tblGrid>
      <w:tr w:rsidR="0071563F" w:rsidRPr="00102E8E" w14:paraId="4F27437D" w14:textId="1D118A0A" w:rsidTr="0071563F">
        <w:trPr>
          <w:tblHeader/>
        </w:trPr>
        <w:tc>
          <w:tcPr>
            <w:tcW w:w="1231" w:type="dxa"/>
          </w:tcPr>
          <w:p w14:paraId="249B686B" w14:textId="77777777" w:rsidR="0071563F" w:rsidRPr="00102E8E" w:rsidRDefault="0071563F" w:rsidP="00102E8E">
            <w:pPr>
              <w:tabs>
                <w:tab w:val="left" w:pos="426"/>
                <w:tab w:val="left" w:pos="851"/>
                <w:tab w:val="left" w:pos="900"/>
                <w:tab w:val="left" w:pos="993"/>
                <w:tab w:val="left" w:pos="1276"/>
              </w:tabs>
              <w:spacing w:after="120" w:line="276" w:lineRule="auto"/>
              <w:ind w:firstLine="709"/>
              <w:rPr>
                <w:i/>
                <w:lang w:eastAsia="lt-LT"/>
              </w:rPr>
            </w:pPr>
            <w:r w:rsidRPr="00102E8E">
              <w:rPr>
                <w:i/>
                <w:lang w:eastAsia="lt-LT"/>
              </w:rPr>
              <w:t>m</w:t>
            </w:r>
            <w:r w:rsidRPr="00102E8E">
              <w:rPr>
                <w:i/>
                <w:vertAlign w:val="subscript"/>
                <w:lang w:eastAsia="lt-LT"/>
              </w:rPr>
              <w:t>nk</w:t>
            </w:r>
            <w:r w:rsidRPr="00102E8E">
              <w:rPr>
                <w:i/>
                <w:vertAlign w:val="subscript"/>
                <w:lang w:eastAsia="lt-LT"/>
              </w:rPr>
              <w:tab/>
            </w:r>
          </w:p>
        </w:tc>
        <w:tc>
          <w:tcPr>
            <w:tcW w:w="4113" w:type="dxa"/>
          </w:tcPr>
          <w:p w14:paraId="7901A516" w14:textId="77777777" w:rsidR="0071563F" w:rsidRPr="00102E8E" w:rsidRDefault="0071563F"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 xml:space="preserve">Atlygio </w:t>
            </w:r>
            <w:r w:rsidRPr="00102E8E">
              <w:rPr>
                <w:i/>
                <w:lang w:eastAsia="lt-LT"/>
              </w:rPr>
              <w:t>k</w:t>
            </w:r>
            <w:r w:rsidRPr="00102E8E">
              <w:rPr>
                <w:lang w:eastAsia="lt-LT"/>
              </w:rPr>
              <w:t xml:space="preserve">-ojo mėnesio dalis nominalia (indeksuota) verte </w:t>
            </w:r>
            <w:r w:rsidRPr="00102E8E">
              <w:rPr>
                <w:i/>
                <w:lang w:eastAsia="lt-LT"/>
              </w:rPr>
              <w:t>n</w:t>
            </w:r>
            <w:r w:rsidRPr="00102E8E">
              <w:rPr>
                <w:lang w:eastAsia="lt-LT"/>
              </w:rPr>
              <w:t>-aisiais metais</w:t>
            </w:r>
          </w:p>
        </w:tc>
        <w:tc>
          <w:tcPr>
            <w:tcW w:w="3477" w:type="dxa"/>
          </w:tcPr>
          <w:p w14:paraId="44E972A1" w14:textId="77777777" w:rsidR="0071563F" w:rsidRPr="00102E8E" w:rsidRDefault="0071563F" w:rsidP="00102E8E">
            <w:pPr>
              <w:tabs>
                <w:tab w:val="left" w:pos="426"/>
                <w:tab w:val="left" w:pos="851"/>
                <w:tab w:val="left" w:pos="993"/>
                <w:tab w:val="left" w:pos="1276"/>
              </w:tabs>
              <w:spacing w:after="120" w:line="276" w:lineRule="auto"/>
              <w:ind w:firstLine="709"/>
              <w:jc w:val="both"/>
              <w:rPr>
                <w:lang w:eastAsia="lt-LT"/>
              </w:rPr>
            </w:pPr>
          </w:p>
        </w:tc>
      </w:tr>
      <w:tr w:rsidR="0071563F" w:rsidRPr="00102E8E" w14:paraId="55473880" w14:textId="02C1350B" w:rsidTr="0071563F">
        <w:trPr>
          <w:tblHeader/>
        </w:trPr>
        <w:tc>
          <w:tcPr>
            <w:tcW w:w="1231" w:type="dxa"/>
          </w:tcPr>
          <w:p w14:paraId="3054EE0C" w14:textId="77777777" w:rsidR="0071563F" w:rsidRPr="00102E8E" w:rsidRDefault="0071563F" w:rsidP="00102E8E">
            <w:pPr>
              <w:tabs>
                <w:tab w:val="left" w:pos="426"/>
                <w:tab w:val="left" w:pos="851"/>
                <w:tab w:val="left" w:pos="993"/>
                <w:tab w:val="left" w:pos="1276"/>
              </w:tabs>
              <w:spacing w:after="120" w:line="276" w:lineRule="auto"/>
              <w:ind w:firstLine="709"/>
              <w:rPr>
                <w:i/>
                <w:lang w:eastAsia="lt-LT"/>
              </w:rPr>
            </w:pPr>
            <w:r w:rsidRPr="00102E8E">
              <w:rPr>
                <w:i/>
                <w:lang w:eastAsia="lt-LT"/>
              </w:rPr>
              <w:t>Mn</w:t>
            </w:r>
          </w:p>
        </w:tc>
        <w:tc>
          <w:tcPr>
            <w:tcW w:w="4113" w:type="dxa"/>
          </w:tcPr>
          <w:p w14:paraId="453D21D1" w14:textId="77777777" w:rsidR="0071563F" w:rsidRPr="00102E8E" w:rsidRDefault="0071563F"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 xml:space="preserve">Atlygis </w:t>
            </w:r>
            <w:r w:rsidRPr="00102E8E">
              <w:rPr>
                <w:i/>
                <w:lang w:eastAsia="lt-LT"/>
              </w:rPr>
              <w:t>n</w:t>
            </w:r>
            <w:r w:rsidRPr="00102E8E">
              <w:rPr>
                <w:lang w:eastAsia="lt-LT"/>
              </w:rPr>
              <w:t>-aisiais metais</w:t>
            </w:r>
          </w:p>
        </w:tc>
        <w:tc>
          <w:tcPr>
            <w:tcW w:w="3477" w:type="dxa"/>
          </w:tcPr>
          <w:p w14:paraId="491C8617" w14:textId="77777777" w:rsidR="0071563F" w:rsidRPr="00102E8E" w:rsidRDefault="0071563F" w:rsidP="00102E8E">
            <w:pPr>
              <w:tabs>
                <w:tab w:val="left" w:pos="426"/>
                <w:tab w:val="left" w:pos="851"/>
                <w:tab w:val="left" w:pos="993"/>
                <w:tab w:val="left" w:pos="1276"/>
              </w:tabs>
              <w:spacing w:after="120" w:line="276" w:lineRule="auto"/>
              <w:ind w:firstLine="709"/>
              <w:jc w:val="both"/>
              <w:outlineLvl w:val="2"/>
              <w:rPr>
                <w:lang w:eastAsia="lt-LT"/>
              </w:rPr>
            </w:pPr>
          </w:p>
        </w:tc>
      </w:tr>
    </w:tbl>
    <w:p w14:paraId="284F5DB8" w14:textId="77777777" w:rsidR="00102E8E" w:rsidRPr="00102E8E" w:rsidRDefault="00102E8E" w:rsidP="00102E8E">
      <w:pPr>
        <w:tabs>
          <w:tab w:val="left" w:pos="426"/>
          <w:tab w:val="left" w:pos="851"/>
          <w:tab w:val="left" w:pos="993"/>
          <w:tab w:val="left" w:pos="1276"/>
        </w:tabs>
        <w:ind w:firstLine="709"/>
        <w:contextualSpacing/>
      </w:pPr>
    </w:p>
    <w:p w14:paraId="07CB1FCF" w14:textId="77777777" w:rsidR="00102E8E" w:rsidRPr="00102E8E" w:rsidRDefault="00102E8E" w:rsidP="009406FE">
      <w:pPr>
        <w:numPr>
          <w:ilvl w:val="1"/>
          <w:numId w:val="2"/>
        </w:numPr>
        <w:tabs>
          <w:tab w:val="left" w:pos="567"/>
          <w:tab w:val="left" w:pos="851"/>
          <w:tab w:val="left" w:pos="993"/>
          <w:tab w:val="left" w:pos="1276"/>
        </w:tabs>
        <w:spacing w:after="120" w:line="276" w:lineRule="auto"/>
        <w:ind w:hanging="502"/>
        <w:contextualSpacing/>
        <w:jc w:val="both"/>
      </w:pPr>
      <w:r w:rsidRPr="00102E8E">
        <w:t xml:space="preserve">Koncesininkui mokama Atlygio mėnesio suma </w:t>
      </w:r>
      <w:r w:rsidRPr="00102E8E">
        <w:rPr>
          <w:bCs/>
        </w:rPr>
        <w:t xml:space="preserve">koreguojama (tikslinama) </w:t>
      </w:r>
      <w:r w:rsidRPr="00102E8E">
        <w:t xml:space="preserve">pagal tokią formulę: </w:t>
      </w:r>
    </w:p>
    <w:p w14:paraId="168FF203" w14:textId="77777777" w:rsidR="00102E8E" w:rsidRPr="009406FE" w:rsidRDefault="00F17151" w:rsidP="0071563F">
      <w:pPr>
        <w:tabs>
          <w:tab w:val="left" w:pos="426"/>
          <w:tab w:val="left" w:pos="851"/>
          <w:tab w:val="left" w:pos="993"/>
          <w:tab w:val="left" w:pos="1276"/>
        </w:tabs>
        <w:spacing w:before="240" w:after="120" w:line="276" w:lineRule="auto"/>
        <w:ind w:firstLine="709"/>
        <w:jc w:val="both"/>
        <w:rPr>
          <w:i/>
          <w:lang w:eastAsia="lt-LT"/>
        </w:rPr>
      </w:pPr>
      <m:oMathPara>
        <m:oMathParaPr>
          <m:jc m:val="center"/>
        </m:oMathParaPr>
        <m:oMath>
          <m:sSub>
            <m:sSubPr>
              <m:ctrlPr>
                <w:rPr>
                  <w:rFonts w:ascii="Cambria Math" w:hAnsi="Cambria Math"/>
                  <w:i/>
                  <w:lang w:eastAsia="lt-LT"/>
                </w:rPr>
              </m:ctrlPr>
            </m:sSubPr>
            <m:e>
              <m:r>
                <w:rPr>
                  <w:rFonts w:ascii="Cambria Math" w:hAnsi="Cambria Math"/>
                  <w:lang w:eastAsia="lt-LT"/>
                </w:rPr>
                <m:t>S</m:t>
              </m:r>
            </m:e>
            <m:sub>
              <m:r>
                <w:rPr>
                  <w:rFonts w:ascii="Cambria Math" w:hAnsi="Cambria Math"/>
                  <w:lang w:eastAsia="lt-LT"/>
                </w:rPr>
                <m:t>nk</m:t>
              </m:r>
            </m:sub>
          </m:sSub>
          <m:r>
            <w:rPr>
              <w:rFonts w:ascii="Cambria Math" w:hAnsi="Cambria Math"/>
              <w:lang w:eastAsia="lt-LT"/>
            </w:rPr>
            <m:t>=</m:t>
          </m:r>
          <m:sSub>
            <m:sSubPr>
              <m:ctrlPr>
                <w:rPr>
                  <w:rFonts w:ascii="Cambria Math" w:hAnsi="Cambria Math"/>
                  <w:i/>
                  <w:lang w:eastAsia="lt-LT"/>
                </w:rPr>
              </m:ctrlPr>
            </m:sSubPr>
            <m:e>
              <m:r>
                <w:rPr>
                  <w:rFonts w:ascii="Cambria Math" w:hAnsi="Cambria Math"/>
                  <w:lang w:eastAsia="lt-LT"/>
                </w:rPr>
                <m:t>m</m:t>
              </m:r>
            </m:e>
            <m:sub>
              <m:r>
                <w:rPr>
                  <w:rFonts w:ascii="Cambria Math" w:hAnsi="Cambria Math"/>
                  <w:lang w:eastAsia="lt-LT"/>
                </w:rPr>
                <m:t>nk</m:t>
              </m:r>
            </m:sub>
          </m:sSub>
          <m:r>
            <w:rPr>
              <w:rFonts w:ascii="Cambria Math" w:hAnsi="Cambria Math"/>
              <w:lang w:eastAsia="lt-LT"/>
            </w:rPr>
            <m:t>-I+KD-</m:t>
          </m:r>
          <m:sSub>
            <m:sSubPr>
              <m:ctrlPr>
                <w:rPr>
                  <w:rFonts w:ascii="Cambria Math" w:hAnsi="Cambria Math"/>
                  <w:i/>
                  <w:lang w:eastAsia="lt-LT"/>
                </w:rPr>
              </m:ctrlPr>
            </m:sSubPr>
            <m:e>
              <m:r>
                <w:rPr>
                  <w:rFonts w:ascii="Cambria Math" w:hAnsi="Cambria Math"/>
                  <w:lang w:eastAsia="lt-LT"/>
                </w:rPr>
                <m:t>B</m:t>
              </m:r>
            </m:e>
            <m:sub>
              <m:r>
                <w:rPr>
                  <w:rFonts w:ascii="Cambria Math" w:hAnsi="Cambria Math"/>
                  <w:lang w:eastAsia="lt-LT"/>
                </w:rPr>
                <m:t>A</m:t>
              </m:r>
            </m:sub>
          </m:sSub>
        </m:oMath>
      </m:oMathPara>
    </w:p>
    <w:p w14:paraId="2B441E34" w14:textId="77777777" w:rsidR="00102E8E" w:rsidRPr="00102E8E" w:rsidRDefault="00102E8E" w:rsidP="00102E8E">
      <w:pPr>
        <w:tabs>
          <w:tab w:val="left" w:pos="426"/>
          <w:tab w:val="left" w:pos="851"/>
          <w:tab w:val="left" w:pos="993"/>
          <w:tab w:val="left" w:pos="1276"/>
          <w:tab w:val="center" w:pos="5032"/>
        </w:tabs>
        <w:spacing w:after="120" w:line="276" w:lineRule="auto"/>
        <w:ind w:firstLine="709"/>
        <w:jc w:val="both"/>
        <w:rPr>
          <w:lang w:eastAsia="lt-LT"/>
        </w:rPr>
      </w:pPr>
      <w:r w:rsidRPr="00102E8E">
        <w:rPr>
          <w:lang w:eastAsia="lt-LT"/>
        </w:rPr>
        <w:t>kur:</w:t>
      </w:r>
      <w:r w:rsidRPr="00102E8E">
        <w:rPr>
          <w:lang w:eastAsia="lt-LT"/>
        </w:rPr>
        <w:tab/>
      </w:r>
    </w:p>
    <w:tbl>
      <w:tblPr>
        <w:tblW w:w="8930" w:type="dxa"/>
        <w:tblInd w:w="817" w:type="dxa"/>
        <w:tblLook w:val="04A0" w:firstRow="1" w:lastRow="0" w:firstColumn="1" w:lastColumn="0" w:noHBand="0" w:noVBand="1"/>
      </w:tblPr>
      <w:tblGrid>
        <w:gridCol w:w="1259"/>
        <w:gridCol w:w="7671"/>
      </w:tblGrid>
      <w:tr w:rsidR="00102E8E" w:rsidRPr="00102E8E" w14:paraId="2736DB6A" w14:textId="77777777" w:rsidTr="00F94504">
        <w:trPr>
          <w:tblHeader/>
        </w:trPr>
        <w:tc>
          <w:tcPr>
            <w:tcW w:w="1242" w:type="dxa"/>
          </w:tcPr>
          <w:p w14:paraId="6F4784CF" w14:textId="77777777" w:rsidR="00102E8E" w:rsidRPr="00102E8E" w:rsidRDefault="00102E8E" w:rsidP="00102E8E">
            <w:pPr>
              <w:tabs>
                <w:tab w:val="left" w:pos="426"/>
                <w:tab w:val="left" w:pos="851"/>
                <w:tab w:val="left" w:pos="900"/>
                <w:tab w:val="left" w:pos="993"/>
                <w:tab w:val="left" w:pos="1276"/>
              </w:tabs>
              <w:spacing w:after="120" w:line="276" w:lineRule="auto"/>
              <w:ind w:firstLine="709"/>
              <w:rPr>
                <w:i/>
                <w:lang w:eastAsia="lt-LT"/>
              </w:rPr>
            </w:pPr>
            <w:r w:rsidRPr="00102E8E">
              <w:rPr>
                <w:i/>
                <w:lang w:eastAsia="lt-LT"/>
              </w:rPr>
              <w:t>S</w:t>
            </w:r>
            <w:r w:rsidRPr="00102E8E">
              <w:rPr>
                <w:i/>
                <w:vertAlign w:val="subscript"/>
                <w:lang w:eastAsia="lt-LT"/>
              </w:rPr>
              <w:t>nk</w:t>
            </w:r>
          </w:p>
        </w:tc>
        <w:tc>
          <w:tcPr>
            <w:tcW w:w="7688" w:type="dxa"/>
          </w:tcPr>
          <w:p w14:paraId="25BEE3D3"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 xml:space="preserve">Koncesininkui mokama suma </w:t>
            </w:r>
            <w:r w:rsidRPr="00102E8E">
              <w:rPr>
                <w:i/>
                <w:lang w:eastAsia="lt-LT"/>
              </w:rPr>
              <w:t>k</w:t>
            </w:r>
            <w:r w:rsidRPr="00102E8E">
              <w:rPr>
                <w:lang w:eastAsia="lt-LT"/>
              </w:rPr>
              <w:t xml:space="preserve">-tąjį mėnesį </w:t>
            </w:r>
            <w:r w:rsidRPr="00102E8E">
              <w:rPr>
                <w:i/>
                <w:lang w:eastAsia="lt-LT"/>
              </w:rPr>
              <w:t>n</w:t>
            </w:r>
            <w:r w:rsidRPr="00102E8E">
              <w:rPr>
                <w:lang w:eastAsia="lt-LT"/>
              </w:rPr>
              <w:t>-aisiais metais</w:t>
            </w:r>
          </w:p>
        </w:tc>
      </w:tr>
      <w:tr w:rsidR="00102E8E" w:rsidRPr="00102E8E" w14:paraId="5E5062CB" w14:textId="77777777" w:rsidTr="00F94504">
        <w:trPr>
          <w:tblHeader/>
        </w:trPr>
        <w:tc>
          <w:tcPr>
            <w:tcW w:w="1242" w:type="dxa"/>
          </w:tcPr>
          <w:p w14:paraId="7E8C291A" w14:textId="31A47FEF" w:rsidR="00102E8E" w:rsidRPr="00102E8E" w:rsidRDefault="00102E8E" w:rsidP="00102E8E">
            <w:pPr>
              <w:tabs>
                <w:tab w:val="left" w:pos="426"/>
                <w:tab w:val="left" w:pos="851"/>
                <w:tab w:val="left" w:pos="993"/>
                <w:tab w:val="left" w:pos="1276"/>
              </w:tabs>
              <w:spacing w:after="120" w:line="276" w:lineRule="auto"/>
              <w:ind w:firstLine="709"/>
              <w:rPr>
                <w:i/>
                <w:lang w:eastAsia="lt-LT"/>
              </w:rPr>
            </w:pPr>
            <w:r w:rsidRPr="00102E8E">
              <w:rPr>
                <w:i/>
                <w:lang w:eastAsia="lt-LT"/>
              </w:rPr>
              <w:t>m</w:t>
            </w:r>
            <w:r w:rsidRPr="00102E8E">
              <w:rPr>
                <w:i/>
                <w:vertAlign w:val="subscript"/>
                <w:lang w:eastAsia="lt-LT"/>
              </w:rPr>
              <w:t>nk</w:t>
            </w:r>
          </w:p>
        </w:tc>
        <w:tc>
          <w:tcPr>
            <w:tcW w:w="7688" w:type="dxa"/>
          </w:tcPr>
          <w:p w14:paraId="6211C21B"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 xml:space="preserve">Atlygio </w:t>
            </w:r>
            <w:r w:rsidRPr="00102E8E">
              <w:rPr>
                <w:i/>
                <w:lang w:eastAsia="lt-LT"/>
              </w:rPr>
              <w:t>k</w:t>
            </w:r>
            <w:r w:rsidRPr="00102E8E">
              <w:rPr>
                <w:lang w:eastAsia="lt-LT"/>
              </w:rPr>
              <w:t xml:space="preserve">-ojo mėnesio dalis </w:t>
            </w:r>
            <w:r w:rsidRPr="00102E8E">
              <w:rPr>
                <w:i/>
                <w:lang w:eastAsia="lt-LT"/>
              </w:rPr>
              <w:t>n</w:t>
            </w:r>
            <w:r w:rsidRPr="00102E8E">
              <w:rPr>
                <w:lang w:eastAsia="lt-LT"/>
              </w:rPr>
              <w:t>-aisiais metais</w:t>
            </w:r>
          </w:p>
        </w:tc>
      </w:tr>
      <w:tr w:rsidR="00102E8E" w:rsidRPr="00102E8E" w14:paraId="20CFF25C" w14:textId="77777777" w:rsidTr="00F94504">
        <w:trPr>
          <w:tblHeader/>
        </w:trPr>
        <w:tc>
          <w:tcPr>
            <w:tcW w:w="1242" w:type="dxa"/>
          </w:tcPr>
          <w:p w14:paraId="4CEAEF8B" w14:textId="77777777" w:rsidR="00102E8E" w:rsidRPr="00102E8E" w:rsidRDefault="00102E8E" w:rsidP="00102E8E">
            <w:pPr>
              <w:tabs>
                <w:tab w:val="left" w:pos="426"/>
                <w:tab w:val="left" w:pos="851"/>
                <w:tab w:val="left" w:pos="993"/>
                <w:tab w:val="left" w:pos="1276"/>
              </w:tabs>
              <w:spacing w:after="120" w:line="276" w:lineRule="auto"/>
              <w:ind w:firstLine="709"/>
              <w:rPr>
                <w:i/>
                <w:vertAlign w:val="subscript"/>
                <w:lang w:eastAsia="lt-LT"/>
              </w:rPr>
            </w:pPr>
            <w:r w:rsidRPr="00102E8E">
              <w:rPr>
                <w:i/>
                <w:lang w:eastAsia="lt-LT"/>
              </w:rPr>
              <w:t>I</w:t>
            </w:r>
          </w:p>
        </w:tc>
        <w:tc>
          <w:tcPr>
            <w:tcW w:w="7688" w:type="dxa"/>
          </w:tcPr>
          <w:p w14:paraId="6BF4939E"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Išskaitos dėl pažeidimų</w:t>
            </w:r>
          </w:p>
        </w:tc>
      </w:tr>
      <w:tr w:rsidR="00102E8E" w:rsidRPr="00102E8E" w14:paraId="369599BA" w14:textId="77777777" w:rsidTr="00F94504">
        <w:trPr>
          <w:tblHeader/>
        </w:trPr>
        <w:tc>
          <w:tcPr>
            <w:tcW w:w="1242" w:type="dxa"/>
          </w:tcPr>
          <w:p w14:paraId="649184DE" w14:textId="77777777" w:rsidR="00102E8E" w:rsidRPr="00102E8E" w:rsidRDefault="00102E8E" w:rsidP="00102E8E">
            <w:pPr>
              <w:tabs>
                <w:tab w:val="left" w:pos="426"/>
                <w:tab w:val="left" w:pos="851"/>
                <w:tab w:val="left" w:pos="993"/>
                <w:tab w:val="left" w:pos="1276"/>
              </w:tabs>
              <w:spacing w:after="120" w:line="276" w:lineRule="auto"/>
              <w:ind w:firstLine="709"/>
              <w:rPr>
                <w:i/>
                <w:lang w:eastAsia="lt-LT"/>
              </w:rPr>
            </w:pPr>
            <w:r w:rsidRPr="00102E8E">
              <w:rPr>
                <w:i/>
                <w:lang w:eastAsia="lt-LT"/>
              </w:rPr>
              <w:t>KD</w:t>
            </w:r>
          </w:p>
        </w:tc>
        <w:tc>
          <w:tcPr>
            <w:tcW w:w="7688" w:type="dxa"/>
          </w:tcPr>
          <w:p w14:paraId="3DA3237F"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Kompensacija dėl Kompensavimo įvykio</w:t>
            </w:r>
          </w:p>
        </w:tc>
      </w:tr>
      <w:tr w:rsidR="00102E8E" w:rsidRPr="00102E8E" w14:paraId="35A5AA83" w14:textId="77777777" w:rsidTr="00F94504">
        <w:trPr>
          <w:tblHeader/>
        </w:trPr>
        <w:tc>
          <w:tcPr>
            <w:tcW w:w="1242" w:type="dxa"/>
          </w:tcPr>
          <w:p w14:paraId="24373F33" w14:textId="77777777" w:rsidR="00102E8E" w:rsidRPr="00102E8E" w:rsidRDefault="00102E8E" w:rsidP="00102E8E">
            <w:pPr>
              <w:tabs>
                <w:tab w:val="left" w:pos="426"/>
                <w:tab w:val="left" w:pos="851"/>
                <w:tab w:val="left" w:pos="993"/>
                <w:tab w:val="left" w:pos="1276"/>
              </w:tabs>
              <w:spacing w:after="120" w:line="276" w:lineRule="auto"/>
              <w:ind w:firstLine="709"/>
              <w:rPr>
                <w:i/>
                <w:lang w:eastAsia="lt-LT"/>
              </w:rPr>
            </w:pPr>
            <w:r w:rsidRPr="00102E8E">
              <w:rPr>
                <w:i/>
                <w:lang w:eastAsia="lt-LT"/>
              </w:rPr>
              <w:t>B</w:t>
            </w:r>
            <w:r w:rsidRPr="00102E8E">
              <w:rPr>
                <w:i/>
                <w:vertAlign w:val="subscript"/>
                <w:lang w:eastAsia="lt-LT"/>
              </w:rPr>
              <w:t>A</w:t>
            </w:r>
          </w:p>
        </w:tc>
        <w:tc>
          <w:tcPr>
            <w:tcW w:w="7688" w:type="dxa"/>
          </w:tcPr>
          <w:p w14:paraId="76805E11"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Išskaita dėl Atleidimo atvejo</w:t>
            </w:r>
          </w:p>
        </w:tc>
      </w:tr>
    </w:tbl>
    <w:p w14:paraId="0A228942" w14:textId="29684263" w:rsidR="00102E8E" w:rsidRDefault="00102E8E" w:rsidP="008C57E4">
      <w:pPr>
        <w:numPr>
          <w:ilvl w:val="1"/>
          <w:numId w:val="2"/>
        </w:numPr>
        <w:tabs>
          <w:tab w:val="left" w:pos="0"/>
          <w:tab w:val="left" w:pos="851"/>
          <w:tab w:val="left" w:pos="993"/>
          <w:tab w:val="left" w:pos="1276"/>
        </w:tabs>
        <w:spacing w:after="120" w:line="276" w:lineRule="auto"/>
        <w:ind w:left="-142" w:firstLine="66"/>
        <w:contextualSpacing/>
        <w:jc w:val="both"/>
      </w:pPr>
      <w:bookmarkStart w:id="7" w:name="_Ref405541607"/>
      <w:bookmarkStart w:id="8" w:name="_Ref410647046"/>
      <w:r w:rsidRPr="00102E8E">
        <w:t xml:space="preserve">Bazine data laikoma </w:t>
      </w:r>
      <w:r w:rsidR="00227B8D">
        <w:t>Sporto objekto eksploatacijos pradži</w:t>
      </w:r>
      <w:r w:rsidR="00227B8D">
        <w:rPr>
          <w:lang w:val="lt-LT"/>
        </w:rPr>
        <w:t>os data.</w:t>
      </w:r>
      <w:bookmarkEnd w:id="7"/>
      <w:r w:rsidRPr="00102E8E">
        <w:t xml:space="preserve"> </w:t>
      </w:r>
      <w:bookmarkStart w:id="9" w:name="_Toc239425798"/>
      <w:bookmarkStart w:id="10" w:name="_Toc239425812"/>
      <w:bookmarkStart w:id="11" w:name="_Toc448915155"/>
      <w:bookmarkEnd w:id="8"/>
    </w:p>
    <w:p w14:paraId="6C2157A6" w14:textId="328798B0" w:rsidR="003B473D" w:rsidRPr="00102E8E" w:rsidRDefault="00D028CE" w:rsidP="008C57E4">
      <w:pPr>
        <w:numPr>
          <w:ilvl w:val="1"/>
          <w:numId w:val="2"/>
        </w:numPr>
        <w:tabs>
          <w:tab w:val="left" w:pos="0"/>
          <w:tab w:val="left" w:pos="851"/>
          <w:tab w:val="left" w:pos="993"/>
          <w:tab w:val="left" w:pos="1276"/>
        </w:tabs>
        <w:spacing w:after="120" w:line="276" w:lineRule="auto"/>
        <w:ind w:left="-142" w:firstLine="66"/>
        <w:contextualSpacing/>
        <w:jc w:val="both"/>
      </w:pPr>
      <w:r w:rsidRPr="00D028CE">
        <w:t>Atlygis kiekvienais metais nevertinant indeksavimo (infliacijos, kainų pokyčių) realia verte yra vienodo dydžio (išskyrus pirmuosius</w:t>
      </w:r>
      <w:r w:rsidR="004E519A">
        <w:rPr>
          <w:lang w:val="lt-LT"/>
        </w:rPr>
        <w:t xml:space="preserve"> nuo bazinės datos</w:t>
      </w:r>
      <w:r w:rsidRPr="00D028CE">
        <w:t xml:space="preserve"> ir paskutinius mokėjimų metus, jeigu Atlygis pradedamas mokėti ne nuo kalendorinių metų pradžios)</w:t>
      </w:r>
      <w:r w:rsidR="00227B8D">
        <w:rPr>
          <w:lang w:val="lt-LT"/>
        </w:rPr>
        <w:t>.</w:t>
      </w:r>
    </w:p>
    <w:bookmarkEnd w:id="9"/>
    <w:bookmarkEnd w:id="10"/>
    <w:bookmarkEnd w:id="11"/>
    <w:p w14:paraId="69F86DFC" w14:textId="1268648A" w:rsidR="00102E8E" w:rsidRPr="00102E8E" w:rsidRDefault="00102E8E" w:rsidP="008C57E4">
      <w:pPr>
        <w:numPr>
          <w:ilvl w:val="1"/>
          <w:numId w:val="2"/>
        </w:numPr>
        <w:tabs>
          <w:tab w:val="left" w:pos="0"/>
          <w:tab w:val="left" w:pos="851"/>
          <w:tab w:val="left" w:pos="993"/>
          <w:tab w:val="left" w:pos="1276"/>
        </w:tabs>
        <w:spacing w:after="120" w:line="276" w:lineRule="auto"/>
        <w:ind w:left="-142" w:firstLine="66"/>
        <w:contextualSpacing/>
        <w:jc w:val="both"/>
      </w:pPr>
      <w:r w:rsidRPr="00102E8E">
        <w:t>Atlygio dydis, nurodytas Pasiūlyme, yra indeksuojamas nuo Atlygio</w:t>
      </w:r>
      <w:r w:rsidR="00227B8D">
        <w:rPr>
          <w:lang w:val="lt-LT"/>
        </w:rPr>
        <w:t>, numatyto šio Sutarties priedo 3.</w:t>
      </w:r>
      <w:r w:rsidR="00367F81">
        <w:rPr>
          <w:lang w:val="lt-LT"/>
        </w:rPr>
        <w:t>8</w:t>
      </w:r>
      <w:r w:rsidR="00227B8D">
        <w:rPr>
          <w:lang w:val="lt-LT"/>
        </w:rPr>
        <w:t>.2. p.,</w:t>
      </w:r>
      <w:r w:rsidRPr="00102E8E">
        <w:t xml:space="preserve"> mokėjimo pagal Sutarties nuostatas pradžios apimant visą laikotarpį nuo šiame Sutarties priede nurodyto</w:t>
      </w:r>
      <w:r w:rsidR="00374608">
        <w:rPr>
          <w:lang w:val="lt-LT"/>
        </w:rPr>
        <w:t>s</w:t>
      </w:r>
      <w:r w:rsidRPr="00102E8E">
        <w:t xml:space="preserve"> bazin</w:t>
      </w:r>
      <w:r w:rsidR="00374608">
        <w:rPr>
          <w:lang w:val="lt-LT"/>
        </w:rPr>
        <w:t>ės</w:t>
      </w:r>
      <w:r w:rsidRPr="00102E8E">
        <w:t xml:space="preserve"> </w:t>
      </w:r>
      <w:r w:rsidR="00374608">
        <w:rPr>
          <w:lang w:val="lt-LT"/>
        </w:rPr>
        <w:t>datos</w:t>
      </w:r>
      <w:r w:rsidRPr="00102E8E">
        <w:t>.</w:t>
      </w:r>
      <w:r w:rsidR="0050268D">
        <w:t xml:space="preserve"> Indeksuojamos atlygio dalys </w:t>
      </w:r>
      <w:r w:rsidR="008D5FD6" w:rsidRPr="00972825">
        <w:t>M4 ir M5, nurodytos FVM.</w:t>
      </w:r>
    </w:p>
    <w:p w14:paraId="7AA0418C" w14:textId="06238B5B" w:rsidR="00102E8E" w:rsidRPr="00102E8E" w:rsidRDefault="00102E8E" w:rsidP="00C020F0">
      <w:pPr>
        <w:numPr>
          <w:ilvl w:val="1"/>
          <w:numId w:val="2"/>
        </w:numPr>
        <w:tabs>
          <w:tab w:val="left" w:pos="851"/>
          <w:tab w:val="left" w:pos="993"/>
          <w:tab w:val="left" w:pos="1276"/>
        </w:tabs>
        <w:spacing w:after="120" w:line="276" w:lineRule="auto"/>
        <w:ind w:left="0" w:firstLine="0"/>
        <w:contextualSpacing/>
        <w:jc w:val="both"/>
      </w:pPr>
      <w:r w:rsidRPr="00102E8E">
        <w:t>Atlygis indeksuojamas vieną kartą kiekvienam 12 (dvylikos) mėnesių laikotarpiui nuo šiame Sutarties priede nurodyto</w:t>
      </w:r>
      <w:r w:rsidR="00374608">
        <w:rPr>
          <w:lang w:val="lt-LT"/>
        </w:rPr>
        <w:t>s</w:t>
      </w:r>
      <w:r w:rsidRPr="00102E8E">
        <w:t xml:space="preserve"> bazin</w:t>
      </w:r>
      <w:r w:rsidR="00374608">
        <w:rPr>
          <w:lang w:val="lt-LT"/>
        </w:rPr>
        <w:t>ės</w:t>
      </w:r>
      <w:r w:rsidRPr="00102E8E">
        <w:t xml:space="preserve"> </w:t>
      </w:r>
      <w:r w:rsidR="00374608">
        <w:rPr>
          <w:lang w:val="lt-LT"/>
        </w:rPr>
        <w:t xml:space="preserve">datos </w:t>
      </w:r>
      <w:r w:rsidRPr="00102E8E">
        <w:t xml:space="preserve">pradedant nuo antrųjų </w:t>
      </w:r>
      <w:r w:rsidR="00374608">
        <w:rPr>
          <w:lang w:val="lt-LT"/>
        </w:rPr>
        <w:t>Atlygio</w:t>
      </w:r>
      <w:r w:rsidR="00227B8D">
        <w:rPr>
          <w:lang w:val="lt-LT"/>
        </w:rPr>
        <w:t>, numatyto šio Sutarties priedo 3.</w:t>
      </w:r>
      <w:r w:rsidR="00367F81">
        <w:rPr>
          <w:lang w:val="lt-LT"/>
        </w:rPr>
        <w:t>8</w:t>
      </w:r>
      <w:r w:rsidR="00227B8D">
        <w:rPr>
          <w:lang w:val="lt-LT"/>
        </w:rPr>
        <w:t>.2. p.,</w:t>
      </w:r>
      <w:r w:rsidR="00227B8D" w:rsidRPr="00102E8E">
        <w:t xml:space="preserve"> </w:t>
      </w:r>
      <w:r w:rsidR="00374608">
        <w:rPr>
          <w:lang w:val="lt-LT"/>
        </w:rPr>
        <w:t>mokėjimo</w:t>
      </w:r>
      <w:r w:rsidR="00374608" w:rsidRPr="00102E8E">
        <w:t xml:space="preserve"> </w:t>
      </w:r>
      <w:r w:rsidRPr="00102E8E">
        <w:t>metų. Kiekvienam 12 mėnesių laikotarpiui nuo šiame Sutarties priede nurodyto</w:t>
      </w:r>
      <w:r w:rsidR="00374608">
        <w:rPr>
          <w:lang w:val="lt-LT"/>
        </w:rPr>
        <w:t>s</w:t>
      </w:r>
      <w:r w:rsidRPr="00102E8E">
        <w:t xml:space="preserve"> bazin</w:t>
      </w:r>
      <w:r w:rsidR="00374608">
        <w:rPr>
          <w:lang w:val="lt-LT"/>
        </w:rPr>
        <w:t>ės</w:t>
      </w:r>
      <w:r w:rsidRPr="00102E8E">
        <w:t xml:space="preserve"> </w:t>
      </w:r>
      <w:r w:rsidR="00374608">
        <w:rPr>
          <w:lang w:val="lt-LT"/>
        </w:rPr>
        <w:t>datos</w:t>
      </w:r>
      <w:r w:rsidR="00374608" w:rsidRPr="00102E8E">
        <w:t xml:space="preserve"> </w:t>
      </w:r>
      <w:r w:rsidRPr="00102E8E">
        <w:t>yra nustatomos atnaujintos indeksų reikšmės.</w:t>
      </w:r>
    </w:p>
    <w:p w14:paraId="70FF925D" w14:textId="77777777" w:rsidR="00102E8E" w:rsidRPr="00102E8E" w:rsidRDefault="00102E8E" w:rsidP="00C020F0">
      <w:pPr>
        <w:numPr>
          <w:ilvl w:val="1"/>
          <w:numId w:val="2"/>
        </w:numPr>
        <w:tabs>
          <w:tab w:val="left" w:pos="426"/>
          <w:tab w:val="left" w:pos="851"/>
          <w:tab w:val="left" w:pos="993"/>
          <w:tab w:val="left" w:pos="1276"/>
        </w:tabs>
        <w:spacing w:after="120" w:line="276" w:lineRule="auto"/>
        <w:ind w:left="0" w:firstLine="0"/>
        <w:contextualSpacing/>
        <w:jc w:val="both"/>
      </w:pPr>
      <w:r w:rsidRPr="00102E8E">
        <w:t>Rodiklis, kurį naudojant yra apskaičiuojamas indeksas, naudojamas indeksuoti Atlygį:</w:t>
      </w:r>
    </w:p>
    <w:tbl>
      <w:tblPr>
        <w:tblW w:w="7796" w:type="dxa"/>
        <w:tblInd w:w="534" w:type="dxa"/>
        <w:tblLayout w:type="fixed"/>
        <w:tblLook w:val="04A0" w:firstRow="1" w:lastRow="0" w:firstColumn="1" w:lastColumn="0" w:noHBand="0" w:noVBand="1"/>
      </w:tblPr>
      <w:tblGrid>
        <w:gridCol w:w="1561"/>
        <w:gridCol w:w="6235"/>
      </w:tblGrid>
      <w:tr w:rsidR="00102E8E" w:rsidRPr="00102E8E" w14:paraId="3B00ADD0" w14:textId="77777777" w:rsidTr="00F94504">
        <w:trPr>
          <w:tblHeader/>
        </w:trPr>
        <w:tc>
          <w:tcPr>
            <w:tcW w:w="1561" w:type="dxa"/>
          </w:tcPr>
          <w:p w14:paraId="179EF964" w14:textId="77777777" w:rsidR="00102E8E" w:rsidRPr="00102E8E" w:rsidRDefault="00102E8E" w:rsidP="00102E8E">
            <w:pPr>
              <w:tabs>
                <w:tab w:val="left" w:pos="426"/>
                <w:tab w:val="left" w:pos="851"/>
                <w:tab w:val="left" w:pos="993"/>
                <w:tab w:val="left" w:pos="1276"/>
              </w:tabs>
              <w:spacing w:after="120" w:line="276" w:lineRule="auto"/>
              <w:ind w:firstLine="709"/>
              <w:jc w:val="both"/>
              <w:rPr>
                <w:rFonts w:eastAsia="Calibri"/>
                <w:lang w:eastAsia="lt-LT"/>
              </w:rPr>
            </w:pPr>
            <m:oMathPara>
              <m:oMath>
                <m:r>
                  <w:rPr>
                    <w:rFonts w:ascii="Cambria Math" w:hAnsi="Cambria Math"/>
                    <w:lang w:eastAsia="lt-LT"/>
                  </w:rPr>
                  <m:t>Index_SVKI</m:t>
                </m:r>
              </m:oMath>
            </m:oMathPara>
          </w:p>
        </w:tc>
        <w:tc>
          <w:tcPr>
            <w:tcW w:w="6235" w:type="dxa"/>
          </w:tcPr>
          <w:p w14:paraId="48D231B1"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Mėnesinis Lietuvos Respublikos statistikos departamento skelbiamas Lietuvos Respublikos suderintas vartotojų kainų indeksas.</w:t>
            </w:r>
          </w:p>
          <w:p w14:paraId="42C92E44"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2418C680" w14:textId="77777777" w:rsidR="00102E8E" w:rsidRPr="00102E8E" w:rsidRDefault="00102E8E" w:rsidP="001F2911">
      <w:pPr>
        <w:numPr>
          <w:ilvl w:val="1"/>
          <w:numId w:val="2"/>
        </w:numPr>
        <w:tabs>
          <w:tab w:val="left" w:pos="426"/>
          <w:tab w:val="left" w:pos="851"/>
          <w:tab w:val="left" w:pos="993"/>
          <w:tab w:val="left" w:pos="1276"/>
        </w:tabs>
        <w:spacing w:after="120" w:line="276" w:lineRule="auto"/>
        <w:ind w:left="0" w:firstLine="0"/>
        <w:contextualSpacing/>
        <w:jc w:val="both"/>
      </w:pPr>
      <w:r w:rsidRPr="00102E8E">
        <w:lastRenderedPageBreak/>
        <w:t xml:space="preserve">indeksavimo rodiklio </w:t>
      </w:r>
      <w:r w:rsidRPr="00102E8E">
        <w:rPr>
          <w:i/>
        </w:rPr>
        <w:t>Index</w:t>
      </w:r>
      <w:r w:rsidRPr="00102E8E">
        <w:rPr>
          <w:b/>
          <w:i/>
        </w:rPr>
        <w:t>_</w:t>
      </w:r>
      <w:r w:rsidRPr="00102E8E">
        <w:rPr>
          <w:i/>
        </w:rPr>
        <w:t>SVKI</w:t>
      </w:r>
      <w:r w:rsidRPr="00102E8E">
        <w:t xml:space="preserve"> šaltinis: Lietuvos Respublikos statistikos departamento rodiklių duomenų bazė. Indeksavimo rodiklis randamas atliekant žemiau pateiktus žingsnius:</w:t>
      </w:r>
    </w:p>
    <w:p w14:paraId="6583F058" w14:textId="77777777" w:rsidR="00102E8E" w:rsidRPr="00102E8E" w:rsidRDefault="00F17151" w:rsidP="001F2911">
      <w:pPr>
        <w:numPr>
          <w:ilvl w:val="2"/>
          <w:numId w:val="2"/>
        </w:numPr>
        <w:tabs>
          <w:tab w:val="left" w:pos="426"/>
          <w:tab w:val="left" w:pos="851"/>
          <w:tab w:val="left" w:pos="993"/>
          <w:tab w:val="left" w:pos="1276"/>
        </w:tabs>
        <w:spacing w:after="120" w:line="276" w:lineRule="auto"/>
        <w:ind w:left="0" w:firstLine="426"/>
        <w:contextualSpacing/>
        <w:jc w:val="both"/>
      </w:pPr>
      <w:hyperlink r:id="rId5" w:history="1">
        <w:r w:rsidR="00102E8E" w:rsidRPr="00102E8E">
          <w:t>http://www.stat.gov.lt/</w:t>
        </w:r>
      </w:hyperlink>
      <w:r w:rsidR="00102E8E" w:rsidRPr="00102E8E">
        <w:t>;</w:t>
      </w:r>
    </w:p>
    <w:p w14:paraId="11A843A0"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Oficialiosios statistikos portalas;</w:t>
      </w:r>
    </w:p>
    <w:p w14:paraId="7F371AED"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Ūkis ir finansai;</w:t>
      </w:r>
    </w:p>
    <w:p w14:paraId="0010F315"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Kainų indeksai, pokyčiai ir kainos;</w:t>
      </w:r>
    </w:p>
    <w:p w14:paraId="254A1F35"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Suderintas vartotojų kainų indeksas (SVKI), kainų pokyčiai, pastovių mokesčių SVKI ir svoriai;</w:t>
      </w:r>
    </w:p>
    <w:p w14:paraId="279BFF09"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Mėnesiniai suderinti vartotojų kainų indeksai, kainų pokyčiai pagal suderintą vartotojų kainų indeksą ir pastovių mokesčių suderinti vartotojų kainų indeksai;</w:t>
      </w:r>
    </w:p>
    <w:p w14:paraId="0E6D5A29" w14:textId="77777777" w:rsidR="00102E8E" w:rsidRPr="00102E8E" w:rsidRDefault="00102E8E" w:rsidP="001F2911">
      <w:pPr>
        <w:numPr>
          <w:ilvl w:val="2"/>
          <w:numId w:val="2"/>
        </w:numPr>
        <w:tabs>
          <w:tab w:val="left" w:pos="426"/>
          <w:tab w:val="left" w:pos="851"/>
          <w:tab w:val="left" w:pos="993"/>
          <w:tab w:val="left" w:pos="1276"/>
        </w:tabs>
        <w:spacing w:after="120" w:line="276" w:lineRule="auto"/>
        <w:ind w:left="0" w:firstLine="426"/>
        <w:contextualSpacing/>
        <w:jc w:val="both"/>
      </w:pPr>
      <w:r w:rsidRPr="00102E8E">
        <w:t>Požymiai: laikotarpis, Individualaus vartojimo išlaidų pagal paskirtį klasifikatorius (COICOP), specialioji prekių ir paslaugų grupė – Vartojimo prekės ir paslaugos.</w:t>
      </w:r>
    </w:p>
    <w:p w14:paraId="1428916B" w14:textId="42AF6472" w:rsidR="00102E8E" w:rsidRPr="00102E8E" w:rsidRDefault="00102E8E" w:rsidP="00C65810">
      <w:pPr>
        <w:numPr>
          <w:ilvl w:val="1"/>
          <w:numId w:val="2"/>
        </w:numPr>
        <w:tabs>
          <w:tab w:val="left" w:pos="426"/>
          <w:tab w:val="left" w:pos="851"/>
          <w:tab w:val="left" w:pos="993"/>
          <w:tab w:val="left" w:pos="1276"/>
        </w:tabs>
        <w:spacing w:after="120" w:line="276" w:lineRule="auto"/>
        <w:ind w:hanging="502"/>
        <w:contextualSpacing/>
        <w:jc w:val="both"/>
      </w:pPr>
      <w:r w:rsidRPr="00102E8E">
        <w:t>Kiekvienų n-tųjų metų Atlygis indeksuojamas pagal formulę:</w:t>
      </w:r>
    </w:p>
    <w:p w14:paraId="735F6406" w14:textId="77777777" w:rsidR="00102E8E" w:rsidRPr="001F2911" w:rsidRDefault="00F17151" w:rsidP="001F2911">
      <w:pPr>
        <w:tabs>
          <w:tab w:val="left" w:pos="426"/>
          <w:tab w:val="left" w:pos="851"/>
          <w:tab w:val="left" w:pos="993"/>
          <w:tab w:val="left" w:pos="1276"/>
        </w:tabs>
        <w:spacing w:before="240" w:after="120" w:line="276" w:lineRule="auto"/>
        <w:ind w:firstLine="709"/>
        <w:jc w:val="both"/>
        <w:rPr>
          <w:i/>
          <w:lang w:eastAsia="lt-LT"/>
        </w:rPr>
      </w:pPr>
      <m:oMathPara>
        <m:oMathParaPr>
          <m:jc m:val="center"/>
        </m:oMathParaPr>
        <m:oMath>
          <m:sSub>
            <m:sSubPr>
              <m:ctrlPr>
                <w:rPr>
                  <w:rFonts w:ascii="Cambria Math" w:hAnsi="Cambria Math"/>
                  <w:i/>
                  <w:lang w:eastAsia="lt-LT"/>
                </w:rPr>
              </m:ctrlPr>
            </m:sSubPr>
            <m:e>
              <m:r>
                <w:rPr>
                  <w:rFonts w:ascii="Cambria Math" w:hAnsi="Cambria Math"/>
                  <w:lang w:eastAsia="lt-LT"/>
                </w:rPr>
                <m:t>M</m:t>
              </m:r>
            </m:e>
            <m:sub>
              <m:r>
                <w:rPr>
                  <w:rFonts w:ascii="Cambria Math" w:hAnsi="Cambria Math"/>
                  <w:lang w:eastAsia="lt-LT"/>
                </w:rPr>
                <m:t>n</m:t>
              </m:r>
            </m:sub>
          </m:sSub>
          <m:r>
            <w:rPr>
              <w:rFonts w:ascii="Cambria Math" w:hAnsi="Cambria Math"/>
              <w:lang w:eastAsia="lt-LT"/>
            </w:rPr>
            <m:t>=</m:t>
          </m:r>
          <m:sSub>
            <m:sSubPr>
              <m:ctrlPr>
                <w:rPr>
                  <w:rFonts w:ascii="Cambria Math" w:hAnsi="Cambria Math"/>
                  <w:i/>
                  <w:lang w:eastAsia="lt-LT"/>
                </w:rPr>
              </m:ctrlPr>
            </m:sSubPr>
            <m:e>
              <m:r>
                <w:rPr>
                  <w:rFonts w:ascii="Cambria Math" w:hAnsi="Cambria Math"/>
                  <w:lang w:eastAsia="lt-LT"/>
                </w:rPr>
                <m:t>M</m:t>
              </m:r>
            </m:e>
            <m:sub>
              <m:r>
                <w:rPr>
                  <w:rFonts w:ascii="Cambria Math" w:hAnsi="Cambria Math"/>
                  <w:lang w:eastAsia="lt-LT"/>
                </w:rPr>
                <m:t>0n</m:t>
              </m:r>
            </m:sub>
          </m:sSub>
          <m:r>
            <w:rPr>
              <w:rFonts w:ascii="Cambria Math" w:hAnsi="Cambria Math"/>
              <w:lang w:eastAsia="lt-LT"/>
            </w:rPr>
            <m:t>×</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Inde</m:t>
                  </m:r>
                  <m:sSub>
                    <m:sSubPr>
                      <m:ctrlPr>
                        <w:rPr>
                          <w:rFonts w:ascii="Cambria Math" w:hAnsi="Cambria Math"/>
                          <w:i/>
                          <w:lang w:eastAsia="lt-LT"/>
                        </w:rPr>
                      </m:ctrlPr>
                    </m:sSubPr>
                    <m:e>
                      <m:r>
                        <w:rPr>
                          <w:rFonts w:ascii="Cambria Math" w:hAnsi="Cambria Math"/>
                          <w:lang w:eastAsia="lt-LT"/>
                        </w:rPr>
                        <m:t>x</m:t>
                      </m:r>
                    </m:e>
                    <m:sub>
                      <m:r>
                        <w:rPr>
                          <w:rFonts w:ascii="Cambria Math" w:hAnsi="Cambria Math"/>
                          <w:lang w:eastAsia="lt-LT"/>
                        </w:rPr>
                        <m:t>SVKI</m:t>
                      </m:r>
                    </m:sub>
                  </m:sSub>
                </m:e>
                <m:sub>
                  <m:r>
                    <w:rPr>
                      <w:rFonts w:ascii="Cambria Math" w:hAnsi="Cambria Math"/>
                      <w:lang w:eastAsia="lt-LT"/>
                    </w:rPr>
                    <m:t>n</m:t>
                  </m:r>
                </m:sub>
              </m:sSub>
            </m:num>
            <m:den>
              <m:sSub>
                <m:sSubPr>
                  <m:ctrlPr>
                    <w:rPr>
                      <w:rFonts w:ascii="Cambria Math" w:hAnsi="Cambria Math"/>
                      <w:i/>
                      <w:lang w:eastAsia="lt-LT"/>
                    </w:rPr>
                  </m:ctrlPr>
                </m:sSubPr>
                <m:e>
                  <m:r>
                    <w:rPr>
                      <w:rFonts w:ascii="Cambria Math" w:hAnsi="Cambria Math"/>
                      <w:lang w:eastAsia="lt-LT"/>
                    </w:rPr>
                    <m:t>Inde</m:t>
                  </m:r>
                  <m:sSub>
                    <m:sSubPr>
                      <m:ctrlPr>
                        <w:rPr>
                          <w:rFonts w:ascii="Cambria Math" w:hAnsi="Cambria Math"/>
                          <w:i/>
                          <w:lang w:eastAsia="lt-LT"/>
                        </w:rPr>
                      </m:ctrlPr>
                    </m:sSubPr>
                    <m:e>
                      <m:r>
                        <w:rPr>
                          <w:rFonts w:ascii="Cambria Math" w:hAnsi="Cambria Math"/>
                          <w:lang w:eastAsia="lt-LT"/>
                        </w:rPr>
                        <m:t>x</m:t>
                      </m:r>
                    </m:e>
                    <m:sub>
                      <m:r>
                        <w:rPr>
                          <w:rFonts w:ascii="Cambria Math" w:hAnsi="Cambria Math"/>
                          <w:lang w:eastAsia="lt-LT"/>
                        </w:rPr>
                        <m:t>SVKI</m:t>
                      </m:r>
                    </m:sub>
                  </m:sSub>
                </m:e>
                <m:sub>
                  <m:r>
                    <w:rPr>
                      <w:rFonts w:ascii="Cambria Math" w:hAnsi="Cambria Math"/>
                      <w:lang w:eastAsia="lt-LT"/>
                    </w:rPr>
                    <m:t>0</m:t>
                  </m:r>
                </m:sub>
              </m:sSub>
            </m:den>
          </m:f>
        </m:oMath>
      </m:oMathPara>
    </w:p>
    <w:p w14:paraId="2D8D3630" w14:textId="77777777" w:rsidR="00102E8E" w:rsidRPr="00102E8E" w:rsidRDefault="00102E8E" w:rsidP="00102E8E">
      <w:pPr>
        <w:tabs>
          <w:tab w:val="left" w:pos="426"/>
          <w:tab w:val="left" w:pos="851"/>
          <w:tab w:val="left" w:pos="993"/>
          <w:tab w:val="left" w:pos="1276"/>
        </w:tabs>
        <w:spacing w:after="120" w:line="276" w:lineRule="auto"/>
        <w:ind w:firstLine="709"/>
        <w:rPr>
          <w:lang w:eastAsia="lt-LT"/>
        </w:rPr>
      </w:pPr>
      <w:r w:rsidRPr="00102E8E">
        <w:rPr>
          <w:lang w:eastAsia="lt-LT"/>
        </w:rPr>
        <w:t>kur:</w:t>
      </w:r>
    </w:p>
    <w:tbl>
      <w:tblPr>
        <w:tblStyle w:val="Lentelstinklelis"/>
        <w:tblW w:w="808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6396"/>
      </w:tblGrid>
      <w:tr w:rsidR="00102E8E" w:rsidRPr="00102E8E" w14:paraId="7BE6CE0C" w14:textId="77777777" w:rsidTr="00F94504">
        <w:trPr>
          <w:tblHeader/>
        </w:trPr>
        <w:tc>
          <w:tcPr>
            <w:tcW w:w="1684" w:type="dxa"/>
          </w:tcPr>
          <w:p w14:paraId="1D649A98" w14:textId="77777777" w:rsidR="00102E8E" w:rsidRPr="00102E8E" w:rsidRDefault="00F17151" w:rsidP="00102E8E">
            <w:pPr>
              <w:tabs>
                <w:tab w:val="left" w:pos="426"/>
                <w:tab w:val="left" w:pos="851"/>
                <w:tab w:val="left" w:pos="993"/>
                <w:tab w:val="left" w:pos="1276"/>
              </w:tabs>
              <w:spacing w:after="120" w:line="276" w:lineRule="auto"/>
              <w:ind w:firstLine="709"/>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n</m:t>
                    </m:r>
                  </m:sub>
                </m:sSub>
              </m:oMath>
            </m:oMathPara>
          </w:p>
        </w:tc>
        <w:tc>
          <w:tcPr>
            <w:tcW w:w="6396" w:type="dxa"/>
          </w:tcPr>
          <w:p w14:paraId="378B73D0" w14:textId="77777777" w:rsidR="00102E8E" w:rsidRPr="00102E8E" w:rsidRDefault="00102E8E" w:rsidP="00102E8E">
            <w:pPr>
              <w:tabs>
                <w:tab w:val="left" w:pos="426"/>
                <w:tab w:val="left" w:pos="851"/>
                <w:tab w:val="left" w:pos="993"/>
                <w:tab w:val="left" w:pos="1276"/>
              </w:tabs>
              <w:spacing w:after="120" w:line="276" w:lineRule="auto"/>
              <w:ind w:firstLine="709"/>
              <w:jc w:val="both"/>
            </w:pPr>
            <w:r w:rsidRPr="00102E8E">
              <w:t>Atlygio metinė dalis nominalia (indeksuota) verte</w:t>
            </w:r>
            <w:r w:rsidRPr="00102E8E">
              <w:rPr>
                <w:i/>
              </w:rPr>
              <w:t xml:space="preserve"> n </w:t>
            </w:r>
            <w:r w:rsidRPr="00102E8E">
              <w:t>– aisiais metais</w:t>
            </w:r>
          </w:p>
        </w:tc>
      </w:tr>
      <w:tr w:rsidR="00102E8E" w:rsidRPr="00102E8E" w14:paraId="26D39613" w14:textId="77777777" w:rsidTr="00F94504">
        <w:trPr>
          <w:tblHeader/>
        </w:trPr>
        <w:tc>
          <w:tcPr>
            <w:tcW w:w="1684" w:type="dxa"/>
          </w:tcPr>
          <w:p w14:paraId="607B9A3E" w14:textId="77777777" w:rsidR="00102E8E" w:rsidRPr="00102E8E" w:rsidRDefault="00F17151" w:rsidP="00102E8E">
            <w:pPr>
              <w:tabs>
                <w:tab w:val="left" w:pos="426"/>
                <w:tab w:val="left" w:pos="851"/>
                <w:tab w:val="left" w:pos="993"/>
                <w:tab w:val="left" w:pos="1276"/>
              </w:tabs>
              <w:spacing w:after="120" w:line="276" w:lineRule="auto"/>
              <w:ind w:firstLine="709"/>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0n</m:t>
                    </m:r>
                  </m:sub>
                </m:sSub>
              </m:oMath>
            </m:oMathPara>
          </w:p>
        </w:tc>
        <w:tc>
          <w:tcPr>
            <w:tcW w:w="6396" w:type="dxa"/>
          </w:tcPr>
          <w:p w14:paraId="00D92E58"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b/>
              </w:rPr>
            </w:pPr>
            <w:r w:rsidRPr="00102E8E">
              <w:t xml:space="preserve">Atlygio metinės dalies reikšmė </w:t>
            </w:r>
            <w:r w:rsidRPr="00102E8E">
              <w:rPr>
                <w:i/>
              </w:rPr>
              <w:t xml:space="preserve">n </w:t>
            </w:r>
            <w:r w:rsidRPr="00102E8E">
              <w:t>– aisiais metais, Pasiūlymo pateikimo metu galiojančiomis (bazinėmis) kainomis</w:t>
            </w:r>
          </w:p>
        </w:tc>
      </w:tr>
      <w:tr w:rsidR="00102E8E" w:rsidRPr="00102E8E" w14:paraId="26756DDA" w14:textId="77777777" w:rsidTr="00F94504">
        <w:trPr>
          <w:tblHeader/>
        </w:trPr>
        <w:tc>
          <w:tcPr>
            <w:tcW w:w="1684" w:type="dxa"/>
          </w:tcPr>
          <w:p w14:paraId="1E3121E9" w14:textId="77777777" w:rsidR="00102E8E" w:rsidRPr="00102E8E" w:rsidRDefault="00F17151" w:rsidP="00102E8E">
            <w:pPr>
              <w:tabs>
                <w:tab w:val="left" w:pos="426"/>
                <w:tab w:val="left" w:pos="851"/>
                <w:tab w:val="left" w:pos="993"/>
                <w:tab w:val="left" w:pos="1276"/>
              </w:tabs>
              <w:spacing w:after="120" w:line="276" w:lineRule="auto"/>
              <w:ind w:firstLine="709"/>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6396" w:type="dxa"/>
          </w:tcPr>
          <w:p w14:paraId="5DEE9FCD"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pPr>
            <w:r w:rsidRPr="00102E8E">
              <w:t>kalendorinį mėnesį, esantį kas kiekvieną 12 (dvylikos) mėnesių laikotarpį, skaičiuojant nuo Paslaugų teikimo pradžios datos Lietuvos Respublikos statistikos departamento vėliausiai paskelbta indeksavimo rodiklio reikšmė (t.y. pirmą kartą imama Paslaugų teikimo pradžios mėnesio indeksavimo rodiklio reikšmė, o vėliau kiekvienų kitų kalendorinių metų to paties mėnesio indeksavimo rodiklio reikšmė)</w:t>
            </w:r>
          </w:p>
        </w:tc>
      </w:tr>
      <w:tr w:rsidR="00102E8E" w:rsidRPr="00102E8E" w14:paraId="01523585" w14:textId="77777777" w:rsidTr="00F94504">
        <w:trPr>
          <w:tblHeader/>
        </w:trPr>
        <w:tc>
          <w:tcPr>
            <w:tcW w:w="1684" w:type="dxa"/>
          </w:tcPr>
          <w:p w14:paraId="0204156C" w14:textId="77777777" w:rsidR="00102E8E" w:rsidRPr="00102E8E" w:rsidRDefault="00F17151" w:rsidP="00102E8E">
            <w:pPr>
              <w:tabs>
                <w:tab w:val="left" w:pos="426"/>
                <w:tab w:val="left" w:pos="851"/>
                <w:tab w:val="left" w:pos="993"/>
                <w:tab w:val="left" w:pos="1276"/>
              </w:tabs>
              <w:spacing w:after="120" w:line="276" w:lineRule="auto"/>
              <w:ind w:firstLine="709"/>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6396" w:type="dxa"/>
          </w:tcPr>
          <w:p w14:paraId="71B67FD0"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pPr>
            <w:r w:rsidRPr="00102E8E">
              <w:t>šiame dokumente nurodytą bazinį mėnesį Lietuvos Respublikos statistikos departamento vėliausiai paskelbta indeksavimo rodiklio reikšmė</w:t>
            </w:r>
          </w:p>
        </w:tc>
      </w:tr>
    </w:tbl>
    <w:p w14:paraId="7C6DA998" w14:textId="5CF0EFA7" w:rsidR="00EB6C35" w:rsidRPr="0040334A" w:rsidRDefault="00C65810" w:rsidP="0040334A">
      <w:pPr>
        <w:tabs>
          <w:tab w:val="left" w:pos="426"/>
          <w:tab w:val="left" w:pos="567"/>
          <w:tab w:val="left" w:pos="993"/>
          <w:tab w:val="left" w:pos="1276"/>
        </w:tabs>
        <w:spacing w:before="240"/>
        <w:ind w:right="-1"/>
        <w:jc w:val="both"/>
        <w:rPr>
          <w:bCs/>
          <w:lang w:val="en-US"/>
        </w:rPr>
      </w:pPr>
      <w:r w:rsidRPr="00B460C5">
        <w:rPr>
          <w:bCs/>
        </w:rPr>
        <w:t>3.1</w:t>
      </w:r>
      <w:r w:rsidR="00374608">
        <w:rPr>
          <w:bCs/>
        </w:rPr>
        <w:t>7</w:t>
      </w:r>
      <w:r w:rsidR="00374608">
        <w:rPr>
          <w:bCs/>
          <w:lang w:val="lt-LT"/>
        </w:rPr>
        <w:t>.</w:t>
      </w:r>
      <w:r w:rsidRPr="00B460C5">
        <w:rPr>
          <w:bCs/>
        </w:rPr>
        <w:t xml:space="preserve"> </w:t>
      </w:r>
      <w:r w:rsidR="00B460C5" w:rsidRPr="00514310">
        <w:rPr>
          <w:bCs/>
        </w:rPr>
        <w:t>Sutartyje nurodytas viešųjų paslaugų</w:t>
      </w:r>
      <w:r w:rsidR="007420C7" w:rsidRPr="00514310">
        <w:rPr>
          <w:bCs/>
        </w:rPr>
        <w:t xml:space="preserve"> įkainis „</w:t>
      </w:r>
      <w:r w:rsidR="00431BB1" w:rsidRPr="00514310">
        <w:rPr>
          <w:bCs/>
        </w:rPr>
        <w:t xml:space="preserve">Siūlomas 1 baseino takelio nuomos įkainis Suteikiančiajai institucijai darbo dienomis nuo 9 val. iki 17 val. (P2), Eur.“ Indeksuojamas </w:t>
      </w:r>
      <w:r w:rsidR="0040334A" w:rsidRPr="00514310">
        <w:rPr>
          <w:bCs/>
          <w:lang w:val="en-US"/>
        </w:rPr>
        <w:t>3.1</w:t>
      </w:r>
      <w:r w:rsidR="00374608">
        <w:rPr>
          <w:bCs/>
          <w:lang w:val="en-US"/>
        </w:rPr>
        <w:t>6</w:t>
      </w:r>
      <w:r w:rsidR="0040334A" w:rsidRPr="00514310">
        <w:rPr>
          <w:bCs/>
          <w:lang w:val="en-US"/>
        </w:rPr>
        <w:t xml:space="preserve"> punkte numatyta tvarka.</w:t>
      </w:r>
    </w:p>
    <w:p w14:paraId="149B0BC8" w14:textId="776C8E4A" w:rsidR="00102E8E" w:rsidRPr="00C65810" w:rsidRDefault="00102E8E" w:rsidP="00C65810">
      <w:pPr>
        <w:pStyle w:val="Sraopastraipa"/>
        <w:numPr>
          <w:ilvl w:val="0"/>
          <w:numId w:val="4"/>
        </w:numPr>
        <w:tabs>
          <w:tab w:val="left" w:pos="426"/>
          <w:tab w:val="left" w:pos="567"/>
          <w:tab w:val="left" w:pos="993"/>
          <w:tab w:val="left" w:pos="1276"/>
        </w:tabs>
        <w:spacing w:before="240" w:after="0" w:line="240" w:lineRule="auto"/>
        <w:ind w:right="5954"/>
        <w:rPr>
          <w:rFonts w:ascii="Times New Roman" w:eastAsia="Times New Roman" w:hAnsi="Times New Roman" w:cs="Times New Roman"/>
          <w:b/>
          <w:sz w:val="24"/>
        </w:rPr>
      </w:pPr>
      <w:r w:rsidRPr="00C65810">
        <w:rPr>
          <w:rFonts w:ascii="Times New Roman" w:eastAsia="Times New Roman" w:hAnsi="Times New Roman" w:cs="Times New Roman"/>
          <w:b/>
          <w:sz w:val="24"/>
        </w:rPr>
        <w:t>Kompensavimo įvykis</w:t>
      </w:r>
    </w:p>
    <w:p w14:paraId="1B1FC2E3" w14:textId="77777777" w:rsidR="00102E8E" w:rsidRPr="00102E8E" w:rsidRDefault="00102E8E" w:rsidP="00102E8E">
      <w:pPr>
        <w:tabs>
          <w:tab w:val="left" w:pos="426"/>
          <w:tab w:val="left" w:pos="851"/>
          <w:tab w:val="left" w:pos="993"/>
          <w:tab w:val="left" w:pos="1276"/>
        </w:tabs>
        <w:ind w:firstLine="709"/>
      </w:pPr>
    </w:p>
    <w:p w14:paraId="2C844007" w14:textId="77777777" w:rsidR="00102E8E" w:rsidRPr="00102E8E" w:rsidRDefault="00102E8E" w:rsidP="00A90D56">
      <w:pPr>
        <w:numPr>
          <w:ilvl w:val="1"/>
          <w:numId w:val="4"/>
        </w:numPr>
        <w:tabs>
          <w:tab w:val="left" w:pos="426"/>
          <w:tab w:val="left" w:pos="851"/>
          <w:tab w:val="left" w:pos="993"/>
          <w:tab w:val="left" w:pos="1276"/>
        </w:tabs>
        <w:spacing w:after="120" w:line="276" w:lineRule="auto"/>
        <w:ind w:left="567" w:hanging="526"/>
        <w:jc w:val="both"/>
      </w:pPr>
      <w:bookmarkStart w:id="12" w:name="_Ref317681770"/>
      <w:r w:rsidRPr="00102E8E">
        <w:t>Sutartyje numatytais atvejais, dėl Kompensavimo įvykio kilę Koncesininko nuostoliai kompensuojami Suteikiančiosios institucijos.</w:t>
      </w:r>
    </w:p>
    <w:p w14:paraId="689923E8" w14:textId="4C4229C7" w:rsidR="00102E8E" w:rsidRPr="00102E8E" w:rsidRDefault="00102E8E" w:rsidP="00A90D56">
      <w:pPr>
        <w:numPr>
          <w:ilvl w:val="1"/>
          <w:numId w:val="4"/>
        </w:numPr>
        <w:tabs>
          <w:tab w:val="left" w:pos="426"/>
          <w:tab w:val="left" w:pos="851"/>
          <w:tab w:val="left" w:pos="993"/>
          <w:tab w:val="left" w:pos="1276"/>
        </w:tabs>
        <w:spacing w:after="120" w:line="276" w:lineRule="auto"/>
        <w:ind w:left="567" w:hanging="526"/>
        <w:jc w:val="both"/>
      </w:pPr>
      <w:r w:rsidRPr="00102E8E">
        <w:t xml:space="preserve">Jeigu dėl Kompensavimo įvykio padidėja Investicijos į </w:t>
      </w:r>
      <w:r w:rsidR="00B5422D">
        <w:t>Sporto objektą</w:t>
      </w:r>
      <w:r w:rsidRPr="00102E8E">
        <w:t xml:space="preserve"> ir Šalys sutaria kompensaciją dėl minimo padidėjimo mokėti dalimis, tokios kompensacijos dalys apskaičiuojamos pagal žemiau pateiktą formulę:</w:t>
      </w:r>
      <w:bookmarkEnd w:id="12"/>
    </w:p>
    <w:p w14:paraId="5603738A" w14:textId="77777777" w:rsidR="00102E8E" w:rsidRPr="00A90D56" w:rsidRDefault="00102E8E" w:rsidP="00102E8E">
      <w:pPr>
        <w:tabs>
          <w:tab w:val="left" w:pos="426"/>
          <w:tab w:val="left" w:pos="851"/>
          <w:tab w:val="left" w:pos="993"/>
          <w:tab w:val="left" w:pos="1276"/>
        </w:tabs>
        <w:ind w:firstLine="709"/>
        <w:contextualSpacing/>
      </w:pPr>
      <m:oMathPara>
        <m:oMathParaPr>
          <m:jc m:val="center"/>
        </m:oMathParaPr>
        <m:oMath>
          <m:r>
            <w:rPr>
              <w:rFonts w:ascii="Cambria Math" w:hAnsi="Cambria Math"/>
            </w:rPr>
            <w:lastRenderedPageBreak/>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14:paraId="5D74636D" w14:textId="77777777" w:rsidR="00102E8E" w:rsidRPr="00A90D56" w:rsidRDefault="00102E8E" w:rsidP="00102E8E">
      <w:pPr>
        <w:tabs>
          <w:tab w:val="left" w:pos="426"/>
          <w:tab w:val="left" w:pos="851"/>
          <w:tab w:val="left" w:pos="993"/>
          <w:tab w:val="left" w:pos="1276"/>
        </w:tabs>
        <w:ind w:firstLine="709"/>
        <w:contextualSpacing/>
      </w:pPr>
      <m:oMathPara>
        <m:oMathParaPr>
          <m:jc m:val="center"/>
        </m:oMathParaPr>
        <m:oMath>
          <m:r>
            <w:rPr>
              <w:rFonts w:ascii="Cambria Math" w:hAnsi="Cambria Math"/>
            </w:rPr>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14:paraId="551734D2"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kur:</w:t>
      </w:r>
    </w:p>
    <w:tbl>
      <w:tblPr>
        <w:tblW w:w="8080" w:type="dxa"/>
        <w:tblInd w:w="959" w:type="dxa"/>
        <w:tblLook w:val="04A0" w:firstRow="1" w:lastRow="0" w:firstColumn="1" w:lastColumn="0" w:noHBand="0" w:noVBand="1"/>
      </w:tblPr>
      <w:tblGrid>
        <w:gridCol w:w="1653"/>
        <w:gridCol w:w="6427"/>
      </w:tblGrid>
      <w:tr w:rsidR="00102E8E" w:rsidRPr="00102E8E" w14:paraId="7D34A2CA" w14:textId="77777777" w:rsidTr="00F94504">
        <w:trPr>
          <w:tblHeader/>
        </w:trPr>
        <w:tc>
          <w:tcPr>
            <w:tcW w:w="1242" w:type="dxa"/>
          </w:tcPr>
          <w:p w14:paraId="76524F87" w14:textId="77777777" w:rsidR="00102E8E" w:rsidRPr="00102E8E" w:rsidRDefault="00102E8E" w:rsidP="00102E8E">
            <w:pPr>
              <w:tabs>
                <w:tab w:val="left" w:pos="426"/>
                <w:tab w:val="left" w:pos="851"/>
                <w:tab w:val="left" w:pos="993"/>
                <w:tab w:val="left" w:pos="1276"/>
              </w:tabs>
              <w:spacing w:after="120" w:line="276" w:lineRule="auto"/>
              <w:ind w:firstLine="709"/>
              <w:rPr>
                <w:i/>
                <w:lang w:eastAsia="lt-LT"/>
              </w:rPr>
            </w:pPr>
            <w:r w:rsidRPr="00102E8E">
              <w:rPr>
                <w:i/>
                <w:lang w:eastAsia="lt-LT"/>
              </w:rPr>
              <w:t>KD</w:t>
            </w:r>
          </w:p>
        </w:tc>
        <w:tc>
          <w:tcPr>
            <w:tcW w:w="6838" w:type="dxa"/>
          </w:tcPr>
          <w:p w14:paraId="4EC1D5D1"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Kompensacijos mėnesio dalis</w:t>
            </w:r>
          </w:p>
        </w:tc>
      </w:tr>
      <w:tr w:rsidR="00102E8E" w:rsidRPr="00102E8E" w14:paraId="555D370A" w14:textId="77777777" w:rsidTr="00F94504">
        <w:trPr>
          <w:tblHeader/>
        </w:trPr>
        <w:tc>
          <w:tcPr>
            <w:tcW w:w="1242" w:type="dxa"/>
            <w:hideMark/>
          </w:tcPr>
          <w:p w14:paraId="675626DA" w14:textId="77777777" w:rsidR="00102E8E" w:rsidRPr="00102E8E" w:rsidRDefault="00102E8E" w:rsidP="00102E8E">
            <w:pPr>
              <w:tabs>
                <w:tab w:val="left" w:pos="426"/>
                <w:tab w:val="left" w:pos="851"/>
                <w:tab w:val="left" w:pos="993"/>
                <w:tab w:val="left" w:pos="1276"/>
              </w:tabs>
              <w:spacing w:after="120" w:line="276" w:lineRule="auto"/>
              <w:ind w:firstLine="709"/>
              <w:rPr>
                <w:i/>
                <w:lang w:eastAsia="lt-LT"/>
              </w:rPr>
            </w:pPr>
            <w:r w:rsidRPr="00102E8E">
              <w:rPr>
                <w:lang w:eastAsia="lt-LT"/>
              </w:rPr>
              <w:t>Δ</w:t>
            </w:r>
            <w:r w:rsidRPr="00102E8E">
              <w:rPr>
                <w:i/>
                <w:lang w:eastAsia="lt-LT"/>
              </w:rPr>
              <w:t>Invest</w:t>
            </w:r>
          </w:p>
        </w:tc>
        <w:tc>
          <w:tcPr>
            <w:tcW w:w="6838" w:type="dxa"/>
            <w:hideMark/>
          </w:tcPr>
          <w:p w14:paraId="6F1D629E" w14:textId="54BFB85E"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 xml:space="preserve">Investicijų į </w:t>
            </w:r>
            <w:r w:rsidR="00B5422D">
              <w:rPr>
                <w:lang w:eastAsia="lt-LT"/>
              </w:rPr>
              <w:t>Sporto objektą</w:t>
            </w:r>
            <w:r w:rsidRPr="00102E8E">
              <w:rPr>
                <w:lang w:eastAsia="lt-LT"/>
              </w:rPr>
              <w:t xml:space="preserve">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102E8E" w:rsidRPr="00102E8E" w14:paraId="208988BB" w14:textId="77777777" w:rsidTr="00F94504">
        <w:trPr>
          <w:tblHeader/>
        </w:trPr>
        <w:tc>
          <w:tcPr>
            <w:tcW w:w="1242" w:type="dxa"/>
            <w:hideMark/>
          </w:tcPr>
          <w:p w14:paraId="74156D58"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N</w:t>
            </w:r>
          </w:p>
        </w:tc>
        <w:tc>
          <w:tcPr>
            <w:tcW w:w="6838" w:type="dxa"/>
            <w:hideMark/>
          </w:tcPr>
          <w:p w14:paraId="7510CCB1"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Mėnesiais išreikštas laikotarpis nuo Kompensavimo įvykio pradžios (jeigu apie Kompensavimo įvykį Koncesininkas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102E8E" w:rsidRPr="00102E8E" w14:paraId="7BDFD441" w14:textId="77777777" w:rsidTr="00F94504">
        <w:trPr>
          <w:tblHeader/>
        </w:trPr>
        <w:tc>
          <w:tcPr>
            <w:tcW w:w="1242" w:type="dxa"/>
          </w:tcPr>
          <w:p w14:paraId="574F2D19" w14:textId="77777777" w:rsidR="00102E8E" w:rsidRPr="00102E8E" w:rsidRDefault="00102E8E" w:rsidP="00102E8E">
            <w:pPr>
              <w:tabs>
                <w:tab w:val="left" w:pos="426"/>
                <w:tab w:val="left" w:pos="851"/>
                <w:tab w:val="left" w:pos="993"/>
                <w:tab w:val="left" w:pos="1276"/>
              </w:tabs>
              <w:spacing w:after="120" w:line="276" w:lineRule="auto"/>
              <w:ind w:firstLine="34"/>
              <w:rPr>
                <w:i/>
                <w:lang w:eastAsia="lt-LT"/>
              </w:rPr>
            </w:pPr>
            <w:r w:rsidRPr="00102E8E">
              <w:rPr>
                <w:i/>
                <w:lang w:eastAsia="lt-LT"/>
              </w:rPr>
              <w:t>WACC</w:t>
            </w:r>
          </w:p>
        </w:tc>
        <w:tc>
          <w:tcPr>
            <w:tcW w:w="6838" w:type="dxa"/>
          </w:tcPr>
          <w:p w14:paraId="1381F6A5" w14:textId="77777777" w:rsidR="00102E8E" w:rsidRPr="00102E8E" w:rsidRDefault="00102E8E" w:rsidP="00102E8E">
            <w:pPr>
              <w:tabs>
                <w:tab w:val="left" w:pos="426"/>
                <w:tab w:val="left" w:pos="851"/>
                <w:tab w:val="left" w:pos="993"/>
                <w:tab w:val="left" w:pos="1276"/>
              </w:tabs>
              <w:spacing w:after="120" w:line="276" w:lineRule="auto"/>
              <w:ind w:firstLine="709"/>
              <w:jc w:val="both"/>
              <w:rPr>
                <w:lang w:eastAsia="lt-LT"/>
              </w:rPr>
            </w:pPr>
            <w:r w:rsidRPr="00102E8E">
              <w:rPr>
                <w:lang w:eastAsia="lt-LT"/>
              </w:rPr>
              <w:t xml:space="preserve">Vidutinė svertinė kapitalo kaina (angl. </w:t>
            </w:r>
            <w:r w:rsidRPr="00102E8E">
              <w:rPr>
                <w:i/>
                <w:lang w:eastAsia="lt-LT"/>
              </w:rPr>
              <w:t>weighted average cost of capital</w:t>
            </w:r>
            <w:r w:rsidRPr="00102E8E">
              <w:rPr>
                <w:lang w:eastAsia="lt-LT"/>
              </w:rPr>
              <w:t>)</w:t>
            </w:r>
          </w:p>
        </w:tc>
      </w:tr>
      <w:tr w:rsidR="00102E8E" w:rsidRPr="00102E8E" w14:paraId="4AD5C49E" w14:textId="77777777" w:rsidTr="00F94504">
        <w:trPr>
          <w:tblHeader/>
        </w:trPr>
        <w:tc>
          <w:tcPr>
            <w:tcW w:w="1242" w:type="dxa"/>
          </w:tcPr>
          <w:p w14:paraId="54DECA48"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E</w:t>
            </w:r>
          </w:p>
        </w:tc>
        <w:tc>
          <w:tcPr>
            <w:tcW w:w="6838" w:type="dxa"/>
          </w:tcPr>
          <w:p w14:paraId="020311FD"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Faktiškai investuoto nuosavo kapitalo dydis</w:t>
            </w:r>
          </w:p>
        </w:tc>
      </w:tr>
      <w:tr w:rsidR="00102E8E" w:rsidRPr="00102E8E" w14:paraId="4B8EE038" w14:textId="77777777" w:rsidTr="00F94504">
        <w:trPr>
          <w:tblHeader/>
        </w:trPr>
        <w:tc>
          <w:tcPr>
            <w:tcW w:w="1242" w:type="dxa"/>
          </w:tcPr>
          <w:p w14:paraId="05E4B39A"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D</w:t>
            </w:r>
          </w:p>
        </w:tc>
        <w:tc>
          <w:tcPr>
            <w:tcW w:w="6838" w:type="dxa"/>
          </w:tcPr>
          <w:p w14:paraId="31CAC907"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Finansuotojo faktiškai suteiktos paskolos (suteiktų paskolų) dydis</w:t>
            </w:r>
          </w:p>
        </w:tc>
      </w:tr>
      <w:tr w:rsidR="00102E8E" w:rsidRPr="00102E8E" w14:paraId="2637B64E" w14:textId="77777777" w:rsidTr="00F94504">
        <w:trPr>
          <w:tblHeader/>
        </w:trPr>
        <w:tc>
          <w:tcPr>
            <w:tcW w:w="1242" w:type="dxa"/>
          </w:tcPr>
          <w:p w14:paraId="433C938B"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H</w:t>
            </w:r>
          </w:p>
        </w:tc>
        <w:tc>
          <w:tcPr>
            <w:tcW w:w="6838" w:type="dxa"/>
          </w:tcPr>
          <w:p w14:paraId="05F5151D" w14:textId="77777777" w:rsidR="00102E8E" w:rsidRPr="00102E8E" w:rsidRDefault="00102E8E" w:rsidP="00102E8E">
            <w:pPr>
              <w:tabs>
                <w:tab w:val="left" w:pos="426"/>
                <w:tab w:val="left" w:pos="851"/>
                <w:tab w:val="left" w:pos="993"/>
                <w:tab w:val="left" w:pos="1276"/>
              </w:tabs>
              <w:spacing w:after="120"/>
              <w:ind w:firstLine="709"/>
              <w:jc w:val="both"/>
              <w:rPr>
                <w:lang w:eastAsia="lt-LT"/>
              </w:rPr>
            </w:pPr>
            <w:r w:rsidRPr="00102E8E">
              <w:rPr>
                <w:lang w:eastAsia="lt-LT"/>
              </w:rPr>
              <w:t>Faktiškai investuoto mišraus kapitalo (įskaitant subordinuotas paskolas, konvertuojamas obligacijas, mezanino paskolas ir kt.) dydis</w:t>
            </w:r>
          </w:p>
        </w:tc>
      </w:tr>
      <w:tr w:rsidR="00102E8E" w:rsidRPr="00102E8E" w14:paraId="6ADDCDCD" w14:textId="77777777" w:rsidTr="00F94504">
        <w:trPr>
          <w:tblHeader/>
        </w:trPr>
        <w:tc>
          <w:tcPr>
            <w:tcW w:w="1242" w:type="dxa"/>
          </w:tcPr>
          <w:p w14:paraId="42598DBA"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V</w:t>
            </w:r>
          </w:p>
        </w:tc>
        <w:tc>
          <w:tcPr>
            <w:tcW w:w="6838" w:type="dxa"/>
          </w:tcPr>
          <w:p w14:paraId="009EE5AD" w14:textId="5FCF1251" w:rsidR="00102E8E" w:rsidRPr="00102E8E" w:rsidRDefault="00F25C34" w:rsidP="00102E8E">
            <w:pPr>
              <w:tabs>
                <w:tab w:val="left" w:pos="426"/>
                <w:tab w:val="left" w:pos="851"/>
                <w:tab w:val="left" w:pos="993"/>
                <w:tab w:val="left" w:pos="1276"/>
              </w:tabs>
              <w:spacing w:after="120" w:line="276" w:lineRule="auto"/>
              <w:ind w:firstLine="709"/>
              <w:jc w:val="both"/>
              <w:rPr>
                <w:lang w:eastAsia="lt-LT"/>
              </w:rPr>
            </w:pPr>
            <w:r>
              <w:rPr>
                <w:lang w:eastAsia="lt-LT"/>
              </w:rPr>
              <w:t>Sporto objekto</w:t>
            </w:r>
            <w:r w:rsidR="00102E8E" w:rsidRPr="00102E8E">
              <w:rPr>
                <w:lang w:eastAsia="lt-LT"/>
              </w:rPr>
              <w:t xml:space="preserve"> sukūrimo laikotarpiu iki Paslaugų teikimo pradžios datos faktiškai investuota (pagal Finansuotojo suteiktą kreditą, atitinkamo Finansuotojo suteiktą subordinuotą ar nesubordinuotą paskolą ar mišrų kapitalą bei nuosavą kapitalą) suma, </w:t>
            </w:r>
            <w:r w:rsidR="00102E8E" w:rsidRPr="00102E8E">
              <w:rPr>
                <w:i/>
                <w:lang w:eastAsia="lt-LT"/>
              </w:rPr>
              <w:t>V = E + D+ H</w:t>
            </w:r>
          </w:p>
        </w:tc>
      </w:tr>
      <w:tr w:rsidR="00102E8E" w:rsidRPr="00102E8E" w14:paraId="0A2EFCA6" w14:textId="77777777" w:rsidTr="00F94504">
        <w:trPr>
          <w:tblHeader/>
        </w:trPr>
        <w:tc>
          <w:tcPr>
            <w:tcW w:w="1242" w:type="dxa"/>
          </w:tcPr>
          <w:p w14:paraId="5A2D14E7"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R</w:t>
            </w:r>
            <w:r w:rsidRPr="00102E8E">
              <w:rPr>
                <w:i/>
                <w:vertAlign w:val="subscript"/>
                <w:lang w:eastAsia="lt-LT"/>
              </w:rPr>
              <w:t>E</w:t>
            </w:r>
          </w:p>
        </w:tc>
        <w:tc>
          <w:tcPr>
            <w:tcW w:w="6838" w:type="dxa"/>
          </w:tcPr>
          <w:p w14:paraId="0E87C8CC"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Suteikto nuosavo kapitalo grąža</w:t>
            </w:r>
          </w:p>
        </w:tc>
      </w:tr>
      <w:tr w:rsidR="00102E8E" w:rsidRPr="00102E8E" w14:paraId="2442084A" w14:textId="77777777" w:rsidTr="00F94504">
        <w:trPr>
          <w:tblHeader/>
        </w:trPr>
        <w:tc>
          <w:tcPr>
            <w:tcW w:w="1242" w:type="dxa"/>
          </w:tcPr>
          <w:p w14:paraId="479F2B2B"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R</w:t>
            </w:r>
            <w:r w:rsidRPr="00102E8E">
              <w:rPr>
                <w:i/>
                <w:vertAlign w:val="subscript"/>
                <w:lang w:eastAsia="lt-LT"/>
              </w:rPr>
              <w:t>D</w:t>
            </w:r>
          </w:p>
        </w:tc>
        <w:tc>
          <w:tcPr>
            <w:tcW w:w="6838" w:type="dxa"/>
          </w:tcPr>
          <w:p w14:paraId="4047F9AC"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Finansuotojo suteiktos paskolos palūkanos</w:t>
            </w:r>
          </w:p>
        </w:tc>
      </w:tr>
      <w:tr w:rsidR="00102E8E" w:rsidRPr="00102E8E" w14:paraId="65AAFAF0" w14:textId="77777777" w:rsidTr="00F94504">
        <w:trPr>
          <w:tblHeader/>
        </w:trPr>
        <w:tc>
          <w:tcPr>
            <w:tcW w:w="1242" w:type="dxa"/>
          </w:tcPr>
          <w:p w14:paraId="1444B954" w14:textId="77777777" w:rsidR="00102E8E" w:rsidRPr="00102E8E" w:rsidRDefault="00102E8E" w:rsidP="00102E8E">
            <w:pPr>
              <w:tabs>
                <w:tab w:val="left" w:pos="426"/>
                <w:tab w:val="left" w:pos="851"/>
                <w:tab w:val="left" w:pos="993"/>
                <w:tab w:val="left" w:pos="1276"/>
              </w:tabs>
              <w:spacing w:after="120" w:line="276" w:lineRule="auto"/>
              <w:ind w:firstLine="34"/>
              <w:jc w:val="both"/>
              <w:outlineLvl w:val="2"/>
              <w:rPr>
                <w:i/>
                <w:lang w:eastAsia="lt-LT"/>
              </w:rPr>
            </w:pPr>
            <w:r w:rsidRPr="00102E8E">
              <w:rPr>
                <w:i/>
                <w:lang w:eastAsia="lt-LT"/>
              </w:rPr>
              <w:t>R</w:t>
            </w:r>
            <w:r w:rsidRPr="00102E8E">
              <w:rPr>
                <w:i/>
                <w:vertAlign w:val="subscript"/>
                <w:lang w:eastAsia="lt-LT"/>
              </w:rPr>
              <w:t>H</w:t>
            </w:r>
          </w:p>
        </w:tc>
        <w:tc>
          <w:tcPr>
            <w:tcW w:w="6838" w:type="dxa"/>
          </w:tcPr>
          <w:p w14:paraId="2B869911" w14:textId="77777777" w:rsidR="00102E8E" w:rsidRPr="00102E8E" w:rsidRDefault="00102E8E" w:rsidP="00102E8E">
            <w:pPr>
              <w:tabs>
                <w:tab w:val="left" w:pos="426"/>
                <w:tab w:val="left" w:pos="851"/>
                <w:tab w:val="left" w:pos="993"/>
                <w:tab w:val="left" w:pos="1276"/>
              </w:tabs>
              <w:spacing w:before="100" w:beforeAutospacing="1" w:after="120" w:afterAutospacing="1"/>
              <w:ind w:firstLine="709"/>
              <w:jc w:val="both"/>
              <w:rPr>
                <w:i/>
                <w:vertAlign w:val="subscript"/>
                <w:lang w:eastAsia="lt-LT"/>
              </w:rPr>
            </w:pPr>
            <w:r w:rsidRPr="00102E8E">
              <w:rPr>
                <w:lang w:eastAsia="lt-LT"/>
              </w:rPr>
              <w:t>Suteiktos subordinuotos ar nesubordinuotos paskolos ar mišraus kapitalo palūkanos</w:t>
            </w:r>
          </w:p>
        </w:tc>
      </w:tr>
      <w:tr w:rsidR="00102E8E" w:rsidRPr="00102E8E" w14:paraId="779EF279" w14:textId="77777777" w:rsidTr="00F94504">
        <w:trPr>
          <w:tblHeader/>
        </w:trPr>
        <w:tc>
          <w:tcPr>
            <w:tcW w:w="1242" w:type="dxa"/>
          </w:tcPr>
          <w:p w14:paraId="6B69BA41" w14:textId="77777777" w:rsidR="00102E8E" w:rsidRPr="00102E8E" w:rsidRDefault="00102E8E" w:rsidP="00102E8E">
            <w:pPr>
              <w:tabs>
                <w:tab w:val="left" w:pos="426"/>
                <w:tab w:val="left" w:pos="851"/>
                <w:tab w:val="left" w:pos="993"/>
                <w:tab w:val="left" w:pos="1276"/>
              </w:tabs>
              <w:spacing w:after="120" w:line="276" w:lineRule="auto"/>
              <w:jc w:val="both"/>
              <w:outlineLvl w:val="2"/>
              <w:rPr>
                <w:i/>
                <w:lang w:eastAsia="lt-LT"/>
              </w:rPr>
            </w:pPr>
            <w:r w:rsidRPr="00102E8E">
              <w:rPr>
                <w:i/>
                <w:lang w:eastAsia="lt-LT"/>
              </w:rPr>
              <w:t>Tax</w:t>
            </w:r>
          </w:p>
        </w:tc>
        <w:tc>
          <w:tcPr>
            <w:tcW w:w="6838" w:type="dxa"/>
          </w:tcPr>
          <w:p w14:paraId="521B2D1F" w14:textId="77777777" w:rsidR="00102E8E" w:rsidRPr="00102E8E" w:rsidRDefault="00102E8E" w:rsidP="00102E8E">
            <w:pPr>
              <w:tabs>
                <w:tab w:val="left" w:pos="426"/>
                <w:tab w:val="left" w:pos="851"/>
                <w:tab w:val="left" w:pos="993"/>
                <w:tab w:val="left" w:pos="1276"/>
              </w:tabs>
              <w:spacing w:after="120" w:line="276" w:lineRule="auto"/>
              <w:ind w:firstLine="709"/>
              <w:jc w:val="both"/>
              <w:outlineLvl w:val="2"/>
              <w:rPr>
                <w:lang w:eastAsia="lt-LT"/>
              </w:rPr>
            </w:pPr>
            <w:r w:rsidRPr="00102E8E">
              <w:rPr>
                <w:lang w:eastAsia="lt-LT"/>
              </w:rPr>
              <w:t>Pelno mokesčio tarifas</w:t>
            </w:r>
          </w:p>
        </w:tc>
      </w:tr>
    </w:tbl>
    <w:p w14:paraId="27C90199" w14:textId="14900239" w:rsidR="00102E8E" w:rsidRDefault="00102E8E" w:rsidP="00787A4A">
      <w:pPr>
        <w:numPr>
          <w:ilvl w:val="1"/>
          <w:numId w:val="4"/>
        </w:numPr>
        <w:tabs>
          <w:tab w:val="left" w:pos="426"/>
          <w:tab w:val="left" w:pos="993"/>
          <w:tab w:val="left" w:pos="1276"/>
        </w:tabs>
        <w:spacing w:after="120" w:line="276" w:lineRule="auto"/>
        <w:ind w:left="0" w:firstLine="0"/>
        <w:jc w:val="both"/>
      </w:pPr>
      <w:r w:rsidRPr="00102E8E">
        <w:lastRenderedPageBreak/>
        <w:t xml:space="preserve">Apskaičiavus kompensacijos mėnesio dalį (KD), apskaičiuota kompensacijos dalis pradedama mokėti kartu su kitą mėnesį Koncesininkui mokama Atlygio dalies suma. </w:t>
      </w:r>
      <w:bookmarkStart w:id="13" w:name="_Toc239425800"/>
      <w:bookmarkStart w:id="14" w:name="_Toc239425814"/>
      <w:bookmarkStart w:id="15" w:name="_Toc448915157"/>
    </w:p>
    <w:p w14:paraId="73B1FEB3" w14:textId="1218B0FD" w:rsidR="00A631CB" w:rsidRPr="008E633D" w:rsidRDefault="00B230E1" w:rsidP="00787A4A">
      <w:pPr>
        <w:numPr>
          <w:ilvl w:val="1"/>
          <w:numId w:val="4"/>
        </w:numPr>
        <w:tabs>
          <w:tab w:val="left" w:pos="426"/>
          <w:tab w:val="left" w:pos="993"/>
          <w:tab w:val="left" w:pos="1276"/>
        </w:tabs>
        <w:spacing w:after="120" w:line="276" w:lineRule="auto"/>
        <w:ind w:left="0" w:firstLine="0"/>
        <w:jc w:val="both"/>
      </w:pPr>
      <w:r w:rsidRPr="008E633D">
        <w:t xml:space="preserve">Jeigu dėl Kompensavimo įvykio padidėja Privataus subjekto Sąnaudos, susijusios su Paslaugų teikimu, toks Sąnaudų padidėjimas kompensuojamas kartu su kiekvieną mėnesį Privačiam subjektui mokamu Atlygiu, kaip sudėtinė </w:t>
      </w:r>
      <w:r w:rsidR="00990E7A" w:rsidRPr="008E633D">
        <w:t xml:space="preserve">metinio </w:t>
      </w:r>
      <w:r w:rsidR="00D1760C" w:rsidRPr="008E633D">
        <w:t xml:space="preserve">Atlygio </w:t>
      </w:r>
      <w:r w:rsidRPr="008E633D">
        <w:t>dalis, kuriai taikomas ir atitinkamas indeksavimas</w:t>
      </w:r>
      <w:r w:rsidR="00D1760C" w:rsidRPr="008E633D">
        <w:t>.</w:t>
      </w:r>
      <w:r w:rsidR="00BB2CE0" w:rsidRPr="008E633D">
        <w:t xml:space="preserve"> Padidėjusias Priv</w:t>
      </w:r>
      <w:r w:rsidR="005476E8" w:rsidRPr="008E633D">
        <w:t xml:space="preserve">ataus subjekto sąnaudas tvirtina Sutarties </w:t>
      </w:r>
      <w:r w:rsidR="008E633D" w:rsidRPr="008E633D">
        <w:t>52 punkte nurodyta Komisija.</w:t>
      </w:r>
    </w:p>
    <w:p w14:paraId="091151CC" w14:textId="706FB104" w:rsidR="00D1760C" w:rsidRPr="00102E8E" w:rsidRDefault="00D157EA" w:rsidP="00787A4A">
      <w:pPr>
        <w:numPr>
          <w:ilvl w:val="1"/>
          <w:numId w:val="4"/>
        </w:numPr>
        <w:tabs>
          <w:tab w:val="left" w:pos="426"/>
          <w:tab w:val="left" w:pos="993"/>
          <w:tab w:val="left" w:pos="1276"/>
        </w:tabs>
        <w:spacing w:after="120" w:line="276" w:lineRule="auto"/>
        <w:ind w:left="0" w:firstLine="0"/>
        <w:jc w:val="both"/>
      </w:pPr>
      <w:r w:rsidRPr="00D157EA">
        <w:t xml:space="preserve">Jeigu dėl Kompensavimo įvykio Investicijos ir (ar) Sąnaudos nepadidėja, tačiau Privatus subjektas patiria kitus nuostolius, susijusius su Paslaugų teikimu / neteikimu, </w:t>
      </w:r>
      <w:r w:rsidR="009B006C" w:rsidRPr="009B006C">
        <w:rPr>
          <w:lang w:val="lt-LT"/>
        </w:rPr>
        <w:t xml:space="preserve">tokius kaip </w:t>
      </w:r>
      <w:r w:rsidR="009B006C" w:rsidRPr="00374608">
        <w:t xml:space="preserve">Privataus subjekto </w:t>
      </w:r>
      <w:r w:rsidR="009B006C" w:rsidRPr="00972825">
        <w:rPr>
          <w:color w:val="142E63"/>
          <w:lang w:val="lt-LT" w:eastAsia="zh-TW"/>
        </w:rPr>
        <w:t>sąnaudos, susijusios su Privataus subjekto ar Subtiekėjo darbuotojų darbo užmokesčio mokesčiais,</w:t>
      </w:r>
      <w:r w:rsidR="009B006C">
        <w:rPr>
          <w:color w:val="142E63"/>
          <w:sz w:val="20"/>
          <w:szCs w:val="20"/>
          <w:lang w:val="lt-LT" w:eastAsia="zh-TW"/>
        </w:rPr>
        <w:t xml:space="preserve"> </w:t>
      </w:r>
      <w:r w:rsidRPr="00D157EA">
        <w:t xml:space="preserve">ir tokių nuostolių atsiradimo rizikos nėra galimybės apdrausti, kartu su kiekvieną mėnesį Privačiam subjektui mokamu Atlygiu, kaip </w:t>
      </w:r>
      <w:r>
        <w:t>metinio atlygio</w:t>
      </w:r>
      <w:r w:rsidRPr="00D157EA">
        <w:t xml:space="preserve"> sudėtinė dalis, kuriai taikomas ir atitinkamas indeksavimas, kompensuojam</w:t>
      </w:r>
      <w:r w:rsidR="00845A88">
        <w:t xml:space="preserve">i </w:t>
      </w:r>
      <w:r w:rsidR="00845A88" w:rsidRPr="00845A88">
        <w:t>Privat</w:t>
      </w:r>
      <w:r w:rsidR="00845A88">
        <w:t>a</w:t>
      </w:r>
      <w:r w:rsidR="00845A88" w:rsidRPr="00845A88">
        <w:t>us subjekt</w:t>
      </w:r>
      <w:r w:rsidR="00845A88">
        <w:t>o</w:t>
      </w:r>
      <w:r w:rsidR="00845A88" w:rsidRPr="00845A88">
        <w:t xml:space="preserve"> patir</w:t>
      </w:r>
      <w:r w:rsidR="00845A88">
        <w:t>t</w:t>
      </w:r>
      <w:r w:rsidR="00845A88" w:rsidRPr="00845A88">
        <w:t>i kit</w:t>
      </w:r>
      <w:r w:rsidR="00845A88">
        <w:t>i</w:t>
      </w:r>
      <w:r w:rsidR="00845A88" w:rsidRPr="00845A88">
        <w:t xml:space="preserve"> nuostoli</w:t>
      </w:r>
      <w:r w:rsidR="00845A88">
        <w:t xml:space="preserve">ai. </w:t>
      </w:r>
      <w:r w:rsidR="00845A88" w:rsidRPr="00845A88">
        <w:t xml:space="preserve">Privataus subjekto </w:t>
      </w:r>
      <w:r w:rsidR="00845A88">
        <w:t>nuostolius</w:t>
      </w:r>
      <w:r w:rsidR="00845A88" w:rsidRPr="00845A88">
        <w:t xml:space="preserve"> tvirtina Sutarties 52 punkte nurodyta Komisija.</w:t>
      </w:r>
      <w:r w:rsidR="009B006C">
        <w:rPr>
          <w:lang w:val="lt-LT"/>
        </w:rPr>
        <w:t xml:space="preserve"> Negautos pajamos nelaikytinos </w:t>
      </w:r>
      <w:r w:rsidR="009B006C" w:rsidRPr="009B006C">
        <w:rPr>
          <w:lang w:val="lt-LT"/>
        </w:rPr>
        <w:t xml:space="preserve">kaip </w:t>
      </w:r>
      <w:r w:rsidR="009B006C" w:rsidRPr="00C64792">
        <w:t>Privataus subjekto</w:t>
      </w:r>
      <w:r w:rsidR="009B006C">
        <w:rPr>
          <w:lang w:val="lt-LT"/>
        </w:rPr>
        <w:t xml:space="preserve"> nuostoliais.</w:t>
      </w:r>
    </w:p>
    <w:p w14:paraId="654F04F3" w14:textId="4B0A342E" w:rsidR="00102E8E" w:rsidRPr="00102E8E" w:rsidRDefault="00102E8E" w:rsidP="00787A4A">
      <w:pPr>
        <w:numPr>
          <w:ilvl w:val="0"/>
          <w:numId w:val="4"/>
        </w:numPr>
        <w:tabs>
          <w:tab w:val="left" w:pos="426"/>
          <w:tab w:val="left" w:pos="851"/>
          <w:tab w:val="left" w:pos="993"/>
          <w:tab w:val="left" w:pos="1276"/>
        </w:tabs>
        <w:spacing w:before="240" w:after="360" w:line="276" w:lineRule="auto"/>
        <w:ind w:left="811" w:right="7511" w:hanging="811"/>
        <w:jc w:val="center"/>
        <w:rPr>
          <w:b/>
        </w:rPr>
      </w:pPr>
      <w:r w:rsidRPr="00102E8E">
        <w:rPr>
          <w:b/>
        </w:rPr>
        <w:t>Atleidimo</w:t>
      </w:r>
      <w:r w:rsidR="004E682B">
        <w:rPr>
          <w:b/>
          <w:lang w:val="lt-LT"/>
        </w:rPr>
        <w:t xml:space="preserve">  </w:t>
      </w:r>
      <w:r w:rsidRPr="00102E8E">
        <w:rPr>
          <w:b/>
        </w:rPr>
        <w:t>atvejis</w:t>
      </w:r>
      <w:bookmarkEnd w:id="13"/>
      <w:bookmarkEnd w:id="14"/>
      <w:bookmarkEnd w:id="15"/>
    </w:p>
    <w:p w14:paraId="237DCB3A"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0" w:firstLine="0"/>
        <w:jc w:val="both"/>
      </w:pPr>
      <w:r w:rsidRPr="00102E8E">
        <w:t>Sutartyje nustatyta tvarka, Atleidimo atvejo metu Koncesininkui mažinamas Suteikiančiosios institucijos mokamas Atlygis.</w:t>
      </w:r>
    </w:p>
    <w:p w14:paraId="2BEA2798" w14:textId="67B8A586" w:rsidR="00102E8E" w:rsidRPr="00102E8E" w:rsidRDefault="00102E8E" w:rsidP="00787A4A">
      <w:pPr>
        <w:numPr>
          <w:ilvl w:val="1"/>
          <w:numId w:val="4"/>
        </w:numPr>
        <w:tabs>
          <w:tab w:val="left" w:pos="426"/>
          <w:tab w:val="left" w:pos="851"/>
          <w:tab w:val="left" w:pos="993"/>
          <w:tab w:val="left" w:pos="1276"/>
        </w:tabs>
        <w:spacing w:after="120" w:line="276" w:lineRule="auto"/>
        <w:ind w:left="0" w:firstLine="0"/>
        <w:jc w:val="both"/>
      </w:pPr>
      <w:r w:rsidRPr="00102E8E">
        <w:t>Jei dėl Atleidimo atvejo Koncesininkas neteikė Paslaugų ar suteikė nepilnos apimties Paslaugas, kaip numatyta Specifikacijose ir Sutartyje, Koncesininkui nemokama už tą laikotarpį proporcinga nesuteiktų Paslaugų trukmei ir vertei Atlygio dalis</w:t>
      </w:r>
      <w:r w:rsidR="0059713D">
        <w:t xml:space="preserve">, kuri numatyta FVM </w:t>
      </w:r>
      <w:r w:rsidR="003B2140">
        <w:t>M</w:t>
      </w:r>
      <w:r w:rsidR="003B2140" w:rsidRPr="003B2140">
        <w:t>3</w:t>
      </w:r>
      <w:r w:rsidR="003B2140">
        <w:t>, M4 ir M5 eilutėse.</w:t>
      </w:r>
      <w:r w:rsidRPr="00102E8E">
        <w:t xml:space="preserve"> </w:t>
      </w:r>
    </w:p>
    <w:p w14:paraId="50FDBC8C"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0" w:firstLine="0"/>
        <w:jc w:val="both"/>
      </w:pPr>
      <w:r w:rsidRPr="00102E8E">
        <w:t>Nustatant nesuteiktų Paslaugų dalies trukmę ir vertę vadovaujamasi kartu su Pasiūlymu pateiktame Finansiniame veiklos modelyje nurodyta Paslaugų sudėtinių dalių verčių detalizacija.</w:t>
      </w:r>
      <w:bookmarkStart w:id="16" w:name="_Toc367448023"/>
      <w:bookmarkStart w:id="17" w:name="_Toc367957524"/>
      <w:bookmarkStart w:id="18" w:name="_Toc368993847"/>
      <w:bookmarkStart w:id="19" w:name="_Toc369165360"/>
      <w:bookmarkStart w:id="20" w:name="_Toc369279852"/>
      <w:bookmarkStart w:id="21" w:name="_Toc367448024"/>
      <w:bookmarkStart w:id="22" w:name="_Toc367957525"/>
      <w:bookmarkStart w:id="23" w:name="_Toc368993848"/>
      <w:bookmarkStart w:id="24" w:name="_Toc369165361"/>
      <w:bookmarkStart w:id="25" w:name="_Toc369279853"/>
      <w:bookmarkStart w:id="26" w:name="_Toc367448025"/>
      <w:bookmarkStart w:id="27" w:name="_Toc367957526"/>
      <w:bookmarkStart w:id="28" w:name="_Toc368993849"/>
      <w:bookmarkStart w:id="29" w:name="_Toc369165362"/>
      <w:bookmarkStart w:id="30" w:name="_Toc369279854"/>
      <w:bookmarkStart w:id="31" w:name="_Toc367448035"/>
      <w:bookmarkStart w:id="32" w:name="_Toc367957536"/>
      <w:bookmarkStart w:id="33" w:name="_Toc368993859"/>
      <w:bookmarkStart w:id="34" w:name="_Toc369165372"/>
      <w:bookmarkStart w:id="35" w:name="_Toc369279864"/>
      <w:bookmarkStart w:id="36" w:name="_Toc367448038"/>
      <w:bookmarkStart w:id="37" w:name="_Toc367957539"/>
      <w:bookmarkStart w:id="38" w:name="_Toc368993862"/>
      <w:bookmarkStart w:id="39" w:name="_Toc369165375"/>
      <w:bookmarkStart w:id="40" w:name="_Toc369279867"/>
      <w:bookmarkStart w:id="41" w:name="_Toc367448039"/>
      <w:bookmarkStart w:id="42" w:name="_Toc367957540"/>
      <w:bookmarkStart w:id="43" w:name="_Toc368993863"/>
      <w:bookmarkStart w:id="44" w:name="_Toc369165376"/>
      <w:bookmarkStart w:id="45" w:name="_Toc369279868"/>
      <w:bookmarkStart w:id="46" w:name="_Toc367448040"/>
      <w:bookmarkStart w:id="47" w:name="_Toc367957541"/>
      <w:bookmarkStart w:id="48" w:name="_Toc368993864"/>
      <w:bookmarkStart w:id="49" w:name="_Toc369165377"/>
      <w:bookmarkStart w:id="50" w:name="_Toc369279869"/>
      <w:bookmarkStart w:id="51" w:name="_Toc367448050"/>
      <w:bookmarkStart w:id="52" w:name="_Toc367957551"/>
      <w:bookmarkStart w:id="53" w:name="_Toc368993874"/>
      <w:bookmarkStart w:id="54" w:name="_Toc369165387"/>
      <w:bookmarkStart w:id="55" w:name="_Toc369279879"/>
      <w:bookmarkStart w:id="56" w:name="_Toc44891515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3727E5" w14:textId="77777777" w:rsidR="00102E8E" w:rsidRPr="00102E8E" w:rsidRDefault="00102E8E" w:rsidP="004B7744">
      <w:pPr>
        <w:numPr>
          <w:ilvl w:val="0"/>
          <w:numId w:val="4"/>
        </w:numPr>
        <w:tabs>
          <w:tab w:val="left" w:pos="0"/>
          <w:tab w:val="left" w:pos="426"/>
          <w:tab w:val="left" w:pos="993"/>
        </w:tabs>
        <w:spacing w:before="240" w:after="360" w:line="276" w:lineRule="auto"/>
        <w:ind w:left="0" w:firstLine="0"/>
        <w:rPr>
          <w:b/>
        </w:rPr>
      </w:pPr>
      <w:r w:rsidRPr="00102E8E">
        <w:rPr>
          <w:b/>
        </w:rPr>
        <w:t>Mokesčių teisės aktų pasikeitimas</w:t>
      </w:r>
      <w:bookmarkEnd w:id="56"/>
    </w:p>
    <w:p w14:paraId="2C023849" w14:textId="77777777" w:rsidR="00102E8E" w:rsidRPr="00102E8E" w:rsidRDefault="00102E8E" w:rsidP="00787A4A">
      <w:pPr>
        <w:numPr>
          <w:ilvl w:val="1"/>
          <w:numId w:val="4"/>
        </w:numPr>
        <w:tabs>
          <w:tab w:val="left" w:pos="426"/>
          <w:tab w:val="left" w:pos="993"/>
          <w:tab w:val="left" w:pos="1276"/>
        </w:tabs>
        <w:spacing w:after="120" w:line="276" w:lineRule="auto"/>
        <w:ind w:left="0" w:firstLine="0"/>
        <w:jc w:val="both"/>
      </w:pPr>
      <w:r w:rsidRPr="00102E8E">
        <w:t>Atlygis dėl pasikeitusių mokesčių teisės aktų perskaičiuojamas tokia tvarka:</w:t>
      </w:r>
    </w:p>
    <w:p w14:paraId="6C3615EB" w14:textId="77777777" w:rsidR="00102E8E" w:rsidRPr="00102E8E" w:rsidRDefault="00102E8E" w:rsidP="00787A4A">
      <w:pPr>
        <w:numPr>
          <w:ilvl w:val="2"/>
          <w:numId w:val="4"/>
        </w:numPr>
        <w:tabs>
          <w:tab w:val="left" w:pos="426"/>
          <w:tab w:val="left" w:pos="993"/>
          <w:tab w:val="left" w:pos="1276"/>
        </w:tabs>
        <w:spacing w:after="120" w:line="276" w:lineRule="auto"/>
        <w:ind w:left="0" w:firstLine="567"/>
        <w:jc w:val="both"/>
      </w:pPr>
      <w:r w:rsidRPr="00102E8E">
        <w:t>Atlygio perskaičiavimas dėl pridėtinės vertės mokesčio (tolia – PVM) tarifo pasikeitimo vykdomas ir perskaičiuotas Atlygis pradedamas taikyti nuo Lietuvos Respublikos pridėtinės vertės mokesčio įstatymo, kuriuo keičiasi PVM tarifas, įsigaliojimo ir naujo PVM tarifo taikymo pradžios;</w:t>
      </w:r>
    </w:p>
    <w:p w14:paraId="71F3CA8F" w14:textId="77777777" w:rsidR="00102E8E" w:rsidRPr="00102E8E" w:rsidRDefault="00102E8E" w:rsidP="00787A4A">
      <w:pPr>
        <w:numPr>
          <w:ilvl w:val="2"/>
          <w:numId w:val="4"/>
        </w:numPr>
        <w:tabs>
          <w:tab w:val="left" w:pos="426"/>
          <w:tab w:val="left" w:pos="993"/>
          <w:tab w:val="left" w:pos="1276"/>
        </w:tabs>
        <w:spacing w:after="120" w:line="276" w:lineRule="auto"/>
        <w:ind w:left="0" w:firstLine="567"/>
        <w:jc w:val="both"/>
      </w:pPr>
      <w:r w:rsidRPr="00102E8E">
        <w:t>Atlygio daliai, kuriai Sutarties nustatyta tvarka dar nėra išrašytos PVM sąskaitos faktūros, vietoj buvusio PVM tarifo taikomas naujas PVM tarifas.</w:t>
      </w:r>
      <w:bookmarkStart w:id="57" w:name="_Toc448915161"/>
    </w:p>
    <w:p w14:paraId="3C6BC5D0" w14:textId="77777777" w:rsidR="00102E8E" w:rsidRPr="00102E8E" w:rsidRDefault="00102E8E" w:rsidP="00787A4A">
      <w:pPr>
        <w:numPr>
          <w:ilvl w:val="0"/>
          <w:numId w:val="4"/>
        </w:numPr>
        <w:tabs>
          <w:tab w:val="left" w:pos="426"/>
          <w:tab w:val="left" w:pos="851"/>
          <w:tab w:val="left" w:pos="993"/>
          <w:tab w:val="left" w:pos="1276"/>
        </w:tabs>
        <w:spacing w:before="240" w:after="240" w:line="276" w:lineRule="auto"/>
        <w:ind w:left="811" w:right="1701" w:hanging="811"/>
        <w:jc w:val="center"/>
        <w:rPr>
          <w:b/>
        </w:rPr>
      </w:pPr>
      <w:r w:rsidRPr="00102E8E">
        <w:rPr>
          <w:b/>
        </w:rPr>
        <w:t>Finansinio veiklos modelio optimizavimas, reoptimizavimas ir priežiūra</w:t>
      </w:r>
      <w:bookmarkEnd w:id="57"/>
    </w:p>
    <w:p w14:paraId="1E75E4D6"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142" w:firstLine="0"/>
        <w:jc w:val="both"/>
      </w:pPr>
      <w:r w:rsidRPr="00102E8E">
        <w:t>Sutarties vykdymo metu FVM reoptimizuojamas šiais atvejais:</w:t>
      </w:r>
    </w:p>
    <w:p w14:paraId="325D89C8" w14:textId="77777777" w:rsidR="00102E8E" w:rsidRPr="00102E8E" w:rsidRDefault="00102E8E" w:rsidP="00F1365A">
      <w:pPr>
        <w:numPr>
          <w:ilvl w:val="2"/>
          <w:numId w:val="4"/>
        </w:numPr>
        <w:tabs>
          <w:tab w:val="left" w:pos="426"/>
          <w:tab w:val="left" w:pos="851"/>
          <w:tab w:val="left" w:pos="993"/>
          <w:tab w:val="left" w:pos="1276"/>
        </w:tabs>
        <w:spacing w:after="120" w:line="276" w:lineRule="auto"/>
        <w:ind w:left="142" w:firstLine="567"/>
        <w:jc w:val="both"/>
      </w:pPr>
      <w:r w:rsidRPr="00102E8E">
        <w:t>atlikus pakeitimus Sutartyje nustatyta tvarka;</w:t>
      </w:r>
    </w:p>
    <w:p w14:paraId="497B7FBE" w14:textId="77777777" w:rsidR="00102E8E" w:rsidRPr="00102E8E" w:rsidRDefault="00102E8E" w:rsidP="00F1365A">
      <w:pPr>
        <w:numPr>
          <w:ilvl w:val="2"/>
          <w:numId w:val="4"/>
        </w:numPr>
        <w:tabs>
          <w:tab w:val="left" w:pos="426"/>
          <w:tab w:val="left" w:pos="851"/>
          <w:tab w:val="left" w:pos="993"/>
          <w:tab w:val="left" w:pos="1276"/>
        </w:tabs>
        <w:spacing w:after="120" w:line="276" w:lineRule="auto"/>
        <w:ind w:left="142" w:firstLine="567"/>
        <w:jc w:val="both"/>
      </w:pPr>
      <w:r w:rsidRPr="00102E8E">
        <w:t>Atleidimo atvejais (jeigu šie atvejai ilgalaikiai);</w:t>
      </w:r>
    </w:p>
    <w:p w14:paraId="21E07DCF" w14:textId="77777777" w:rsidR="00102E8E" w:rsidRPr="00102E8E" w:rsidRDefault="00102E8E" w:rsidP="00F1365A">
      <w:pPr>
        <w:numPr>
          <w:ilvl w:val="2"/>
          <w:numId w:val="4"/>
        </w:numPr>
        <w:tabs>
          <w:tab w:val="left" w:pos="426"/>
          <w:tab w:val="left" w:pos="851"/>
          <w:tab w:val="left" w:pos="993"/>
          <w:tab w:val="left" w:pos="1276"/>
        </w:tabs>
        <w:spacing w:after="120" w:line="276" w:lineRule="auto"/>
        <w:ind w:left="142" w:firstLine="567"/>
        <w:jc w:val="both"/>
      </w:pPr>
      <w:r w:rsidRPr="00102E8E">
        <w:t>dėl Kompensavimo įvykio;</w:t>
      </w:r>
    </w:p>
    <w:p w14:paraId="3C472340" w14:textId="64D3FAFA" w:rsidR="00102E8E" w:rsidRPr="00102E8E" w:rsidRDefault="00102E8E" w:rsidP="00F1365A">
      <w:pPr>
        <w:numPr>
          <w:ilvl w:val="2"/>
          <w:numId w:val="4"/>
        </w:numPr>
        <w:tabs>
          <w:tab w:val="left" w:pos="426"/>
          <w:tab w:val="left" w:pos="851"/>
          <w:tab w:val="left" w:pos="993"/>
          <w:tab w:val="left" w:pos="1276"/>
        </w:tabs>
        <w:spacing w:after="120" w:line="276" w:lineRule="auto"/>
        <w:ind w:left="142" w:firstLine="567"/>
        <w:jc w:val="both"/>
      </w:pPr>
      <w:r w:rsidRPr="00102E8E">
        <w:lastRenderedPageBreak/>
        <w:t xml:space="preserve">tuo atveju, jeigu dėl spartesnio Darbų atlikimo faktinė </w:t>
      </w:r>
      <w:r w:rsidR="008C3A58">
        <w:t>Sporto objekto</w:t>
      </w:r>
      <w:r w:rsidRPr="00102E8E">
        <w:t xml:space="preserve"> sukūrimo data yra ankstesnė</w:t>
      </w:r>
      <w:r w:rsidR="00374608">
        <w:rPr>
          <w:lang w:val="lt-LT"/>
        </w:rPr>
        <w:t xml:space="preserve"> arba vėlesnė</w:t>
      </w:r>
      <w:r w:rsidRPr="00102E8E">
        <w:t xml:space="preserve"> už </w:t>
      </w:r>
      <w:r w:rsidR="008C3A58">
        <w:t>Sporto objekto</w:t>
      </w:r>
      <w:r w:rsidRPr="00102E8E">
        <w:t xml:space="preserve"> sukūrimo laikotarpio pabaigos datą pagal Sutartį ir jeigu yra gautas Suteikiančiosios institucijos sutikimas Atlygį mokėti nuo faktiškos ankstesnės </w:t>
      </w:r>
      <w:r w:rsidR="00374608">
        <w:rPr>
          <w:lang w:val="lt-LT"/>
        </w:rPr>
        <w:t xml:space="preserve">arba vėlesnės </w:t>
      </w:r>
      <w:r w:rsidRPr="00102E8E">
        <w:t>Darbų atlikimo termino datos.</w:t>
      </w:r>
    </w:p>
    <w:p w14:paraId="102018CF"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142" w:firstLine="0"/>
        <w:jc w:val="both"/>
      </w:pPr>
      <w:r w:rsidRPr="00102E8E">
        <w:t xml:space="preserve">FVM koregavimą atliekant optimizavimo ir reoptimizavimo procedūras savo sąskaita ne vėliau kaip per 20 dienų atlieka Koncesininkas, atnaujintą FVM versiją pateikdamas Suteikiančiajai institucijai. </w:t>
      </w:r>
    </w:p>
    <w:p w14:paraId="3A646669"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142" w:firstLine="0"/>
        <w:jc w:val="both"/>
      </w:pPr>
      <w:r w:rsidRPr="00102E8E">
        <w:t xml:space="preserve">Sutarties vykdymo metu Suteikiančiosios institucijos bet kuriuo metu, be Koncesininkas sutikimo, turi teisę peržiūrėti ir audituoti Finansinį veiklos modelį. </w:t>
      </w:r>
    </w:p>
    <w:p w14:paraId="38B9A03D" w14:textId="77777777" w:rsidR="00102E8E" w:rsidRPr="00102E8E" w:rsidRDefault="00102E8E" w:rsidP="00787A4A">
      <w:pPr>
        <w:numPr>
          <w:ilvl w:val="1"/>
          <w:numId w:val="4"/>
        </w:numPr>
        <w:tabs>
          <w:tab w:val="left" w:pos="426"/>
          <w:tab w:val="left" w:pos="851"/>
          <w:tab w:val="left" w:pos="993"/>
          <w:tab w:val="left" w:pos="1276"/>
        </w:tabs>
        <w:spacing w:after="120" w:line="276" w:lineRule="auto"/>
        <w:ind w:left="142" w:firstLine="0"/>
        <w:jc w:val="both"/>
      </w:pPr>
      <w:r w:rsidRPr="00102E8E">
        <w:t>Jei FVM yra koreguojamas, jis įsigalioja nuo Suteikiančiosios institucijos Finansinio modelio korekcijų patvirtinimo dienos ir yra traktuojamas kaip Finansinis veiklos modelis (FVM), kaip numatyta Sutartyje.</w:t>
      </w:r>
    </w:p>
    <w:p w14:paraId="28EAAB34" w14:textId="77777777" w:rsidR="00102E8E" w:rsidRPr="00102E8E" w:rsidRDefault="00102E8E" w:rsidP="00A56E1B">
      <w:pPr>
        <w:numPr>
          <w:ilvl w:val="0"/>
          <w:numId w:val="4"/>
        </w:numPr>
        <w:tabs>
          <w:tab w:val="left" w:pos="426"/>
          <w:tab w:val="left" w:pos="851"/>
          <w:tab w:val="left" w:pos="993"/>
          <w:tab w:val="left" w:pos="1276"/>
        </w:tabs>
        <w:spacing w:before="240" w:after="240"/>
        <w:ind w:left="811" w:right="6804" w:hanging="669"/>
        <w:jc w:val="center"/>
        <w:rPr>
          <w:b/>
        </w:rPr>
      </w:pPr>
      <w:r w:rsidRPr="00102E8E">
        <w:rPr>
          <w:b/>
        </w:rPr>
        <w:t xml:space="preserve">Išskaitų mechanizmas </w:t>
      </w:r>
    </w:p>
    <w:p w14:paraId="72F382FB"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Išskaitų mechanizmo paskirtis – įpareigoti ir motyvuoti Koncesininką laikytis Sutartyje, įskaitant Specifikacijas, numatytų reikalavimų. Taikant išskaitų mechanizmą yra apskaičiuojamos Suteikiančiajai institucijai mokėtinos išskaitos (netesybos), kurios yra laikomos minimaliais Suteikiančiosios institucijos nuostoliais ir yra išskaitomas iš Atlygio šiame Sutarties priede nustatyta tvarka. Sankcijos dėl pažeidimų, kurie nėra įvardinti šiame Sutarties priede, yra  taikomos remiantis Sutartimi. Išskaitų mechanizme naudojamos sąvokos atitinka sąvokas nurodytas Sutartyje, nebent aiškiai būtų pasakyta kitaip arba kontekstas aiškiai suteiktų kitą prasmę. </w:t>
      </w:r>
    </w:p>
    <w:p w14:paraId="02F4C3FC"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Išskaitų mechanizmas apibrėžia išskaitos dydžio už kiekvieną Specifikacijų pažeidimą apskaičiavimo taisykles. Specifikacijų pažeidimas gali pasireikšti kaip veiklos trūkumų pažeidimas, Paslaugų neprieinamumo pažeidimas, ar techninės priežiūros darbų pažeidimų išskaita ar kitas pažeidimas, ir atitinkamai skaičiuojama kiekvieno atskiro pažeidimo išskaita. </w:t>
      </w:r>
    </w:p>
    <w:p w14:paraId="030F4423"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Išskaitos (jeigu tokios yra) yra įvertinamos ir taikomos pagal Koncesininko pateikiamas mėnesines ir metines veiklos ataskaitas, taip pat pagal Suteikiančiosios institucijos turimą informaciją.</w:t>
      </w:r>
    </w:p>
    <w:p w14:paraId="7BB59EEC" w14:textId="1D8E843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Išskaitos neatleidžia Koncesininko nuo įsipareigojimų teikti Paslaugas ir atlyginti padarytą žalą, kurią patyrė Suteikiančioji institucija ir kurios visa apimtimi nepadengia šios išskaitos. Koncesininkui nevykdant šių pareigų, Suteikiančioji institucija turi teisę spręsti dėl Koncesininko sutartinių įsipareigojimų laikino perdavimo tretiesiems asmenims ar Sutarties nutraukimo.</w:t>
      </w:r>
    </w:p>
    <w:p w14:paraId="019EBB05" w14:textId="4D415786"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Šalys susitaria ir patvirtina, kad </w:t>
      </w:r>
      <w:r w:rsidRPr="00102E8E">
        <w:rPr>
          <w:bCs/>
        </w:rPr>
        <w:t xml:space="preserve">jeigu dėl Koncesininko kaltės </w:t>
      </w:r>
      <w:r w:rsidR="00A22E0A">
        <w:rPr>
          <w:bCs/>
        </w:rPr>
        <w:t>Sporto objektas</w:t>
      </w:r>
      <w:r w:rsidRPr="00102E8E">
        <w:rPr>
          <w:bCs/>
        </w:rPr>
        <w:t xml:space="preserve"> ar atskira jo dalis negali būti naudojama Paslaugų teikimui ir Suteikiančiosios institucijos poreikiams, t. y. dėl </w:t>
      </w:r>
      <w:r w:rsidR="00A22E0A">
        <w:rPr>
          <w:bCs/>
        </w:rPr>
        <w:t>Sporto objekto</w:t>
      </w:r>
      <w:r w:rsidRPr="00102E8E">
        <w:rPr>
          <w:bCs/>
        </w:rPr>
        <w:t xml:space="preserve"> netinkamumo Koncesininkas visiškai negali teikti Paslaugų, o Suteikiančioji institucija vykdyti jai teisės aktais pavestų funkcijų,  Suteikiančioji institucija nemoka Atlygio už laikotarpį, per kurį </w:t>
      </w:r>
      <w:r w:rsidR="008A467A">
        <w:rPr>
          <w:bCs/>
        </w:rPr>
        <w:t>Sporto objektas</w:t>
      </w:r>
      <w:r w:rsidRPr="00102E8E">
        <w:rPr>
          <w:bCs/>
        </w:rPr>
        <w:t xml:space="preserve"> ar atskiras jo </w:t>
      </w:r>
      <w:r w:rsidR="008A467A">
        <w:rPr>
          <w:bCs/>
        </w:rPr>
        <w:t>elementas</w:t>
      </w:r>
      <w:r w:rsidRPr="00102E8E">
        <w:rPr>
          <w:bCs/>
        </w:rPr>
        <w:t xml:space="preserve"> negalėjo būti naudojamas Paslaugų teikimui ir Suteikiančiosios institucijos poreikiams, t. y. taikomas principas „nulinis tinkamumas – nulinis mokėjimas</w:t>
      </w:r>
      <w:r w:rsidRPr="00102E8E">
        <w:t xml:space="preserve">“. Jei nebuvo galima naudotis tik atskira </w:t>
      </w:r>
      <w:r w:rsidR="0019215C">
        <w:t>Sporto objekto</w:t>
      </w:r>
      <w:r w:rsidRPr="00102E8E">
        <w:t xml:space="preserve"> dalimi, Koncesininkui nemokama proporcinga nenaudojamam plotui Atlygio dalis.</w:t>
      </w:r>
      <w:r w:rsidR="00C547E3">
        <w:t xml:space="preserve"> </w:t>
      </w:r>
      <w:r w:rsidR="009008FE">
        <w:t>P</w:t>
      </w:r>
      <w:r w:rsidR="00C547E3" w:rsidRPr="00C547E3">
        <w:t>rincipas „nulinis tinkamumas – nulinis mokėjimas“</w:t>
      </w:r>
      <w:r w:rsidR="009008FE">
        <w:t xml:space="preserve"> taikomas </w:t>
      </w:r>
      <w:r w:rsidR="002B1752">
        <w:t xml:space="preserve">pasibaigus </w:t>
      </w:r>
      <w:r w:rsidR="00482AFD">
        <w:t>Pažeidimų vertinimo lentelėje nurodytam pažeidimo ištaisymo terminui.</w:t>
      </w:r>
    </w:p>
    <w:p w14:paraId="41796165" w14:textId="297C544D"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lastRenderedPageBreak/>
        <w:t xml:space="preserve">Pažeidimai fiksuojami ir išskaitos skaičiuojamos tik tuo atveju, kai Koncesininkas nesureaguoja ir/ar neištaiso pažeidimo per nustatytą terminą, kuris yra nurodomas šiame Sutarties priede. </w:t>
      </w:r>
    </w:p>
    <w:p w14:paraId="689A2A78" w14:textId="009D3AB4"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Jei pažeidimas yra neištaisomas iki pažeidimo galutinio taisymo laikotarpio pabaigos ir tęsiasi toliau, ištaisymo laikotarpiai tokiems pasikartojimams nėra taikomi, todėl išskaitos už kiekvieną nustatytą neištaisyto pažeidimo tęsinį yra sumuojamos iki to laiko, kol pažeidimas bus ištaisytas. </w:t>
      </w:r>
    </w:p>
    <w:p w14:paraId="7D5C2D88"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Bendra išskaita apskaičiuojama susumavus visas per ataskaitinį laikotarpį apskaičiuotas išskaitas, skirtas už pažeidimus.</w:t>
      </w:r>
    </w:p>
    <w:p w14:paraId="544BC8D8"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Išskirtiniais atvejais, kai pažeidimas gali būti priskiriamas dviem ar daugiau pažeidimų kategorijoms, pažeidimas yra priskiriamas kategorijai, kurioje jis lemtų didesnės vertės pažeidimo išskaitą.</w:t>
      </w:r>
    </w:p>
    <w:p w14:paraId="7A64EBD8" w14:textId="4451F3E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Už kiekvieną įvykusį pažeidimą šiame Sutarties priede yra nustatyti pažeidimo koeficientai (indeksai) prie konkretaus pažeidimo. Jie skaičiuojami tuo atveju, kai Koncesininkas neįvykdo Specifikacijose ar Sutartyje nustatytų reikalavimų. Pažeidimai ir už juos skiriami koeficientai skaičiuojami už tą ataskaitinį laikotarpį, kurio metu tokie pažeidimai yra užfiksuoti vadovaujantis Specifikacijomis ir Sutartimi, nesvarbu, kada tokie pažeidimai padaryti.  </w:t>
      </w:r>
    </w:p>
    <w:p w14:paraId="0CB8B475" w14:textId="77777777" w:rsidR="00102E8E" w:rsidRPr="00102E8E" w:rsidRDefault="00102E8E" w:rsidP="00A56E1B">
      <w:pPr>
        <w:numPr>
          <w:ilvl w:val="1"/>
          <w:numId w:val="4"/>
        </w:numPr>
        <w:tabs>
          <w:tab w:val="left" w:pos="426"/>
          <w:tab w:val="left" w:pos="567"/>
          <w:tab w:val="left" w:pos="993"/>
          <w:tab w:val="left" w:pos="1276"/>
        </w:tabs>
        <w:spacing w:after="200" w:line="276" w:lineRule="auto"/>
        <w:ind w:left="142" w:firstLine="142"/>
        <w:contextualSpacing/>
        <w:jc w:val="both"/>
      </w:pPr>
      <w:r w:rsidRPr="00102E8E">
        <w:t xml:space="preserve">Išskaita apskaičiuojama pagal formulę: </w:t>
      </w:r>
    </w:p>
    <w:p w14:paraId="24EFB111" w14:textId="77777777" w:rsidR="00102E8E" w:rsidRPr="00102E8E" w:rsidRDefault="00102E8E" w:rsidP="00AD47BA">
      <w:pPr>
        <w:tabs>
          <w:tab w:val="left" w:pos="426"/>
          <w:tab w:val="left" w:pos="567"/>
          <w:tab w:val="left" w:pos="993"/>
          <w:tab w:val="left" w:pos="1276"/>
        </w:tabs>
        <w:spacing w:before="120" w:after="120"/>
        <w:ind w:left="142" w:firstLine="142"/>
        <w:jc w:val="center"/>
      </w:pPr>
      <w:r w:rsidRPr="00102E8E">
        <w:rPr>
          <w:i/>
        </w:rPr>
        <w:t>I</w:t>
      </w:r>
      <w:r w:rsidRPr="00102E8E">
        <w:t xml:space="preserve"> = </w:t>
      </w:r>
      <w:r w:rsidRPr="00102E8E">
        <w:rPr>
          <w:rFonts w:ascii="Cambria Math" w:hAnsi="Cambria Math" w:cs="Cambria Math"/>
        </w:rPr>
        <w:t>EMA</w:t>
      </w:r>
      <w:r w:rsidRPr="00102E8E">
        <w:t xml:space="preserve">× </w:t>
      </w:r>
      <w:r w:rsidRPr="00102E8E">
        <w:rPr>
          <w:i/>
        </w:rPr>
        <w:t>PPK</w:t>
      </w:r>
    </w:p>
    <w:tbl>
      <w:tblPr>
        <w:tblStyle w:val="Lentelstinklelis"/>
        <w:tblW w:w="0" w:type="auto"/>
        <w:tblLook w:val="04A0" w:firstRow="1" w:lastRow="0" w:firstColumn="1" w:lastColumn="0" w:noHBand="0" w:noVBand="1"/>
      </w:tblPr>
      <w:tblGrid>
        <w:gridCol w:w="3298"/>
        <w:gridCol w:w="6330"/>
      </w:tblGrid>
      <w:tr w:rsidR="00102E8E" w:rsidRPr="00102E8E" w14:paraId="1F792756" w14:textId="77777777" w:rsidTr="00F94504">
        <w:tc>
          <w:tcPr>
            <w:tcW w:w="3369" w:type="dxa"/>
          </w:tcPr>
          <w:p w14:paraId="1A68945F" w14:textId="77777777" w:rsidR="00102E8E" w:rsidRPr="00102E8E" w:rsidRDefault="00102E8E" w:rsidP="00102E8E">
            <w:pPr>
              <w:tabs>
                <w:tab w:val="left" w:pos="426"/>
                <w:tab w:val="left" w:pos="851"/>
                <w:tab w:val="left" w:pos="993"/>
                <w:tab w:val="left" w:pos="1276"/>
              </w:tabs>
              <w:ind w:firstLine="709"/>
              <w:jc w:val="both"/>
            </w:pPr>
            <w:r w:rsidRPr="00102E8E">
              <w:t>kur:</w:t>
            </w:r>
          </w:p>
          <w:p w14:paraId="3910C705" w14:textId="77777777" w:rsidR="00102E8E" w:rsidRPr="00102E8E" w:rsidRDefault="00102E8E" w:rsidP="00102E8E">
            <w:pPr>
              <w:tabs>
                <w:tab w:val="left" w:pos="426"/>
                <w:tab w:val="left" w:pos="851"/>
                <w:tab w:val="left" w:pos="993"/>
                <w:tab w:val="left" w:pos="1276"/>
              </w:tabs>
              <w:ind w:firstLine="709"/>
              <w:jc w:val="both"/>
              <w:rPr>
                <w:i/>
              </w:rPr>
            </w:pPr>
            <w:r w:rsidRPr="00102E8E">
              <w:rPr>
                <w:i/>
              </w:rPr>
              <w:t>I</w:t>
            </w:r>
          </w:p>
          <w:p w14:paraId="53AFE1BB" w14:textId="77777777" w:rsidR="00102E8E" w:rsidRPr="00102E8E" w:rsidRDefault="00102E8E" w:rsidP="00102E8E">
            <w:pPr>
              <w:tabs>
                <w:tab w:val="left" w:pos="426"/>
                <w:tab w:val="left" w:pos="851"/>
                <w:tab w:val="left" w:pos="993"/>
                <w:tab w:val="left" w:pos="1276"/>
              </w:tabs>
              <w:ind w:firstLine="709"/>
              <w:jc w:val="both"/>
              <w:rPr>
                <w:i/>
              </w:rPr>
            </w:pPr>
            <w:r w:rsidRPr="00102E8E">
              <w:rPr>
                <w:i/>
              </w:rPr>
              <w:t>EMA</w:t>
            </w:r>
          </w:p>
          <w:p w14:paraId="1D73B7C0" w14:textId="77777777" w:rsidR="00102E8E" w:rsidRPr="00102E8E" w:rsidRDefault="00102E8E" w:rsidP="00102E8E">
            <w:pPr>
              <w:tabs>
                <w:tab w:val="left" w:pos="426"/>
                <w:tab w:val="left" w:pos="851"/>
                <w:tab w:val="left" w:pos="993"/>
                <w:tab w:val="left" w:pos="1276"/>
              </w:tabs>
              <w:ind w:firstLine="709"/>
              <w:jc w:val="both"/>
              <w:rPr>
                <w:i/>
              </w:rPr>
            </w:pPr>
          </w:p>
          <w:p w14:paraId="3917BAF9" w14:textId="77777777" w:rsidR="00102E8E" w:rsidRPr="00102E8E" w:rsidRDefault="00102E8E" w:rsidP="00102E8E">
            <w:pPr>
              <w:tabs>
                <w:tab w:val="left" w:pos="426"/>
                <w:tab w:val="left" w:pos="851"/>
                <w:tab w:val="left" w:pos="993"/>
                <w:tab w:val="left" w:pos="1276"/>
              </w:tabs>
              <w:ind w:firstLine="709"/>
              <w:jc w:val="both"/>
              <w:rPr>
                <w:i/>
              </w:rPr>
            </w:pPr>
            <w:r w:rsidRPr="00102E8E">
              <w:rPr>
                <w:i/>
              </w:rPr>
              <w:t>PPK</w:t>
            </w:r>
          </w:p>
        </w:tc>
        <w:tc>
          <w:tcPr>
            <w:tcW w:w="6485" w:type="dxa"/>
          </w:tcPr>
          <w:p w14:paraId="5E6CC489" w14:textId="77777777" w:rsidR="00102E8E" w:rsidRPr="00102E8E" w:rsidRDefault="00102E8E" w:rsidP="00102E8E">
            <w:pPr>
              <w:tabs>
                <w:tab w:val="left" w:pos="426"/>
                <w:tab w:val="left" w:pos="851"/>
                <w:tab w:val="left" w:pos="993"/>
                <w:tab w:val="left" w:pos="1276"/>
              </w:tabs>
              <w:ind w:firstLine="709"/>
              <w:jc w:val="both"/>
            </w:pPr>
          </w:p>
          <w:p w14:paraId="0DBCB30F" w14:textId="77777777" w:rsidR="00102E8E" w:rsidRPr="00102E8E" w:rsidRDefault="00102E8E" w:rsidP="00102E8E">
            <w:pPr>
              <w:tabs>
                <w:tab w:val="left" w:pos="426"/>
                <w:tab w:val="left" w:pos="851"/>
                <w:tab w:val="left" w:pos="993"/>
                <w:tab w:val="left" w:pos="1276"/>
              </w:tabs>
              <w:ind w:firstLine="709"/>
              <w:jc w:val="both"/>
            </w:pPr>
            <w:r w:rsidRPr="00102E8E">
              <w:t>Išskaita</w:t>
            </w:r>
          </w:p>
          <w:p w14:paraId="1B2E0085" w14:textId="77777777" w:rsidR="00102E8E" w:rsidRPr="00102E8E" w:rsidRDefault="00102E8E" w:rsidP="00102E8E">
            <w:pPr>
              <w:tabs>
                <w:tab w:val="left" w:pos="426"/>
                <w:tab w:val="left" w:pos="851"/>
                <w:tab w:val="left" w:pos="993"/>
                <w:tab w:val="left" w:pos="1276"/>
              </w:tabs>
              <w:ind w:firstLine="709"/>
              <w:jc w:val="both"/>
            </w:pPr>
            <w:r w:rsidRPr="00102E8E">
              <w:t xml:space="preserve">Koncesininko einamųjų metų Atlygis </w:t>
            </w:r>
          </w:p>
          <w:p w14:paraId="4ED6BF63" w14:textId="77777777" w:rsidR="00102E8E" w:rsidRPr="00102E8E" w:rsidRDefault="00102E8E" w:rsidP="00102E8E">
            <w:pPr>
              <w:tabs>
                <w:tab w:val="left" w:pos="426"/>
                <w:tab w:val="left" w:pos="851"/>
                <w:tab w:val="left" w:pos="993"/>
                <w:tab w:val="left" w:pos="1276"/>
              </w:tabs>
              <w:ind w:firstLine="709"/>
              <w:jc w:val="both"/>
            </w:pPr>
            <w:r w:rsidRPr="00102E8E">
              <w:t>Pažeidimo procentinis koeficientas, nustatytas šiame Sutarties priede</w:t>
            </w:r>
          </w:p>
        </w:tc>
      </w:tr>
    </w:tbl>
    <w:p w14:paraId="05E6D714" w14:textId="77777777" w:rsidR="00102E8E" w:rsidRPr="00102E8E" w:rsidRDefault="00102E8E" w:rsidP="00102E8E">
      <w:pPr>
        <w:tabs>
          <w:tab w:val="left" w:pos="426"/>
          <w:tab w:val="left" w:pos="851"/>
          <w:tab w:val="left" w:pos="993"/>
          <w:tab w:val="left" w:pos="1276"/>
        </w:tabs>
        <w:ind w:firstLine="709"/>
      </w:pPr>
    </w:p>
    <w:p w14:paraId="03D5BCA9" w14:textId="77777777" w:rsidR="00102E8E" w:rsidRPr="00102E8E" w:rsidRDefault="00102E8E" w:rsidP="00B95CB4">
      <w:pPr>
        <w:tabs>
          <w:tab w:val="left" w:pos="426"/>
          <w:tab w:val="left" w:pos="851"/>
          <w:tab w:val="left" w:pos="993"/>
          <w:tab w:val="left" w:pos="1276"/>
        </w:tabs>
        <w:spacing w:before="120" w:after="120"/>
        <w:rPr>
          <w:b/>
        </w:rPr>
      </w:pPr>
      <w:r w:rsidRPr="00102E8E">
        <w:rPr>
          <w:b/>
        </w:rPr>
        <w:t>Pažeidimų vertinimo lentelė</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86"/>
        <w:gridCol w:w="1134"/>
        <w:gridCol w:w="2693"/>
      </w:tblGrid>
      <w:tr w:rsidR="00102E8E" w:rsidRPr="00102E8E" w14:paraId="07735F50" w14:textId="77777777" w:rsidTr="00D2786A">
        <w:trPr>
          <w:trHeight w:val="283"/>
        </w:trPr>
        <w:tc>
          <w:tcPr>
            <w:tcW w:w="993" w:type="dxa"/>
            <w:shd w:val="clear" w:color="auto" w:fill="auto"/>
          </w:tcPr>
          <w:p w14:paraId="39B3612F" w14:textId="77777777" w:rsidR="00102E8E" w:rsidRPr="00102E8E" w:rsidRDefault="00102E8E" w:rsidP="00102E8E">
            <w:pPr>
              <w:tabs>
                <w:tab w:val="left" w:pos="851"/>
                <w:tab w:val="left" w:pos="993"/>
                <w:tab w:val="left" w:pos="1276"/>
              </w:tabs>
              <w:rPr>
                <w:b/>
              </w:rPr>
            </w:pPr>
            <w:r w:rsidRPr="00102E8E">
              <w:rPr>
                <w:b/>
                <w:bCs/>
              </w:rPr>
              <w:t>Pažeidimo Nr.</w:t>
            </w:r>
          </w:p>
        </w:tc>
        <w:tc>
          <w:tcPr>
            <w:tcW w:w="5386" w:type="dxa"/>
            <w:shd w:val="clear" w:color="auto" w:fill="auto"/>
          </w:tcPr>
          <w:p w14:paraId="31A40DFC" w14:textId="77777777" w:rsidR="00102E8E" w:rsidRPr="00102E8E" w:rsidRDefault="00102E8E" w:rsidP="00102E8E">
            <w:pPr>
              <w:tabs>
                <w:tab w:val="left" w:pos="426"/>
                <w:tab w:val="left" w:pos="851"/>
                <w:tab w:val="left" w:pos="993"/>
                <w:tab w:val="left" w:pos="1276"/>
              </w:tabs>
              <w:ind w:firstLine="709"/>
            </w:pPr>
            <w:r w:rsidRPr="00102E8E">
              <w:rPr>
                <w:b/>
                <w:bCs/>
              </w:rPr>
              <w:t>Pažeidimo apibūdinimas</w:t>
            </w:r>
          </w:p>
        </w:tc>
        <w:tc>
          <w:tcPr>
            <w:tcW w:w="1134" w:type="dxa"/>
            <w:shd w:val="clear" w:color="auto" w:fill="auto"/>
          </w:tcPr>
          <w:p w14:paraId="7DB94214" w14:textId="77777777" w:rsidR="00102E8E" w:rsidRPr="00102E8E" w:rsidRDefault="00102E8E" w:rsidP="00102E8E">
            <w:pPr>
              <w:tabs>
                <w:tab w:val="left" w:pos="426"/>
                <w:tab w:val="left" w:pos="851"/>
                <w:tab w:val="left" w:pos="993"/>
                <w:tab w:val="left" w:pos="1276"/>
              </w:tabs>
            </w:pPr>
            <w:r w:rsidRPr="00102E8E">
              <w:rPr>
                <w:b/>
                <w:bCs/>
              </w:rPr>
              <w:t>Procentinė išskaita (PPK)</w:t>
            </w:r>
          </w:p>
        </w:tc>
        <w:tc>
          <w:tcPr>
            <w:tcW w:w="2693" w:type="dxa"/>
            <w:shd w:val="clear" w:color="auto" w:fill="auto"/>
          </w:tcPr>
          <w:p w14:paraId="4728E8AF" w14:textId="77777777" w:rsidR="00102E8E" w:rsidRPr="00102E8E" w:rsidRDefault="00102E8E" w:rsidP="00D2786A">
            <w:pPr>
              <w:tabs>
                <w:tab w:val="left" w:pos="426"/>
                <w:tab w:val="left" w:pos="851"/>
                <w:tab w:val="left" w:pos="993"/>
                <w:tab w:val="left" w:pos="1276"/>
              </w:tabs>
            </w:pPr>
            <w:r w:rsidRPr="00102E8E">
              <w:rPr>
                <w:b/>
                <w:bCs/>
              </w:rPr>
              <w:t>Leidžiamas pažeidimo ištaisymo laikotarpis, per kurį ištaisius pažeidimą netaikoma Sutartyje nustatyta atsakomybė</w:t>
            </w:r>
          </w:p>
        </w:tc>
      </w:tr>
      <w:tr w:rsidR="00102E8E" w:rsidRPr="00102E8E" w14:paraId="046C5A7A" w14:textId="77777777" w:rsidTr="00D2786A">
        <w:trPr>
          <w:trHeight w:val="383"/>
        </w:trPr>
        <w:tc>
          <w:tcPr>
            <w:tcW w:w="993" w:type="dxa"/>
            <w:shd w:val="clear" w:color="auto" w:fill="auto"/>
          </w:tcPr>
          <w:p w14:paraId="0648176B" w14:textId="48560F5E" w:rsidR="00102E8E" w:rsidRPr="00B21DB0" w:rsidRDefault="00102E8E" w:rsidP="00B21DB0">
            <w:bookmarkStart w:id="58" w:name="_Toc502778712"/>
            <w:bookmarkStart w:id="59" w:name="_Toc4268929"/>
            <w:bookmarkStart w:id="60" w:name="_Toc4269332"/>
            <w:r w:rsidRPr="00B21DB0">
              <w:t>1.</w:t>
            </w:r>
            <w:bookmarkEnd w:id="58"/>
            <w:bookmarkEnd w:id="59"/>
            <w:bookmarkEnd w:id="60"/>
          </w:p>
        </w:tc>
        <w:tc>
          <w:tcPr>
            <w:tcW w:w="5386" w:type="dxa"/>
            <w:shd w:val="clear" w:color="auto" w:fill="auto"/>
          </w:tcPr>
          <w:p w14:paraId="0A38354D" w14:textId="625FA9FC" w:rsidR="00102E8E" w:rsidRPr="00102E8E" w:rsidRDefault="007536D9" w:rsidP="00B21DB0">
            <w:pPr>
              <w:tabs>
                <w:tab w:val="left" w:pos="426"/>
                <w:tab w:val="left" w:pos="851"/>
                <w:tab w:val="left" w:pos="993"/>
                <w:tab w:val="left" w:pos="1276"/>
              </w:tabs>
            </w:pPr>
            <w:r>
              <w:t>D</w:t>
            </w:r>
            <w:r w:rsidRPr="007536D9">
              <w:t xml:space="preserve">ėl Koncesininko savo pareigų pagal Sutartį nevykdymo </w:t>
            </w:r>
            <w:r>
              <w:t>į</w:t>
            </w:r>
            <w:r w:rsidR="00102E8E" w:rsidRPr="00102E8E">
              <w:t>vyksta įvykis, keliantis grėsmę žmonių saugumui</w:t>
            </w:r>
          </w:p>
        </w:tc>
        <w:tc>
          <w:tcPr>
            <w:tcW w:w="1134" w:type="dxa"/>
            <w:shd w:val="clear" w:color="auto" w:fill="auto"/>
          </w:tcPr>
          <w:p w14:paraId="29616F2A" w14:textId="77777777" w:rsidR="00102E8E" w:rsidRPr="00102E8E" w:rsidRDefault="00102E8E" w:rsidP="00102E8E">
            <w:pPr>
              <w:tabs>
                <w:tab w:val="left" w:pos="426"/>
                <w:tab w:val="left" w:pos="851"/>
                <w:tab w:val="left" w:pos="993"/>
                <w:tab w:val="left" w:pos="1276"/>
              </w:tabs>
            </w:pPr>
            <w:r w:rsidRPr="00102E8E">
              <w:t>0,5%</w:t>
            </w:r>
          </w:p>
        </w:tc>
        <w:tc>
          <w:tcPr>
            <w:tcW w:w="2693" w:type="dxa"/>
            <w:shd w:val="clear" w:color="auto" w:fill="auto"/>
          </w:tcPr>
          <w:p w14:paraId="19F26DD6" w14:textId="1B34D188" w:rsidR="00102E8E" w:rsidRPr="00260CC7" w:rsidRDefault="00260CC7" w:rsidP="00102E8E">
            <w:pPr>
              <w:tabs>
                <w:tab w:val="left" w:pos="426"/>
                <w:tab w:val="left" w:pos="851"/>
                <w:tab w:val="left" w:pos="993"/>
                <w:tab w:val="left" w:pos="1276"/>
              </w:tabs>
              <w:ind w:firstLine="709"/>
              <w:rPr>
                <w:lang w:val="en-US"/>
              </w:rPr>
            </w:pPr>
            <w:r>
              <w:rPr>
                <w:lang w:val="en-US"/>
              </w:rPr>
              <w:t>1 valanda</w:t>
            </w:r>
          </w:p>
        </w:tc>
      </w:tr>
      <w:tr w:rsidR="00102E8E" w:rsidRPr="00102E8E" w14:paraId="300033FE" w14:textId="77777777" w:rsidTr="00D2786A">
        <w:trPr>
          <w:trHeight w:val="465"/>
        </w:trPr>
        <w:tc>
          <w:tcPr>
            <w:tcW w:w="993" w:type="dxa"/>
            <w:shd w:val="clear" w:color="auto" w:fill="auto"/>
          </w:tcPr>
          <w:p w14:paraId="2A813050" w14:textId="1D8C49D4" w:rsidR="00102E8E" w:rsidRPr="00B21DB0" w:rsidRDefault="00102E8E" w:rsidP="006D6ACA">
            <w:bookmarkStart w:id="61" w:name="_Toc502778713"/>
            <w:bookmarkStart w:id="62" w:name="_Toc4268930"/>
            <w:bookmarkStart w:id="63" w:name="_Toc4269333"/>
            <w:r w:rsidRPr="00B21DB0">
              <w:t>2.</w:t>
            </w:r>
            <w:bookmarkEnd w:id="61"/>
            <w:bookmarkEnd w:id="62"/>
            <w:bookmarkEnd w:id="63"/>
          </w:p>
        </w:tc>
        <w:tc>
          <w:tcPr>
            <w:tcW w:w="5386" w:type="dxa"/>
            <w:shd w:val="clear" w:color="auto" w:fill="auto"/>
          </w:tcPr>
          <w:p w14:paraId="3927288E" w14:textId="4747B1AD" w:rsidR="00102E8E" w:rsidRPr="00102E8E" w:rsidRDefault="00102E8E" w:rsidP="006D6ACA">
            <w:pPr>
              <w:tabs>
                <w:tab w:val="left" w:pos="426"/>
                <w:tab w:val="left" w:pos="851"/>
                <w:tab w:val="left" w:pos="993"/>
                <w:tab w:val="left" w:pos="1276"/>
              </w:tabs>
            </w:pPr>
            <w:r w:rsidRPr="00102E8E">
              <w:t xml:space="preserve">Netinkamai atliekamos </w:t>
            </w:r>
            <w:r w:rsidR="006D6ACA">
              <w:t>Sporto objekto</w:t>
            </w:r>
            <w:r w:rsidRPr="00102E8E">
              <w:t xml:space="preserve"> techninės priežiūros paslaugos</w:t>
            </w:r>
            <w:r w:rsidR="00A6253E">
              <w:t xml:space="preserve">, </w:t>
            </w:r>
            <w:r w:rsidR="00A6253E" w:rsidRPr="00102E8E">
              <w:t xml:space="preserve">Netinkamai atliekamos </w:t>
            </w:r>
            <w:r w:rsidR="00A6253E">
              <w:t>Sporto objekto</w:t>
            </w:r>
            <w:r w:rsidR="00A6253E" w:rsidRPr="00102E8E">
              <w:t xml:space="preserve"> sistemų techninės priežiūros paslaugos</w:t>
            </w:r>
          </w:p>
        </w:tc>
        <w:tc>
          <w:tcPr>
            <w:tcW w:w="1134" w:type="dxa"/>
            <w:shd w:val="clear" w:color="auto" w:fill="auto"/>
          </w:tcPr>
          <w:p w14:paraId="2E4BB1F8" w14:textId="77777777" w:rsidR="00102E8E" w:rsidRPr="00102E8E" w:rsidRDefault="00102E8E" w:rsidP="00102E8E">
            <w:pPr>
              <w:tabs>
                <w:tab w:val="left" w:pos="426"/>
                <w:tab w:val="left" w:pos="851"/>
                <w:tab w:val="left" w:pos="993"/>
                <w:tab w:val="left" w:pos="1276"/>
              </w:tabs>
            </w:pPr>
            <w:r w:rsidRPr="00102E8E">
              <w:t>0,05%</w:t>
            </w:r>
          </w:p>
        </w:tc>
        <w:tc>
          <w:tcPr>
            <w:tcW w:w="2693" w:type="dxa"/>
            <w:shd w:val="clear" w:color="auto" w:fill="auto"/>
          </w:tcPr>
          <w:p w14:paraId="28F73D87" w14:textId="0407AF85" w:rsidR="00102E8E" w:rsidRPr="00102E8E" w:rsidRDefault="00260CC7" w:rsidP="00102E8E">
            <w:pPr>
              <w:tabs>
                <w:tab w:val="left" w:pos="426"/>
                <w:tab w:val="left" w:pos="851"/>
                <w:tab w:val="left" w:pos="993"/>
                <w:tab w:val="left" w:pos="1276"/>
              </w:tabs>
              <w:ind w:firstLine="709"/>
            </w:pPr>
            <w:r w:rsidRPr="00260CC7">
              <w:t>1 diena</w:t>
            </w:r>
          </w:p>
        </w:tc>
      </w:tr>
      <w:tr w:rsidR="00102E8E" w:rsidRPr="00102E8E" w14:paraId="21227D23" w14:textId="77777777" w:rsidTr="00D2786A">
        <w:trPr>
          <w:trHeight w:val="845"/>
        </w:trPr>
        <w:tc>
          <w:tcPr>
            <w:tcW w:w="993" w:type="dxa"/>
            <w:shd w:val="clear" w:color="auto" w:fill="auto"/>
          </w:tcPr>
          <w:p w14:paraId="4BF8D518" w14:textId="1040CDFC" w:rsidR="00102E8E" w:rsidRPr="00B21DB0" w:rsidRDefault="00A6253E" w:rsidP="00B21DB0">
            <w:r>
              <w:rPr>
                <w:lang w:val="en-US"/>
              </w:rPr>
              <w:t>3</w:t>
            </w:r>
            <w:r w:rsidR="00102E8E" w:rsidRPr="00B21DB0">
              <w:t>.</w:t>
            </w:r>
          </w:p>
        </w:tc>
        <w:tc>
          <w:tcPr>
            <w:tcW w:w="5386" w:type="dxa"/>
            <w:shd w:val="clear" w:color="auto" w:fill="auto"/>
          </w:tcPr>
          <w:p w14:paraId="2413E23F" w14:textId="77777777" w:rsidR="00102E8E" w:rsidRPr="00102E8E" w:rsidRDefault="00102E8E" w:rsidP="006D6ACA">
            <w:pPr>
              <w:tabs>
                <w:tab w:val="left" w:pos="426"/>
                <w:tab w:val="left" w:pos="851"/>
                <w:tab w:val="left" w:pos="993"/>
                <w:tab w:val="left" w:pos="1276"/>
              </w:tabs>
            </w:pPr>
            <w:r w:rsidRPr="00102E8E">
              <w:t>Neužtikrinamas tinkamas komunalinių paslaugų teikimas</w:t>
            </w:r>
          </w:p>
        </w:tc>
        <w:tc>
          <w:tcPr>
            <w:tcW w:w="1134" w:type="dxa"/>
            <w:shd w:val="clear" w:color="auto" w:fill="auto"/>
          </w:tcPr>
          <w:p w14:paraId="29DB4D46"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5D304DB8" w14:textId="77777777" w:rsidR="00102E8E" w:rsidRPr="00102E8E" w:rsidRDefault="00102E8E" w:rsidP="00102E8E">
            <w:pPr>
              <w:tabs>
                <w:tab w:val="left" w:pos="426"/>
                <w:tab w:val="left" w:pos="851"/>
                <w:tab w:val="left" w:pos="993"/>
                <w:tab w:val="left" w:pos="1276"/>
              </w:tabs>
              <w:ind w:firstLine="709"/>
            </w:pPr>
            <w:r w:rsidRPr="00102E8E">
              <w:t>2 valandos</w:t>
            </w:r>
          </w:p>
        </w:tc>
      </w:tr>
      <w:tr w:rsidR="00102E8E" w:rsidRPr="00102E8E" w14:paraId="53CDF2B1" w14:textId="77777777" w:rsidTr="00D2786A">
        <w:trPr>
          <w:trHeight w:val="900"/>
        </w:trPr>
        <w:tc>
          <w:tcPr>
            <w:tcW w:w="993" w:type="dxa"/>
            <w:shd w:val="clear" w:color="auto" w:fill="auto"/>
          </w:tcPr>
          <w:p w14:paraId="5B910E0D" w14:textId="09EA6977" w:rsidR="00102E8E" w:rsidRPr="00B21DB0" w:rsidRDefault="00A6253E" w:rsidP="00523A25">
            <w:r>
              <w:t>4</w:t>
            </w:r>
            <w:r w:rsidR="00102E8E" w:rsidRPr="00B21DB0">
              <w:t>.</w:t>
            </w:r>
          </w:p>
        </w:tc>
        <w:tc>
          <w:tcPr>
            <w:tcW w:w="5386" w:type="dxa"/>
            <w:shd w:val="clear" w:color="auto" w:fill="auto"/>
          </w:tcPr>
          <w:p w14:paraId="145A0E11" w14:textId="262F6C79" w:rsidR="00102E8E" w:rsidRPr="00102E8E" w:rsidRDefault="00102E8E" w:rsidP="00523A25">
            <w:pPr>
              <w:tabs>
                <w:tab w:val="left" w:pos="426"/>
                <w:tab w:val="left" w:pos="851"/>
                <w:tab w:val="left" w:pos="993"/>
                <w:tab w:val="left" w:pos="1276"/>
              </w:tabs>
            </w:pPr>
            <w:r w:rsidRPr="00102E8E">
              <w:t xml:space="preserve">Neužtikrinamas tinkamas valymo ir atliekų tvarkymo paslaugų teikimas </w:t>
            </w:r>
          </w:p>
        </w:tc>
        <w:tc>
          <w:tcPr>
            <w:tcW w:w="1134" w:type="dxa"/>
            <w:shd w:val="clear" w:color="auto" w:fill="auto"/>
          </w:tcPr>
          <w:p w14:paraId="5DDA69BB"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1F1716AF" w14:textId="77777777" w:rsidR="00102E8E" w:rsidRPr="00102E8E" w:rsidRDefault="00102E8E" w:rsidP="00102E8E">
            <w:pPr>
              <w:tabs>
                <w:tab w:val="left" w:pos="426"/>
                <w:tab w:val="left" w:pos="851"/>
                <w:tab w:val="left" w:pos="993"/>
                <w:tab w:val="left" w:pos="1276"/>
              </w:tabs>
              <w:ind w:firstLine="709"/>
            </w:pPr>
            <w:r w:rsidRPr="00102E8E">
              <w:t>1 diena</w:t>
            </w:r>
          </w:p>
        </w:tc>
      </w:tr>
      <w:tr w:rsidR="00102E8E" w:rsidRPr="00102E8E" w14:paraId="2DEF27C6" w14:textId="77777777" w:rsidTr="00D2786A">
        <w:trPr>
          <w:trHeight w:val="872"/>
        </w:trPr>
        <w:tc>
          <w:tcPr>
            <w:tcW w:w="993" w:type="dxa"/>
            <w:shd w:val="clear" w:color="auto" w:fill="auto"/>
          </w:tcPr>
          <w:p w14:paraId="38CBE3EE" w14:textId="2B883B5E" w:rsidR="00102E8E" w:rsidRPr="00B21DB0" w:rsidRDefault="00A6253E" w:rsidP="00523A25">
            <w:r>
              <w:lastRenderedPageBreak/>
              <w:t>5</w:t>
            </w:r>
            <w:r w:rsidR="00102E8E" w:rsidRPr="00B21DB0">
              <w:t>.</w:t>
            </w:r>
          </w:p>
        </w:tc>
        <w:tc>
          <w:tcPr>
            <w:tcW w:w="5386" w:type="dxa"/>
            <w:shd w:val="clear" w:color="auto" w:fill="auto"/>
          </w:tcPr>
          <w:p w14:paraId="00F3EF8A" w14:textId="77777777" w:rsidR="00102E8E" w:rsidRPr="00102E8E" w:rsidRDefault="00102E8E" w:rsidP="00523A25">
            <w:pPr>
              <w:tabs>
                <w:tab w:val="left" w:pos="426"/>
                <w:tab w:val="left" w:pos="851"/>
                <w:tab w:val="left" w:pos="993"/>
                <w:tab w:val="left" w:pos="1276"/>
              </w:tabs>
            </w:pPr>
            <w:r w:rsidRPr="00102E8E">
              <w:t xml:space="preserve">Neužtikrinamas tinkamas apsaugos paslaugų teikimas </w:t>
            </w:r>
          </w:p>
        </w:tc>
        <w:tc>
          <w:tcPr>
            <w:tcW w:w="1134" w:type="dxa"/>
            <w:shd w:val="clear" w:color="auto" w:fill="auto"/>
          </w:tcPr>
          <w:p w14:paraId="29393EF3"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1430C480" w14:textId="49FFABCB" w:rsidR="00102E8E" w:rsidRPr="00102E8E" w:rsidRDefault="005D54DC" w:rsidP="00102E8E">
            <w:pPr>
              <w:tabs>
                <w:tab w:val="left" w:pos="426"/>
                <w:tab w:val="left" w:pos="851"/>
                <w:tab w:val="left" w:pos="993"/>
                <w:tab w:val="left" w:pos="1276"/>
              </w:tabs>
              <w:ind w:firstLine="709"/>
            </w:pPr>
            <w:r w:rsidRPr="005D54DC">
              <w:t>1 diena</w:t>
            </w:r>
          </w:p>
        </w:tc>
      </w:tr>
      <w:tr w:rsidR="00102E8E" w:rsidRPr="00102E8E" w14:paraId="53B079D6" w14:textId="77777777" w:rsidTr="00D2786A">
        <w:trPr>
          <w:trHeight w:val="857"/>
        </w:trPr>
        <w:tc>
          <w:tcPr>
            <w:tcW w:w="993" w:type="dxa"/>
            <w:shd w:val="clear" w:color="auto" w:fill="auto"/>
          </w:tcPr>
          <w:p w14:paraId="7F9F9D31" w14:textId="3A540913" w:rsidR="00102E8E" w:rsidRPr="00B21DB0" w:rsidRDefault="00A6253E" w:rsidP="00523A25">
            <w:r>
              <w:t>6</w:t>
            </w:r>
            <w:r w:rsidR="00102E8E" w:rsidRPr="00B21DB0">
              <w:t>.</w:t>
            </w:r>
          </w:p>
        </w:tc>
        <w:tc>
          <w:tcPr>
            <w:tcW w:w="5386" w:type="dxa"/>
            <w:shd w:val="clear" w:color="auto" w:fill="auto"/>
          </w:tcPr>
          <w:p w14:paraId="24D613E0" w14:textId="4C22C25B" w:rsidR="00102E8E" w:rsidRPr="00102E8E" w:rsidRDefault="00102E8E" w:rsidP="00523A25">
            <w:pPr>
              <w:tabs>
                <w:tab w:val="left" w:pos="426"/>
                <w:tab w:val="left" w:pos="851"/>
                <w:tab w:val="left" w:pos="993"/>
                <w:tab w:val="left" w:pos="1276"/>
              </w:tabs>
            </w:pPr>
            <w:r w:rsidRPr="00102E8E">
              <w:t xml:space="preserve">Neužtikrinamas tinkamas automobilių stovėjimo aikštelės </w:t>
            </w:r>
            <w:r w:rsidR="00971795">
              <w:t xml:space="preserve">ir </w:t>
            </w:r>
            <w:r w:rsidR="00971795" w:rsidRPr="00971795">
              <w:t xml:space="preserve">transporto važiuojamosios dalies </w:t>
            </w:r>
            <w:r w:rsidRPr="00102E8E">
              <w:t>priežiūros paslaugų teikimas.</w:t>
            </w:r>
          </w:p>
        </w:tc>
        <w:tc>
          <w:tcPr>
            <w:tcW w:w="1134" w:type="dxa"/>
            <w:shd w:val="clear" w:color="auto" w:fill="auto"/>
          </w:tcPr>
          <w:p w14:paraId="43C52CAD"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7E4FBA71" w14:textId="77777777" w:rsidR="00102E8E" w:rsidRPr="00102E8E" w:rsidRDefault="00102E8E" w:rsidP="00102E8E">
            <w:pPr>
              <w:tabs>
                <w:tab w:val="left" w:pos="426"/>
                <w:tab w:val="left" w:pos="851"/>
                <w:tab w:val="left" w:pos="993"/>
                <w:tab w:val="left" w:pos="1276"/>
              </w:tabs>
              <w:ind w:firstLine="709"/>
            </w:pPr>
            <w:r w:rsidRPr="00102E8E">
              <w:t>1 diena</w:t>
            </w:r>
          </w:p>
        </w:tc>
      </w:tr>
      <w:tr w:rsidR="00DC3FC4" w:rsidRPr="00102E8E" w14:paraId="6575061B" w14:textId="77777777" w:rsidTr="00D2786A">
        <w:trPr>
          <w:trHeight w:val="857"/>
        </w:trPr>
        <w:tc>
          <w:tcPr>
            <w:tcW w:w="993" w:type="dxa"/>
            <w:shd w:val="clear" w:color="auto" w:fill="auto"/>
          </w:tcPr>
          <w:p w14:paraId="2CCF42EF" w14:textId="659215B5" w:rsidR="00DC3FC4" w:rsidRPr="004D62AB" w:rsidRDefault="004D62AB" w:rsidP="00523A25">
            <w:pPr>
              <w:rPr>
                <w:lang w:val="en-US"/>
              </w:rPr>
            </w:pPr>
            <w:r>
              <w:rPr>
                <w:lang w:val="en-US"/>
              </w:rPr>
              <w:t>7.</w:t>
            </w:r>
          </w:p>
        </w:tc>
        <w:tc>
          <w:tcPr>
            <w:tcW w:w="5386" w:type="dxa"/>
            <w:shd w:val="clear" w:color="auto" w:fill="auto"/>
          </w:tcPr>
          <w:p w14:paraId="2647941B" w14:textId="4876565B" w:rsidR="00DC3FC4" w:rsidRPr="00102E8E" w:rsidRDefault="00DC3FC4" w:rsidP="00523A25">
            <w:pPr>
              <w:tabs>
                <w:tab w:val="left" w:pos="426"/>
                <w:tab w:val="left" w:pos="851"/>
                <w:tab w:val="left" w:pos="993"/>
                <w:tab w:val="left" w:pos="1276"/>
              </w:tabs>
            </w:pPr>
            <w:r w:rsidRPr="00DC3FC4">
              <w:t>Neužtikrinama tinkama</w:t>
            </w:r>
            <w:r w:rsidR="004D62AB">
              <w:t>s</w:t>
            </w:r>
            <w:r w:rsidRPr="00DC3FC4">
              <w:t xml:space="preserve"> </w:t>
            </w:r>
            <w:r w:rsidR="004D62AB" w:rsidRPr="004D62AB">
              <w:t>teritorijos tvarkym</w:t>
            </w:r>
            <w:r w:rsidR="004D62AB">
              <w:t>o</w:t>
            </w:r>
            <w:r w:rsidR="004D62AB" w:rsidRPr="004D62AB">
              <w:t xml:space="preserve"> (žalia veja, pastato prieigos</w:t>
            </w:r>
            <w:r w:rsidR="004D62AB">
              <w:t>) paslaugų teikimas</w:t>
            </w:r>
          </w:p>
        </w:tc>
        <w:tc>
          <w:tcPr>
            <w:tcW w:w="1134" w:type="dxa"/>
            <w:shd w:val="clear" w:color="auto" w:fill="auto"/>
          </w:tcPr>
          <w:p w14:paraId="23099C03" w14:textId="386B75E0" w:rsidR="00DC3FC4" w:rsidRPr="00102E8E" w:rsidRDefault="004D62AB" w:rsidP="00102E8E">
            <w:pPr>
              <w:tabs>
                <w:tab w:val="left" w:pos="426"/>
                <w:tab w:val="left" w:pos="851"/>
                <w:tab w:val="left" w:pos="993"/>
                <w:tab w:val="left" w:pos="1276"/>
              </w:tabs>
            </w:pPr>
            <w:r w:rsidRPr="004D62AB">
              <w:t>0,025%</w:t>
            </w:r>
          </w:p>
        </w:tc>
        <w:tc>
          <w:tcPr>
            <w:tcW w:w="2693" w:type="dxa"/>
            <w:shd w:val="clear" w:color="auto" w:fill="auto"/>
          </w:tcPr>
          <w:p w14:paraId="42B2EE84" w14:textId="62C1CEDD" w:rsidR="00DC3FC4" w:rsidRPr="00102E8E" w:rsidRDefault="004D62AB" w:rsidP="00102E8E">
            <w:pPr>
              <w:tabs>
                <w:tab w:val="left" w:pos="426"/>
                <w:tab w:val="left" w:pos="851"/>
                <w:tab w:val="left" w:pos="993"/>
                <w:tab w:val="left" w:pos="1276"/>
              </w:tabs>
              <w:ind w:firstLine="709"/>
            </w:pPr>
            <w:r w:rsidRPr="004D62AB">
              <w:t>1 diena</w:t>
            </w:r>
          </w:p>
        </w:tc>
      </w:tr>
      <w:tr w:rsidR="00102E8E" w:rsidRPr="00102E8E" w14:paraId="1AD3284E" w14:textId="77777777" w:rsidTr="00D2786A">
        <w:trPr>
          <w:trHeight w:val="857"/>
        </w:trPr>
        <w:tc>
          <w:tcPr>
            <w:tcW w:w="993" w:type="dxa"/>
            <w:shd w:val="clear" w:color="auto" w:fill="auto"/>
          </w:tcPr>
          <w:p w14:paraId="343ED917" w14:textId="2F170542" w:rsidR="00102E8E" w:rsidRPr="00B21DB0" w:rsidRDefault="004D62AB" w:rsidP="00B21DB0">
            <w:r>
              <w:t>8</w:t>
            </w:r>
            <w:r w:rsidR="00102E8E" w:rsidRPr="00B21DB0">
              <w:t>.</w:t>
            </w:r>
          </w:p>
        </w:tc>
        <w:tc>
          <w:tcPr>
            <w:tcW w:w="5386" w:type="dxa"/>
            <w:shd w:val="clear" w:color="auto" w:fill="auto"/>
          </w:tcPr>
          <w:p w14:paraId="2BAA85CC" w14:textId="1D1547B6" w:rsidR="00102E8E" w:rsidRPr="00102E8E" w:rsidRDefault="00102E8E" w:rsidP="00523A25">
            <w:pPr>
              <w:tabs>
                <w:tab w:val="left" w:pos="426"/>
                <w:tab w:val="left" w:pos="851"/>
                <w:tab w:val="left" w:pos="993"/>
                <w:tab w:val="left" w:pos="1276"/>
              </w:tabs>
            </w:pPr>
            <w:r w:rsidRPr="00102E8E">
              <w:t>Neužtikrinamas tinkamas drabužių ir avalynės saugyklų paslaugų teikimas</w:t>
            </w:r>
          </w:p>
        </w:tc>
        <w:tc>
          <w:tcPr>
            <w:tcW w:w="1134" w:type="dxa"/>
            <w:shd w:val="clear" w:color="auto" w:fill="auto"/>
          </w:tcPr>
          <w:p w14:paraId="47DBB23C"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52517A71" w14:textId="77777777" w:rsidR="00102E8E" w:rsidRPr="00102E8E" w:rsidRDefault="00102E8E" w:rsidP="00102E8E">
            <w:pPr>
              <w:tabs>
                <w:tab w:val="left" w:pos="426"/>
                <w:tab w:val="left" w:pos="851"/>
                <w:tab w:val="left" w:pos="993"/>
                <w:tab w:val="left" w:pos="1276"/>
              </w:tabs>
              <w:ind w:firstLine="709"/>
            </w:pPr>
            <w:r w:rsidRPr="00102E8E">
              <w:t>1 diena</w:t>
            </w:r>
          </w:p>
        </w:tc>
      </w:tr>
      <w:tr w:rsidR="00102E8E" w:rsidRPr="00102E8E" w14:paraId="0504127D" w14:textId="77777777" w:rsidTr="00D2786A">
        <w:trPr>
          <w:trHeight w:val="857"/>
        </w:trPr>
        <w:tc>
          <w:tcPr>
            <w:tcW w:w="993" w:type="dxa"/>
            <w:shd w:val="clear" w:color="auto" w:fill="auto"/>
          </w:tcPr>
          <w:p w14:paraId="31BDF75A" w14:textId="03B12B94" w:rsidR="00102E8E" w:rsidRPr="00B21DB0" w:rsidRDefault="004D62AB" w:rsidP="00B21DB0">
            <w:r>
              <w:t>9</w:t>
            </w:r>
            <w:r w:rsidR="00102E8E" w:rsidRPr="00B21DB0">
              <w:t>.</w:t>
            </w:r>
          </w:p>
        </w:tc>
        <w:tc>
          <w:tcPr>
            <w:tcW w:w="5386" w:type="dxa"/>
            <w:shd w:val="clear" w:color="auto" w:fill="auto"/>
          </w:tcPr>
          <w:p w14:paraId="5FC70851" w14:textId="77777777" w:rsidR="00102E8E" w:rsidRPr="00102E8E" w:rsidRDefault="00102E8E" w:rsidP="00523A25">
            <w:pPr>
              <w:tabs>
                <w:tab w:val="left" w:pos="426"/>
                <w:tab w:val="left" w:pos="851"/>
                <w:tab w:val="left" w:pos="993"/>
                <w:tab w:val="left" w:pos="1276"/>
              </w:tabs>
            </w:pPr>
            <w:r w:rsidRPr="00102E8E">
              <w:t>Neužtikrinamas tinkamas lankytojų srautų valdymas</w:t>
            </w:r>
          </w:p>
        </w:tc>
        <w:tc>
          <w:tcPr>
            <w:tcW w:w="1134" w:type="dxa"/>
            <w:shd w:val="clear" w:color="auto" w:fill="auto"/>
          </w:tcPr>
          <w:p w14:paraId="7196F659" w14:textId="77777777" w:rsidR="00102E8E" w:rsidRPr="00102E8E" w:rsidRDefault="00102E8E" w:rsidP="00102E8E">
            <w:pPr>
              <w:tabs>
                <w:tab w:val="left" w:pos="426"/>
                <w:tab w:val="left" w:pos="851"/>
                <w:tab w:val="left" w:pos="993"/>
                <w:tab w:val="left" w:pos="1276"/>
              </w:tabs>
            </w:pPr>
            <w:r w:rsidRPr="00102E8E">
              <w:t>0,025%</w:t>
            </w:r>
          </w:p>
        </w:tc>
        <w:tc>
          <w:tcPr>
            <w:tcW w:w="2693" w:type="dxa"/>
            <w:shd w:val="clear" w:color="auto" w:fill="auto"/>
          </w:tcPr>
          <w:p w14:paraId="477595E3" w14:textId="77777777" w:rsidR="00102E8E" w:rsidRPr="00102E8E" w:rsidRDefault="00102E8E" w:rsidP="00102E8E">
            <w:pPr>
              <w:tabs>
                <w:tab w:val="left" w:pos="426"/>
                <w:tab w:val="left" w:pos="851"/>
                <w:tab w:val="left" w:pos="993"/>
                <w:tab w:val="left" w:pos="1276"/>
              </w:tabs>
              <w:ind w:firstLine="709"/>
            </w:pPr>
            <w:r w:rsidRPr="00102E8E">
              <w:t>1 diena</w:t>
            </w:r>
          </w:p>
        </w:tc>
      </w:tr>
      <w:tr w:rsidR="00102E8E" w:rsidRPr="00102E8E" w14:paraId="2CD38BE1" w14:textId="77777777" w:rsidTr="00D2786A">
        <w:trPr>
          <w:trHeight w:val="857"/>
        </w:trPr>
        <w:tc>
          <w:tcPr>
            <w:tcW w:w="993" w:type="dxa"/>
            <w:shd w:val="clear" w:color="auto" w:fill="auto"/>
          </w:tcPr>
          <w:p w14:paraId="084603E7" w14:textId="6B8B0E09" w:rsidR="00102E8E" w:rsidRPr="00B21DB0" w:rsidRDefault="004D62AB" w:rsidP="00B21DB0">
            <w:r>
              <w:t>10</w:t>
            </w:r>
            <w:r w:rsidR="00102E8E" w:rsidRPr="00B21DB0">
              <w:t>.</w:t>
            </w:r>
          </w:p>
        </w:tc>
        <w:tc>
          <w:tcPr>
            <w:tcW w:w="5386" w:type="dxa"/>
            <w:shd w:val="clear" w:color="auto" w:fill="auto"/>
          </w:tcPr>
          <w:p w14:paraId="01107B21" w14:textId="77777777" w:rsidR="00102E8E" w:rsidRPr="00102E8E" w:rsidRDefault="00102E8E" w:rsidP="00523A25">
            <w:pPr>
              <w:tabs>
                <w:tab w:val="left" w:pos="426"/>
                <w:tab w:val="left" w:pos="851"/>
                <w:tab w:val="left" w:pos="993"/>
                <w:tab w:val="left" w:pos="1276"/>
              </w:tabs>
            </w:pPr>
            <w:r w:rsidRPr="00102E8E">
              <w:t>Neužtikrinamas ataskaitų teikimas laiku</w:t>
            </w:r>
          </w:p>
        </w:tc>
        <w:tc>
          <w:tcPr>
            <w:tcW w:w="1134" w:type="dxa"/>
            <w:shd w:val="clear" w:color="auto" w:fill="auto"/>
          </w:tcPr>
          <w:p w14:paraId="70505C07" w14:textId="77777777" w:rsidR="00102E8E" w:rsidRPr="00102E8E" w:rsidRDefault="00102E8E" w:rsidP="00102E8E">
            <w:pPr>
              <w:tabs>
                <w:tab w:val="left" w:pos="426"/>
                <w:tab w:val="left" w:pos="851"/>
                <w:tab w:val="left" w:pos="993"/>
                <w:tab w:val="left" w:pos="1276"/>
              </w:tabs>
            </w:pPr>
            <w:r w:rsidRPr="00102E8E">
              <w:t>0,005%</w:t>
            </w:r>
          </w:p>
        </w:tc>
        <w:tc>
          <w:tcPr>
            <w:tcW w:w="2693" w:type="dxa"/>
            <w:shd w:val="clear" w:color="auto" w:fill="auto"/>
          </w:tcPr>
          <w:p w14:paraId="55E77DD7" w14:textId="77777777" w:rsidR="00102E8E" w:rsidRPr="00102E8E" w:rsidRDefault="00102E8E" w:rsidP="00102E8E">
            <w:pPr>
              <w:tabs>
                <w:tab w:val="left" w:pos="426"/>
                <w:tab w:val="left" w:pos="851"/>
                <w:tab w:val="left" w:pos="993"/>
                <w:tab w:val="left" w:pos="1276"/>
              </w:tabs>
              <w:ind w:firstLine="709"/>
            </w:pPr>
            <w:r w:rsidRPr="00102E8E">
              <w:t>3 dienos</w:t>
            </w:r>
          </w:p>
        </w:tc>
      </w:tr>
      <w:tr w:rsidR="00102E8E" w:rsidRPr="00102E8E" w14:paraId="4BDFB3EA" w14:textId="77777777" w:rsidTr="00D2786A">
        <w:trPr>
          <w:trHeight w:val="85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7A11E0" w14:textId="18047544" w:rsidR="00102E8E" w:rsidRPr="00B21DB0" w:rsidRDefault="00102E8E" w:rsidP="00B21DB0">
            <w:r w:rsidRPr="00B21DB0">
              <w:t>1</w:t>
            </w:r>
            <w:r w:rsidR="004D62AB">
              <w:t>1</w:t>
            </w:r>
            <w:r w:rsidRPr="00B21DB0">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0CA301" w14:textId="770AD6A0" w:rsidR="00102E8E" w:rsidRPr="00102E8E" w:rsidRDefault="00102E8E" w:rsidP="008F741F">
            <w:pPr>
              <w:tabs>
                <w:tab w:val="left" w:pos="426"/>
                <w:tab w:val="left" w:pos="851"/>
                <w:tab w:val="left" w:pos="993"/>
                <w:tab w:val="left" w:pos="1276"/>
              </w:tabs>
            </w:pPr>
            <w:r w:rsidRPr="00102E8E">
              <w:t xml:space="preserve">Neužtikrinamas nemokamas </w:t>
            </w:r>
            <w:r w:rsidR="008F741F">
              <w:t>Sporto objekto</w:t>
            </w:r>
            <w:r w:rsidRPr="00102E8E">
              <w:t xml:space="preserve"> infrastruktūros ar atskirų jos vienetų naudojimas savivaldybės ar trečiųjų asmenų reikmėms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D6351A" w14:textId="6316A18A" w:rsidR="00102E8E" w:rsidRPr="00102E8E" w:rsidRDefault="00102E8E" w:rsidP="00102E8E">
            <w:pPr>
              <w:tabs>
                <w:tab w:val="left" w:pos="426"/>
                <w:tab w:val="left" w:pos="851"/>
                <w:tab w:val="left" w:pos="993"/>
                <w:tab w:val="left" w:pos="1276"/>
              </w:tabs>
            </w:pPr>
            <w:r w:rsidRPr="00102E8E">
              <w:t>0,05 %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C01B30" w14:textId="46A3C7DC" w:rsidR="00102E8E" w:rsidRPr="00102E8E" w:rsidRDefault="005D54DC" w:rsidP="00102E8E">
            <w:pPr>
              <w:tabs>
                <w:tab w:val="left" w:pos="426"/>
                <w:tab w:val="left" w:pos="851"/>
                <w:tab w:val="left" w:pos="993"/>
                <w:tab w:val="left" w:pos="1276"/>
              </w:tabs>
              <w:ind w:firstLine="709"/>
            </w:pPr>
            <w:r w:rsidRPr="005D54DC">
              <w:t>1 diena</w:t>
            </w:r>
          </w:p>
        </w:tc>
      </w:tr>
      <w:tr w:rsidR="00102E8E" w:rsidRPr="00102E8E" w14:paraId="16A15CA4" w14:textId="77777777" w:rsidTr="00D2786A">
        <w:trPr>
          <w:trHeight w:val="85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05E9AE" w14:textId="483491DC" w:rsidR="00102E8E" w:rsidRPr="000B3FE5" w:rsidRDefault="00102E8E" w:rsidP="00102E8E">
            <w:pPr>
              <w:tabs>
                <w:tab w:val="left" w:pos="851"/>
                <w:tab w:val="left" w:pos="993"/>
                <w:tab w:val="left" w:pos="1276"/>
              </w:tabs>
              <w:rPr>
                <w:bCs/>
              </w:rPr>
            </w:pPr>
            <w:r w:rsidRPr="000B3FE5">
              <w:rPr>
                <w:bCs/>
              </w:rPr>
              <w:t>1</w:t>
            </w:r>
            <w:r w:rsidR="004D62AB">
              <w:rPr>
                <w:bCs/>
              </w:rPr>
              <w:t>2</w:t>
            </w:r>
            <w:r w:rsidRPr="000B3FE5">
              <w:rPr>
                <w:bC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E29199" w14:textId="77777777" w:rsidR="00102E8E" w:rsidRPr="00102E8E" w:rsidRDefault="00102E8E" w:rsidP="000B3FE5">
            <w:pPr>
              <w:tabs>
                <w:tab w:val="left" w:pos="426"/>
                <w:tab w:val="left" w:pos="851"/>
                <w:tab w:val="left" w:pos="993"/>
                <w:tab w:val="left" w:pos="1276"/>
              </w:tabs>
            </w:pPr>
            <w:r w:rsidRPr="00102E8E">
              <w:t>Koncesininkas neapdraudžia savo civilinės atsakomybės nuo visų rizikų, kurios gali kilti dėl bet kokios veiklos, kurią Koncesininkas vykdo pagal šią Sutartį.</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F88F2B" w14:textId="77777777" w:rsidR="00102E8E" w:rsidRPr="00102E8E" w:rsidRDefault="00102E8E" w:rsidP="00102E8E">
            <w:pPr>
              <w:tabs>
                <w:tab w:val="left" w:pos="426"/>
                <w:tab w:val="left" w:pos="851"/>
                <w:tab w:val="left" w:pos="993"/>
                <w:tab w:val="left" w:pos="1276"/>
              </w:tabs>
              <w:rPr>
                <w:lang w:val="en-US"/>
              </w:rPr>
            </w:pPr>
            <w:r w:rsidRPr="00102E8E">
              <w:t xml:space="preserve">0,05 </w:t>
            </w:r>
            <w:r w:rsidRPr="00102E8E">
              <w:rPr>
                <w:lang w:val="en-US"/>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9956BC" w14:textId="77777777" w:rsidR="00102E8E" w:rsidRPr="00102E8E" w:rsidRDefault="00102E8E" w:rsidP="00102E8E">
            <w:pPr>
              <w:tabs>
                <w:tab w:val="left" w:pos="426"/>
                <w:tab w:val="left" w:pos="851"/>
                <w:tab w:val="left" w:pos="993"/>
                <w:tab w:val="left" w:pos="1276"/>
              </w:tabs>
              <w:ind w:firstLine="709"/>
            </w:pPr>
            <w:r w:rsidRPr="00102E8E">
              <w:t>1 savaitė</w:t>
            </w:r>
          </w:p>
        </w:tc>
      </w:tr>
      <w:tr w:rsidR="00102E8E" w:rsidRPr="00102E8E" w14:paraId="795CE28C" w14:textId="77777777" w:rsidTr="00D2786A">
        <w:trPr>
          <w:trHeight w:val="85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6BBA3F" w14:textId="7561A4F1" w:rsidR="00102E8E" w:rsidRPr="000B3FE5" w:rsidRDefault="00102E8E" w:rsidP="00102E8E">
            <w:pPr>
              <w:tabs>
                <w:tab w:val="left" w:pos="851"/>
                <w:tab w:val="left" w:pos="993"/>
                <w:tab w:val="left" w:pos="1276"/>
              </w:tabs>
              <w:rPr>
                <w:bCs/>
              </w:rPr>
            </w:pPr>
            <w:r w:rsidRPr="000B3FE5">
              <w:rPr>
                <w:bCs/>
              </w:rPr>
              <w:t>1</w:t>
            </w:r>
            <w:r w:rsidR="004D62AB">
              <w:rPr>
                <w:bCs/>
              </w:rPr>
              <w:t>3</w:t>
            </w:r>
            <w:r w:rsidRPr="000B3FE5">
              <w:rPr>
                <w:bC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AD4E559" w14:textId="77777777" w:rsidR="00102E8E" w:rsidRPr="00102E8E" w:rsidRDefault="00102E8E" w:rsidP="000B3FE5">
            <w:pPr>
              <w:tabs>
                <w:tab w:val="left" w:pos="426"/>
                <w:tab w:val="left" w:pos="851"/>
                <w:tab w:val="left" w:pos="993"/>
                <w:tab w:val="left" w:pos="1276"/>
              </w:tabs>
            </w:pPr>
            <w:r w:rsidRPr="00102E8E">
              <w:t>Koncesininkas neapdraudžia Turto maksimaliu turto atkuriamosios vertės draudimu nuo visų galimų rizikos atvejų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F2E5F" w14:textId="77777777" w:rsidR="00102E8E" w:rsidRPr="00102E8E" w:rsidRDefault="00102E8E" w:rsidP="00102E8E">
            <w:pPr>
              <w:tabs>
                <w:tab w:val="left" w:pos="426"/>
                <w:tab w:val="left" w:pos="851"/>
                <w:tab w:val="left" w:pos="993"/>
                <w:tab w:val="left" w:pos="1276"/>
              </w:tabs>
            </w:pPr>
            <w:r w:rsidRPr="00102E8E">
              <w:t>0,5 %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52BE57" w14:textId="41B11CE3" w:rsidR="00102E8E" w:rsidRPr="00102E8E" w:rsidRDefault="005D54DC" w:rsidP="00102E8E">
            <w:pPr>
              <w:tabs>
                <w:tab w:val="left" w:pos="426"/>
                <w:tab w:val="left" w:pos="851"/>
                <w:tab w:val="left" w:pos="993"/>
                <w:tab w:val="left" w:pos="1276"/>
              </w:tabs>
              <w:ind w:firstLine="709"/>
            </w:pPr>
            <w:r w:rsidRPr="005D54DC">
              <w:t>1 savaitė</w:t>
            </w:r>
          </w:p>
        </w:tc>
      </w:tr>
      <w:tr w:rsidR="00102E8E" w:rsidRPr="00102E8E" w14:paraId="016DAA52" w14:textId="77777777" w:rsidTr="00D2786A">
        <w:trPr>
          <w:trHeight w:val="85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B6C17FB" w14:textId="61D38D72" w:rsidR="00102E8E" w:rsidRPr="00D2786A" w:rsidRDefault="00102E8E" w:rsidP="00102E8E">
            <w:pPr>
              <w:tabs>
                <w:tab w:val="left" w:pos="851"/>
                <w:tab w:val="left" w:pos="993"/>
                <w:tab w:val="left" w:pos="1276"/>
              </w:tabs>
              <w:rPr>
                <w:bCs/>
              </w:rPr>
            </w:pPr>
            <w:r w:rsidRPr="00D2786A">
              <w:rPr>
                <w:bCs/>
              </w:rPr>
              <w:t>1</w:t>
            </w:r>
            <w:r w:rsidR="004D62AB">
              <w:rPr>
                <w:bCs/>
                <w:lang w:val="en-US"/>
              </w:rPr>
              <w:t>4</w:t>
            </w:r>
            <w:r w:rsidRPr="00D2786A">
              <w:rPr>
                <w:bC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E0F396" w14:textId="77777777" w:rsidR="00102E8E" w:rsidRPr="00102E8E" w:rsidRDefault="00102E8E" w:rsidP="000B3FE5">
            <w:pPr>
              <w:tabs>
                <w:tab w:val="left" w:pos="426"/>
                <w:tab w:val="left" w:pos="851"/>
                <w:tab w:val="left" w:pos="993"/>
                <w:tab w:val="left" w:pos="1276"/>
              </w:tabs>
            </w:pPr>
            <w:r w:rsidRPr="00102E8E">
              <w:t>Neužtikrinamas tinkamas sporto inventoriaus funkcionavimas ir priežiūra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C7FD" w14:textId="77777777" w:rsidR="00102E8E" w:rsidRPr="00102E8E" w:rsidRDefault="00102E8E" w:rsidP="00102E8E">
            <w:pPr>
              <w:tabs>
                <w:tab w:val="left" w:pos="426"/>
                <w:tab w:val="left" w:pos="851"/>
                <w:tab w:val="left" w:pos="993"/>
                <w:tab w:val="left" w:pos="1276"/>
              </w:tabs>
            </w:pPr>
            <w:r w:rsidRPr="00102E8E">
              <w:t>0,05 %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1E108D" w14:textId="77777777" w:rsidR="00102E8E" w:rsidRPr="00102E8E" w:rsidRDefault="00102E8E" w:rsidP="00102E8E">
            <w:pPr>
              <w:tabs>
                <w:tab w:val="left" w:pos="426"/>
                <w:tab w:val="left" w:pos="851"/>
                <w:tab w:val="left" w:pos="993"/>
                <w:tab w:val="left" w:pos="1276"/>
              </w:tabs>
              <w:ind w:firstLine="709"/>
            </w:pPr>
            <w:r w:rsidRPr="00102E8E">
              <w:t>1 savaitė</w:t>
            </w:r>
          </w:p>
        </w:tc>
      </w:tr>
      <w:tr w:rsidR="00102E8E" w:rsidRPr="00102E8E" w14:paraId="3785C5FA" w14:textId="77777777" w:rsidTr="00D2786A">
        <w:trPr>
          <w:trHeight w:val="85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72BCEFF" w14:textId="1977A235" w:rsidR="00102E8E" w:rsidRPr="00D2786A" w:rsidRDefault="00102E8E" w:rsidP="00102E8E">
            <w:pPr>
              <w:tabs>
                <w:tab w:val="left" w:pos="851"/>
                <w:tab w:val="left" w:pos="993"/>
                <w:tab w:val="left" w:pos="1276"/>
              </w:tabs>
              <w:rPr>
                <w:bCs/>
              </w:rPr>
            </w:pPr>
            <w:r w:rsidRPr="00D2786A">
              <w:rPr>
                <w:bCs/>
              </w:rPr>
              <w:t>1</w:t>
            </w:r>
            <w:r w:rsidR="004D62AB">
              <w:rPr>
                <w:bCs/>
              </w:rPr>
              <w:t>5</w:t>
            </w:r>
            <w:r w:rsidRPr="00D2786A">
              <w:rPr>
                <w:bC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6B10A38" w14:textId="6C2C284D" w:rsidR="00102E8E" w:rsidRPr="00102E8E" w:rsidRDefault="00102E8E" w:rsidP="00D2786A">
            <w:pPr>
              <w:tabs>
                <w:tab w:val="left" w:pos="426"/>
                <w:tab w:val="left" w:pos="851"/>
                <w:tab w:val="left" w:pos="993"/>
                <w:tab w:val="left" w:pos="1276"/>
              </w:tabs>
            </w:pPr>
            <w:r w:rsidRPr="00102E8E">
              <w:t xml:space="preserve">Neužtikrinama tinkama </w:t>
            </w:r>
            <w:r w:rsidR="00D2786A">
              <w:t>Sporto objekto statinių</w:t>
            </w:r>
            <w:r w:rsidRPr="00102E8E">
              <w:t xml:space="preserve"> bei patalpų būklė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1D5C5" w14:textId="77777777" w:rsidR="00102E8E" w:rsidRPr="00102E8E" w:rsidRDefault="00102E8E" w:rsidP="00102E8E">
            <w:pPr>
              <w:tabs>
                <w:tab w:val="left" w:pos="426"/>
                <w:tab w:val="left" w:pos="851"/>
                <w:tab w:val="left" w:pos="993"/>
                <w:tab w:val="left" w:pos="1276"/>
              </w:tabs>
              <w:rPr>
                <w:lang w:val="en-US"/>
              </w:rPr>
            </w:pPr>
            <w:r w:rsidRPr="00102E8E">
              <w:t>0,</w:t>
            </w:r>
            <w:r w:rsidRPr="00102E8E">
              <w:rPr>
                <w:lang w:val="en-US"/>
              </w:rPr>
              <w:t>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D2AEBA" w14:textId="77777777" w:rsidR="00102E8E" w:rsidRPr="00102E8E" w:rsidRDefault="00102E8E" w:rsidP="00102E8E">
            <w:pPr>
              <w:tabs>
                <w:tab w:val="left" w:pos="426"/>
                <w:tab w:val="left" w:pos="851"/>
                <w:tab w:val="left" w:pos="993"/>
                <w:tab w:val="left" w:pos="1276"/>
              </w:tabs>
              <w:ind w:firstLine="709"/>
            </w:pPr>
            <w:r w:rsidRPr="00102E8E">
              <w:t>1 savaitė</w:t>
            </w:r>
          </w:p>
        </w:tc>
      </w:tr>
    </w:tbl>
    <w:p w14:paraId="01D72225" w14:textId="77777777" w:rsidR="0009331F" w:rsidRDefault="0009331F"/>
    <w:sectPr w:rsidR="000933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00"/>
    <w:family w:val="roman"/>
    <w:pitch w:val="variable"/>
    <w:sig w:usb0="00000001"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5AC3"/>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 w15:restartNumberingAfterBreak="0">
    <w:nsid w:val="287846DC"/>
    <w:multiLevelType w:val="multilevel"/>
    <w:tmpl w:val="501803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7317ED5"/>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3" w15:restartNumberingAfterBreak="0">
    <w:nsid w:val="39BD48A7"/>
    <w:multiLevelType w:val="multilevel"/>
    <w:tmpl w:val="72D285A6"/>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4" w15:restartNumberingAfterBreak="0">
    <w:nsid w:val="3ACF5C9F"/>
    <w:multiLevelType w:val="hybridMultilevel"/>
    <w:tmpl w:val="2F4A7DF2"/>
    <w:lvl w:ilvl="0" w:tplc="4BB838CA">
      <w:start w:val="3"/>
      <w:numFmt w:val="decimal"/>
      <w:lvlText w:val="%1"/>
      <w:lvlJc w:val="left"/>
      <w:pPr>
        <w:ind w:left="7808" w:hanging="360"/>
      </w:pPr>
      <w:rPr>
        <w:rFonts w:hint="default"/>
      </w:rPr>
    </w:lvl>
    <w:lvl w:ilvl="1" w:tplc="04270019" w:tentative="1">
      <w:start w:val="1"/>
      <w:numFmt w:val="lowerLetter"/>
      <w:lvlText w:val="%2."/>
      <w:lvlJc w:val="left"/>
      <w:pPr>
        <w:ind w:left="8528" w:hanging="360"/>
      </w:pPr>
    </w:lvl>
    <w:lvl w:ilvl="2" w:tplc="0427001B" w:tentative="1">
      <w:start w:val="1"/>
      <w:numFmt w:val="lowerRoman"/>
      <w:lvlText w:val="%3."/>
      <w:lvlJc w:val="right"/>
      <w:pPr>
        <w:ind w:left="9248" w:hanging="180"/>
      </w:pPr>
    </w:lvl>
    <w:lvl w:ilvl="3" w:tplc="0427000F" w:tentative="1">
      <w:start w:val="1"/>
      <w:numFmt w:val="decimal"/>
      <w:lvlText w:val="%4."/>
      <w:lvlJc w:val="left"/>
      <w:pPr>
        <w:ind w:left="9968" w:hanging="360"/>
      </w:pPr>
    </w:lvl>
    <w:lvl w:ilvl="4" w:tplc="04270019" w:tentative="1">
      <w:start w:val="1"/>
      <w:numFmt w:val="lowerLetter"/>
      <w:lvlText w:val="%5."/>
      <w:lvlJc w:val="left"/>
      <w:pPr>
        <w:ind w:left="10688" w:hanging="360"/>
      </w:pPr>
    </w:lvl>
    <w:lvl w:ilvl="5" w:tplc="0427001B" w:tentative="1">
      <w:start w:val="1"/>
      <w:numFmt w:val="lowerRoman"/>
      <w:lvlText w:val="%6."/>
      <w:lvlJc w:val="right"/>
      <w:pPr>
        <w:ind w:left="11408" w:hanging="180"/>
      </w:pPr>
    </w:lvl>
    <w:lvl w:ilvl="6" w:tplc="0427000F" w:tentative="1">
      <w:start w:val="1"/>
      <w:numFmt w:val="decimal"/>
      <w:lvlText w:val="%7."/>
      <w:lvlJc w:val="left"/>
      <w:pPr>
        <w:ind w:left="12128" w:hanging="360"/>
      </w:pPr>
    </w:lvl>
    <w:lvl w:ilvl="7" w:tplc="04270019" w:tentative="1">
      <w:start w:val="1"/>
      <w:numFmt w:val="lowerLetter"/>
      <w:lvlText w:val="%8."/>
      <w:lvlJc w:val="left"/>
      <w:pPr>
        <w:ind w:left="12848" w:hanging="360"/>
      </w:pPr>
    </w:lvl>
    <w:lvl w:ilvl="8" w:tplc="0427001B" w:tentative="1">
      <w:start w:val="1"/>
      <w:numFmt w:val="lowerRoman"/>
      <w:lvlText w:val="%9."/>
      <w:lvlJc w:val="right"/>
      <w:pPr>
        <w:ind w:left="13568" w:hanging="180"/>
      </w:pPr>
    </w:lvl>
  </w:abstractNum>
  <w:abstractNum w:abstractNumId="5"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num w:numId="1" w16cid:durableId="435905085">
    <w:abstractNumId w:val="5"/>
  </w:num>
  <w:num w:numId="2" w16cid:durableId="134958614">
    <w:abstractNumId w:val="1"/>
  </w:num>
  <w:num w:numId="3" w16cid:durableId="1515656760">
    <w:abstractNumId w:val="3"/>
  </w:num>
  <w:num w:numId="4" w16cid:durableId="1155681046">
    <w:abstractNumId w:val="2"/>
  </w:num>
  <w:num w:numId="5" w16cid:durableId="1622613446">
    <w:abstractNumId w:val="0"/>
  </w:num>
  <w:num w:numId="6" w16cid:durableId="7112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8E"/>
    <w:rsid w:val="00001FFC"/>
    <w:rsid w:val="00005455"/>
    <w:rsid w:val="000347AF"/>
    <w:rsid w:val="00080936"/>
    <w:rsid w:val="0008225A"/>
    <w:rsid w:val="0009331F"/>
    <w:rsid w:val="000B3FE5"/>
    <w:rsid w:val="000C2216"/>
    <w:rsid w:val="000C2CC4"/>
    <w:rsid w:val="000C3743"/>
    <w:rsid w:val="000D025C"/>
    <w:rsid w:val="00102E8E"/>
    <w:rsid w:val="001253B2"/>
    <w:rsid w:val="00182E1C"/>
    <w:rsid w:val="0019215C"/>
    <w:rsid w:val="001B0B4B"/>
    <w:rsid w:val="001C0611"/>
    <w:rsid w:val="001E17CD"/>
    <w:rsid w:val="001F2911"/>
    <w:rsid w:val="00212758"/>
    <w:rsid w:val="00227B8D"/>
    <w:rsid w:val="0023167B"/>
    <w:rsid w:val="00260CC7"/>
    <w:rsid w:val="00260FF8"/>
    <w:rsid w:val="00267843"/>
    <w:rsid w:val="002918C7"/>
    <w:rsid w:val="002B1752"/>
    <w:rsid w:val="002B41FD"/>
    <w:rsid w:val="002B49EA"/>
    <w:rsid w:val="002B7707"/>
    <w:rsid w:val="002C65A6"/>
    <w:rsid w:val="00300D8B"/>
    <w:rsid w:val="00367F81"/>
    <w:rsid w:val="00374608"/>
    <w:rsid w:val="003768B8"/>
    <w:rsid w:val="003B2140"/>
    <w:rsid w:val="003B473D"/>
    <w:rsid w:val="003F02D1"/>
    <w:rsid w:val="003F7933"/>
    <w:rsid w:val="0040334A"/>
    <w:rsid w:val="00431479"/>
    <w:rsid w:val="00431BB1"/>
    <w:rsid w:val="00447CD8"/>
    <w:rsid w:val="00482AFD"/>
    <w:rsid w:val="004B7744"/>
    <w:rsid w:val="004C3751"/>
    <w:rsid w:val="004D62AB"/>
    <w:rsid w:val="004E519A"/>
    <w:rsid w:val="004E682B"/>
    <w:rsid w:val="0050268D"/>
    <w:rsid w:val="00514310"/>
    <w:rsid w:val="00523A25"/>
    <w:rsid w:val="005476E8"/>
    <w:rsid w:val="005539A1"/>
    <w:rsid w:val="00592E50"/>
    <w:rsid w:val="0059713D"/>
    <w:rsid w:val="005A22D8"/>
    <w:rsid w:val="005D54DC"/>
    <w:rsid w:val="00605102"/>
    <w:rsid w:val="006161DA"/>
    <w:rsid w:val="006D6ACA"/>
    <w:rsid w:val="007014B5"/>
    <w:rsid w:val="0071563F"/>
    <w:rsid w:val="007265EA"/>
    <w:rsid w:val="007420C7"/>
    <w:rsid w:val="007536D9"/>
    <w:rsid w:val="00787A4A"/>
    <w:rsid w:val="007F4709"/>
    <w:rsid w:val="007F5E7F"/>
    <w:rsid w:val="00845A88"/>
    <w:rsid w:val="00886C38"/>
    <w:rsid w:val="008A467A"/>
    <w:rsid w:val="008C3A58"/>
    <w:rsid w:val="008C57E4"/>
    <w:rsid w:val="008D5FD6"/>
    <w:rsid w:val="008E633D"/>
    <w:rsid w:val="008F741F"/>
    <w:rsid w:val="009008FE"/>
    <w:rsid w:val="009406FE"/>
    <w:rsid w:val="009533A2"/>
    <w:rsid w:val="00971795"/>
    <w:rsid w:val="00972825"/>
    <w:rsid w:val="009738E8"/>
    <w:rsid w:val="00977503"/>
    <w:rsid w:val="00990E7A"/>
    <w:rsid w:val="009B006C"/>
    <w:rsid w:val="009D73ED"/>
    <w:rsid w:val="009E0592"/>
    <w:rsid w:val="00A22E0A"/>
    <w:rsid w:val="00A56E1B"/>
    <w:rsid w:val="00A6253E"/>
    <w:rsid w:val="00A631CB"/>
    <w:rsid w:val="00A90D56"/>
    <w:rsid w:val="00AD47BA"/>
    <w:rsid w:val="00B21DB0"/>
    <w:rsid w:val="00B230E1"/>
    <w:rsid w:val="00B460C5"/>
    <w:rsid w:val="00B5422D"/>
    <w:rsid w:val="00B636BC"/>
    <w:rsid w:val="00B95CB4"/>
    <w:rsid w:val="00BB1CE9"/>
    <w:rsid w:val="00BB2CE0"/>
    <w:rsid w:val="00BD4C74"/>
    <w:rsid w:val="00BE3326"/>
    <w:rsid w:val="00C020F0"/>
    <w:rsid w:val="00C206DA"/>
    <w:rsid w:val="00C547E3"/>
    <w:rsid w:val="00C65810"/>
    <w:rsid w:val="00CC405F"/>
    <w:rsid w:val="00CD1279"/>
    <w:rsid w:val="00D028CE"/>
    <w:rsid w:val="00D06BC2"/>
    <w:rsid w:val="00D157EA"/>
    <w:rsid w:val="00D1760C"/>
    <w:rsid w:val="00D2786A"/>
    <w:rsid w:val="00D35D33"/>
    <w:rsid w:val="00D43B2A"/>
    <w:rsid w:val="00DC3FC4"/>
    <w:rsid w:val="00DE4319"/>
    <w:rsid w:val="00E8545D"/>
    <w:rsid w:val="00EB15BA"/>
    <w:rsid w:val="00EB6C35"/>
    <w:rsid w:val="00EB7C72"/>
    <w:rsid w:val="00ED38CA"/>
    <w:rsid w:val="00F05068"/>
    <w:rsid w:val="00F1365A"/>
    <w:rsid w:val="00F17151"/>
    <w:rsid w:val="00F25C34"/>
    <w:rsid w:val="00F3472F"/>
    <w:rsid w:val="00FE3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B314"/>
  <w15:chartTrackingRefBased/>
  <w15:docId w15:val="{32831DCD-7B73-4E58-B707-E8E21A18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4B5"/>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2E8E"/>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02E8E"/>
    <w:pPr>
      <w:spacing w:after="160" w:line="259" w:lineRule="auto"/>
      <w:ind w:left="720"/>
      <w:contextualSpacing/>
    </w:pPr>
    <w:rPr>
      <w:rFonts w:asciiTheme="minorHAnsi" w:eastAsiaTheme="minorHAnsi" w:hAnsiTheme="minorHAnsi" w:cstheme="minorBid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16832</Words>
  <Characters>9595</Characters>
  <Application>Microsoft Office Word</Application>
  <DocSecurity>4</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Lubauskas</dc:creator>
  <cp:keywords/>
  <dc:description/>
  <cp:lastModifiedBy>Sigitas Žvinys</cp:lastModifiedBy>
  <cp:revision>2</cp:revision>
  <dcterms:created xsi:type="dcterms:W3CDTF">2023-10-04T10:37:00Z</dcterms:created>
  <dcterms:modified xsi:type="dcterms:W3CDTF">2023-10-04T10:37:00Z</dcterms:modified>
</cp:coreProperties>
</file>