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BD" w:rsidRPr="00E16586" w:rsidRDefault="004809BD" w:rsidP="004809BD">
      <w:pPr>
        <w:jc w:val="right"/>
      </w:pPr>
      <w:r>
        <w:t>P</w:t>
      </w:r>
      <w:r w:rsidRPr="00E16586">
        <w:t>riedas</w:t>
      </w:r>
      <w:r>
        <w:t xml:space="preserve"> Nr. 2</w:t>
      </w:r>
    </w:p>
    <w:p w:rsidR="004809BD" w:rsidRPr="00B15059" w:rsidRDefault="004809BD" w:rsidP="004809BD">
      <w:pPr>
        <w:jc w:val="center"/>
        <w:rPr>
          <w:rFonts w:eastAsia="ヒラギノ角ゴ Pro W3"/>
          <w:color w:val="000000"/>
          <w:sz w:val="24"/>
          <w:szCs w:val="24"/>
        </w:rPr>
      </w:pPr>
      <w:r>
        <w:rPr>
          <w:rFonts w:eastAsia="ヒラギノ角ゴ Pro W3"/>
          <w:color w:val="000000"/>
          <w:sz w:val="24"/>
          <w:szCs w:val="24"/>
        </w:rPr>
        <w:t>TECHNINĖ SPECIFIKACIJA</w:t>
      </w:r>
    </w:p>
    <w:p w:rsidR="004809BD" w:rsidRPr="00B15059" w:rsidRDefault="004809BD" w:rsidP="004809BD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eastAsia="ヒラギノ角ゴ Pro W3"/>
          <w:color w:val="000000"/>
          <w:sz w:val="24"/>
          <w:szCs w:val="24"/>
        </w:rPr>
      </w:pPr>
    </w:p>
    <w:tbl>
      <w:tblPr>
        <w:tblW w:w="14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3"/>
        <w:gridCol w:w="4803"/>
        <w:gridCol w:w="2565"/>
        <w:gridCol w:w="2268"/>
      </w:tblGrid>
      <w:tr w:rsidR="004809BD" w:rsidRPr="000E4F32" w:rsidTr="00A66C69">
        <w:trPr>
          <w:trHeight w:val="692"/>
          <w:jc w:val="center"/>
        </w:trPr>
        <w:tc>
          <w:tcPr>
            <w:tcW w:w="4803" w:type="dxa"/>
            <w:shd w:val="clear" w:color="auto" w:fill="auto"/>
            <w:vAlign w:val="center"/>
            <w:hideMark/>
          </w:tcPr>
          <w:p w:rsidR="004809BD" w:rsidRPr="000A015B" w:rsidRDefault="004809BD" w:rsidP="00A66C69">
            <w:pPr>
              <w:spacing w:after="160" w:line="259" w:lineRule="auto"/>
              <w:jc w:val="center"/>
              <w:rPr>
                <w:rFonts w:eastAsia="ヒラギノ角ゴ Pro W3"/>
                <w:color w:val="000000"/>
                <w:sz w:val="24"/>
                <w:szCs w:val="24"/>
                <w:lang w:eastAsia="lt-LT"/>
              </w:rPr>
            </w:pPr>
            <w:r w:rsidRPr="000A015B">
              <w:rPr>
                <w:sz w:val="24"/>
                <w:szCs w:val="24"/>
              </w:rPr>
              <w:t>Prekės pavadinimas</w:t>
            </w:r>
            <w:r>
              <w:rPr>
                <w:sz w:val="24"/>
                <w:szCs w:val="24"/>
              </w:rPr>
              <w:t>,</w:t>
            </w:r>
            <w:r w:rsidRPr="000A0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techniniai</w:t>
            </w:r>
            <w:r w:rsidRPr="000A015B">
              <w:rPr>
                <w:sz w:val="24"/>
                <w:szCs w:val="24"/>
              </w:rPr>
              <w:t xml:space="preserve"> reikalavimai</w:t>
            </w:r>
          </w:p>
        </w:tc>
        <w:tc>
          <w:tcPr>
            <w:tcW w:w="4803" w:type="dxa"/>
            <w:vAlign w:val="center"/>
          </w:tcPr>
          <w:p w:rsidR="004809BD" w:rsidRPr="00761755" w:rsidRDefault="004809BD" w:rsidP="00A66C6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 xml:space="preserve">Atitikimas </w:t>
            </w:r>
            <w:r>
              <w:rPr>
                <w:sz w:val="24"/>
                <w:szCs w:val="24"/>
              </w:rPr>
              <w:t>techniniams</w:t>
            </w:r>
            <w:r w:rsidRPr="00761755">
              <w:rPr>
                <w:sz w:val="24"/>
                <w:szCs w:val="24"/>
              </w:rPr>
              <w:t xml:space="preserve"> reikalavimams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4809BD" w:rsidRPr="00761755" w:rsidRDefault="004809BD" w:rsidP="00A66C6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Orientacinis k</w:t>
            </w:r>
            <w:r w:rsidRPr="00761755">
              <w:rPr>
                <w:sz w:val="24"/>
                <w:szCs w:val="24"/>
              </w:rPr>
              <w:t>iekis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809BD" w:rsidRPr="00761755" w:rsidRDefault="004809BD" w:rsidP="00A66C6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>Mato vnt.</w:t>
            </w:r>
          </w:p>
        </w:tc>
      </w:tr>
      <w:tr w:rsidR="004809BD" w:rsidRPr="000E4F32" w:rsidTr="00A66C69">
        <w:trPr>
          <w:trHeight w:val="848"/>
          <w:jc w:val="center"/>
        </w:trPr>
        <w:tc>
          <w:tcPr>
            <w:tcW w:w="4803" w:type="dxa"/>
            <w:shd w:val="clear" w:color="auto" w:fill="auto"/>
            <w:vAlign w:val="center"/>
            <w:hideMark/>
          </w:tcPr>
          <w:p w:rsidR="004809BD" w:rsidRPr="00761755" w:rsidRDefault="004809BD" w:rsidP="00A66C69">
            <w:pPr>
              <w:pStyle w:val="Header"/>
              <w:rPr>
                <w:b/>
                <w:sz w:val="24"/>
                <w:szCs w:val="24"/>
              </w:rPr>
            </w:pPr>
            <w:r w:rsidRPr="00761755">
              <w:rPr>
                <w:b/>
                <w:sz w:val="24"/>
                <w:szCs w:val="24"/>
              </w:rPr>
              <w:t>Skystas muilas personalo rankų higieninei priežiūrai:</w:t>
            </w:r>
          </w:p>
          <w:p w:rsidR="004809BD" w:rsidRPr="00761755" w:rsidRDefault="004809BD" w:rsidP="00A66C69">
            <w:pPr>
              <w:pStyle w:val="Header"/>
              <w:jc w:val="both"/>
              <w:rPr>
                <w:b/>
                <w:i/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>1. personalo rankų higieninei priežiūrai (tinka asmens sveikatos priežiūros įstaigoms, nesiūlyti muilo skirto buitinėms reikmėms)</w:t>
            </w:r>
            <w:r>
              <w:rPr>
                <w:sz w:val="24"/>
                <w:szCs w:val="24"/>
              </w:rPr>
              <w:t>;</w:t>
            </w:r>
          </w:p>
          <w:p w:rsidR="004809BD" w:rsidRPr="00761755" w:rsidRDefault="004809BD" w:rsidP="00A66C69">
            <w:pPr>
              <w:pStyle w:val="Header"/>
              <w:rPr>
                <w:sz w:val="24"/>
                <w:szCs w:val="24"/>
                <w:lang w:val="en-US"/>
              </w:rPr>
            </w:pPr>
            <w:r w:rsidRPr="00761755">
              <w:rPr>
                <w:sz w:val="24"/>
                <w:szCs w:val="24"/>
              </w:rPr>
              <w:t>2. pH neutrali ar silpnai rūgštinė</w:t>
            </w:r>
            <w:r>
              <w:rPr>
                <w:sz w:val="24"/>
                <w:szCs w:val="24"/>
              </w:rPr>
              <w:t>;</w:t>
            </w:r>
          </w:p>
          <w:p w:rsidR="004809BD" w:rsidRPr="00761755" w:rsidRDefault="004809BD" w:rsidP="00A66C69">
            <w:pPr>
              <w:pStyle w:val="Header"/>
              <w:rPr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>3. be antimikrobinio poveikio</w:t>
            </w:r>
            <w:r>
              <w:rPr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4809BD" w:rsidRPr="00761755" w:rsidRDefault="004809BD" w:rsidP="00A66C69">
            <w:pPr>
              <w:pStyle w:val="Header"/>
              <w:rPr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>4. turi odos apsaugos ir priežiūros komponentų, nedžiovina rankų odos, tinka jautriai, sausai odai</w:t>
            </w:r>
            <w:r>
              <w:rPr>
                <w:sz w:val="24"/>
                <w:szCs w:val="24"/>
              </w:rPr>
              <w:t>;</w:t>
            </w:r>
          </w:p>
          <w:p w:rsidR="004809BD" w:rsidRPr="00761755" w:rsidRDefault="004809BD" w:rsidP="00A66C69">
            <w:pPr>
              <w:pStyle w:val="Header"/>
              <w:rPr>
                <w:sz w:val="24"/>
                <w:szCs w:val="24"/>
              </w:rPr>
            </w:pPr>
            <w:r w:rsidRPr="00761755">
              <w:rPr>
                <w:sz w:val="24"/>
                <w:szCs w:val="24"/>
              </w:rPr>
              <w:t>5. veiklus kietame vandenyje</w:t>
            </w:r>
            <w:r>
              <w:rPr>
                <w:sz w:val="24"/>
                <w:szCs w:val="24"/>
              </w:rPr>
              <w:t>;</w:t>
            </w:r>
          </w:p>
          <w:p w:rsidR="004809BD" w:rsidRPr="00761755" w:rsidRDefault="004809BD" w:rsidP="00A66C69">
            <w:pPr>
              <w:spacing w:after="160" w:line="259" w:lineRule="auto"/>
              <w:rPr>
                <w:rFonts w:eastAsia="ヒラギノ角ゴ Pro W3"/>
                <w:color w:val="000000"/>
                <w:sz w:val="24"/>
                <w:szCs w:val="24"/>
                <w:lang w:eastAsia="lt-LT"/>
              </w:rPr>
            </w:pPr>
            <w:r w:rsidRPr="00761755">
              <w:rPr>
                <w:sz w:val="24"/>
                <w:szCs w:val="24"/>
              </w:rPr>
              <w:t>6. išfasavimas 5 – 6 l talpose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:rsidR="004809BD" w:rsidRPr="00FB2553" w:rsidRDefault="004809BD" w:rsidP="00A66C69">
            <w:pPr>
              <w:spacing w:after="160" w:line="259" w:lineRule="auto"/>
              <w:jc w:val="center"/>
              <w:rPr>
                <w:rFonts w:eastAsia="ヒラギノ角ゴ Pro W3"/>
                <w:b/>
                <w:color w:val="000000"/>
                <w:sz w:val="24"/>
                <w:szCs w:val="24"/>
                <w:lang w:eastAsia="lt-LT"/>
              </w:rPr>
            </w:pPr>
            <w:r w:rsidRPr="00FB2553">
              <w:rPr>
                <w:rFonts w:eastAsia="ヒラギノ角ゴ Pro W3"/>
                <w:b/>
                <w:color w:val="000000"/>
                <w:sz w:val="24"/>
                <w:szCs w:val="24"/>
                <w:lang w:eastAsia="lt-LT"/>
              </w:rPr>
              <w:t>Skystas muilas rankoms ir kūnui</w:t>
            </w:r>
          </w:p>
          <w:p w:rsidR="004809BD" w:rsidRPr="00FB2553" w:rsidRDefault="004809BD" w:rsidP="00A66C69">
            <w:pPr>
              <w:spacing w:after="160" w:line="259" w:lineRule="auto"/>
              <w:rPr>
                <w:rFonts w:eastAsia="ヒラギノ角ゴ Pro W3"/>
                <w:color w:val="000000" w:themeColor="text1"/>
                <w:sz w:val="24"/>
                <w:szCs w:val="24"/>
                <w:lang w:eastAsia="lt-LT"/>
              </w:rPr>
            </w:pPr>
            <w:r w:rsidRPr="00FB2553">
              <w:rPr>
                <w:rFonts w:eastAsia="ヒラギノ角ゴ Pro W3"/>
                <w:color w:val="000000" w:themeColor="text1"/>
                <w:sz w:val="24"/>
                <w:szCs w:val="24"/>
                <w:lang w:eastAsia="lt-LT"/>
              </w:rPr>
              <w:t>Skystas muilas naudojamas įvairiose srityse, kur dažnai reikia plauti rankas ir palaikyti tinkamą higieninį lygį.</w:t>
            </w:r>
          </w:p>
          <w:p w:rsidR="004809BD" w:rsidRPr="00FB2553" w:rsidRDefault="004809BD" w:rsidP="00A66C69">
            <w:pPr>
              <w:spacing w:after="160" w:line="259" w:lineRule="auto"/>
              <w:rPr>
                <w:rFonts w:eastAsia="ヒラギノ角ゴ Pro W3"/>
                <w:color w:val="000000" w:themeColor="text1"/>
                <w:sz w:val="24"/>
                <w:szCs w:val="24"/>
                <w:lang w:eastAsia="lt-LT"/>
              </w:rPr>
            </w:pPr>
            <w:r w:rsidRPr="00FB2553">
              <w:rPr>
                <w:rFonts w:eastAsia="ヒラギノ角ゴ Pro W3"/>
                <w:color w:val="000000" w:themeColor="text1"/>
                <w:sz w:val="24"/>
                <w:szCs w:val="24"/>
                <w:lang w:eastAsia="lt-LT"/>
              </w:rPr>
              <w:t>pH 5,5</w:t>
            </w:r>
          </w:p>
          <w:p w:rsidR="004809BD" w:rsidRDefault="004809BD" w:rsidP="00A66C69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FB2553">
              <w:rPr>
                <w:color w:val="000000" w:themeColor="text1"/>
                <w:sz w:val="24"/>
                <w:szCs w:val="24"/>
              </w:rPr>
              <w:t>Erisan</w:t>
            </w:r>
            <w:proofErr w:type="spellEnd"/>
            <w:r w:rsidRPr="00FB255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553">
              <w:rPr>
                <w:color w:val="000000" w:themeColor="text1"/>
                <w:sz w:val="24"/>
                <w:szCs w:val="24"/>
              </w:rPr>
              <w:t>Nonsid</w:t>
            </w:r>
            <w:proofErr w:type="spellEnd"/>
            <w:r w:rsidRPr="00FB2553">
              <w:rPr>
                <w:color w:val="000000" w:themeColor="text1"/>
                <w:sz w:val="24"/>
                <w:szCs w:val="24"/>
              </w:rPr>
              <w:t xml:space="preserve">“ yra saugus, skystas muilas be kvapiųjų </w:t>
            </w:r>
            <w:r>
              <w:rPr>
                <w:color w:val="000000" w:themeColor="text1"/>
                <w:sz w:val="24"/>
                <w:szCs w:val="24"/>
              </w:rPr>
              <w:t>medžiagų, kurio sudėtyje yra odą</w:t>
            </w:r>
            <w:r w:rsidRPr="00FB2553">
              <w:rPr>
                <w:color w:val="000000" w:themeColor="text1"/>
                <w:sz w:val="24"/>
                <w:szCs w:val="24"/>
              </w:rPr>
              <w:t xml:space="preserve"> apsaugančių ir drėkinančių medžiagų. Sudėtyje nėra dažiklių, todėl idealiai tinka jautriai odai. Nesudėtingai naudojamas, todėl pagerina rankų higieną.</w:t>
            </w:r>
          </w:p>
          <w:p w:rsidR="004809BD" w:rsidRPr="00FB2553" w:rsidRDefault="004809BD" w:rsidP="00A66C69">
            <w:pPr>
              <w:spacing w:after="160" w:line="259" w:lineRule="auto"/>
              <w:rPr>
                <w:rFonts w:eastAsia="ヒラギノ角ゴ Pro W3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color w:val="000000" w:themeColor="text1"/>
                <w:sz w:val="24"/>
                <w:szCs w:val="24"/>
              </w:rPr>
              <w:t>Išfasavimas – 5l bakelis</w:t>
            </w:r>
          </w:p>
          <w:p w:rsidR="004809BD" w:rsidRPr="00FB2553" w:rsidRDefault="004809BD" w:rsidP="00A66C69">
            <w:pPr>
              <w:spacing w:after="160" w:line="259" w:lineRule="auto"/>
              <w:ind w:left="360"/>
              <w:rPr>
                <w:rFonts w:eastAsia="ヒラギノ角ゴ Pro W3"/>
                <w:color w:val="000000"/>
                <w:sz w:val="24"/>
                <w:szCs w:val="24"/>
                <w:lang w:eastAsia="lt-LT"/>
              </w:rPr>
            </w:pPr>
          </w:p>
          <w:p w:rsidR="004809BD" w:rsidRPr="00FB2553" w:rsidRDefault="004809BD" w:rsidP="00A66C69">
            <w:pPr>
              <w:spacing w:after="160" w:line="259" w:lineRule="auto"/>
              <w:rPr>
                <w:rFonts w:eastAsia="ヒラギノ角ゴ Pro W3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65" w:type="dxa"/>
            <w:shd w:val="clear" w:color="auto" w:fill="auto"/>
            <w:noWrap/>
            <w:vAlign w:val="center"/>
          </w:tcPr>
          <w:p w:rsidR="004809BD" w:rsidRPr="00761755" w:rsidRDefault="004809BD" w:rsidP="00A66C69">
            <w:pPr>
              <w:spacing w:line="259" w:lineRule="auto"/>
              <w:jc w:val="center"/>
              <w:rPr>
                <w:rFonts w:eastAsia="ヒラギノ角ゴ Pro W3"/>
                <w:color w:val="000000"/>
                <w:sz w:val="24"/>
                <w:szCs w:val="24"/>
                <w:lang w:eastAsia="lt-LT"/>
              </w:rPr>
            </w:pPr>
            <w:r w:rsidRPr="00761755">
              <w:rPr>
                <w:color w:val="333333"/>
                <w:sz w:val="24"/>
                <w:szCs w:val="24"/>
              </w:rPr>
              <w:t>1 000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09BD" w:rsidRPr="00761755" w:rsidRDefault="004809BD" w:rsidP="00A66C69">
            <w:pPr>
              <w:jc w:val="center"/>
              <w:rPr>
                <w:color w:val="333333"/>
                <w:sz w:val="24"/>
                <w:szCs w:val="24"/>
              </w:rPr>
            </w:pPr>
            <w:r w:rsidRPr="00761755">
              <w:rPr>
                <w:color w:val="333333"/>
                <w:sz w:val="24"/>
                <w:szCs w:val="24"/>
              </w:rPr>
              <w:t>litras</w:t>
            </w:r>
          </w:p>
        </w:tc>
      </w:tr>
    </w:tbl>
    <w:p w:rsidR="000618C6" w:rsidRDefault="000618C6"/>
    <w:sectPr w:rsidR="000618C6" w:rsidSect="00480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BD"/>
    <w:rsid w:val="000618C6"/>
    <w:rsid w:val="004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DF72D-2E7C-4CFE-A033-DAD5BDA2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rsid w:val="004809B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809B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Vilma</cp:lastModifiedBy>
  <cp:revision>1</cp:revision>
  <dcterms:created xsi:type="dcterms:W3CDTF">2015-01-23T08:50:00Z</dcterms:created>
  <dcterms:modified xsi:type="dcterms:W3CDTF">2015-01-23T08:52:00Z</dcterms:modified>
</cp:coreProperties>
</file>