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6A2A" w14:textId="5A1703A7" w:rsidR="00C331F2" w:rsidRPr="00C31525" w:rsidRDefault="000520C5" w:rsidP="0084531E">
      <w:pPr>
        <w:tabs>
          <w:tab w:val="center" w:pos="7001"/>
          <w:tab w:val="left" w:pos="11820"/>
        </w:tabs>
        <w:jc w:val="both"/>
        <w:rPr>
          <w:rFonts w:asciiTheme="minorHAnsi" w:hAnsiTheme="minorHAnsi" w:cstheme="minorHAnsi"/>
          <w:b/>
          <w:bCs/>
          <w:sz w:val="22"/>
          <w:szCs w:val="22"/>
          <w:lang w:val="lt-LT"/>
        </w:rPr>
      </w:pPr>
      <w:r w:rsidRPr="00C31525">
        <w:rPr>
          <w:rFonts w:asciiTheme="minorHAnsi" w:hAnsiTheme="minorHAnsi" w:cstheme="minorHAnsi"/>
          <w:b/>
          <w:bCs/>
          <w:sz w:val="22"/>
          <w:szCs w:val="22"/>
          <w:lang w:val="lt-LT"/>
        </w:rPr>
        <w:tab/>
      </w:r>
      <w:r w:rsidR="00202E3C" w:rsidRPr="00C31525">
        <w:rPr>
          <w:rFonts w:asciiTheme="minorHAnsi" w:hAnsiTheme="minorHAnsi" w:cstheme="minorHAnsi"/>
          <w:b/>
          <w:bCs/>
          <w:sz w:val="22"/>
          <w:szCs w:val="22"/>
          <w:lang w:val="lt-LT"/>
        </w:rPr>
        <w:t xml:space="preserve">PAKEISTŲ SUTARTIES SĄLYGŲ PO DERYBŲ </w:t>
      </w:r>
      <w:r w:rsidR="007400C2" w:rsidRPr="00C31525">
        <w:rPr>
          <w:rFonts w:asciiTheme="minorHAnsi" w:hAnsiTheme="minorHAnsi" w:cstheme="minorHAnsi"/>
          <w:b/>
          <w:bCs/>
          <w:sz w:val="22"/>
          <w:szCs w:val="22"/>
          <w:lang w:val="lt-LT"/>
        </w:rPr>
        <w:t xml:space="preserve">SĄRAŠAS </w:t>
      </w:r>
      <w:r w:rsidRPr="00C31525">
        <w:rPr>
          <w:rFonts w:asciiTheme="minorHAnsi" w:hAnsiTheme="minorHAnsi" w:cstheme="minorHAnsi"/>
          <w:b/>
          <w:bCs/>
          <w:sz w:val="22"/>
          <w:szCs w:val="22"/>
          <w:lang w:val="lt-LT"/>
        </w:rPr>
        <w:tab/>
      </w:r>
    </w:p>
    <w:p w14:paraId="6881BFCF" w14:textId="77777777" w:rsidR="00C331F2" w:rsidRPr="00C31525" w:rsidRDefault="00C331F2" w:rsidP="0084531E">
      <w:pPr>
        <w:jc w:val="both"/>
        <w:rPr>
          <w:rFonts w:asciiTheme="minorHAnsi" w:hAnsiTheme="minorHAnsi" w:cstheme="minorHAnsi"/>
          <w:b/>
          <w:bCs/>
          <w:sz w:val="22"/>
          <w:szCs w:val="22"/>
          <w:lang w:val="lt-LT"/>
        </w:rPr>
      </w:pPr>
    </w:p>
    <w:p w14:paraId="4E8C5873" w14:textId="77777777" w:rsidR="00607214" w:rsidRPr="00C31525" w:rsidRDefault="00607214" w:rsidP="0084531E">
      <w:pPr>
        <w:ind w:firstLine="851"/>
        <w:jc w:val="both"/>
        <w:rPr>
          <w:rFonts w:asciiTheme="minorHAnsi" w:hAnsiTheme="minorHAnsi" w:cstheme="minorHAnsi"/>
          <w:sz w:val="22"/>
          <w:szCs w:val="22"/>
          <w:lang w:val="lt-LT"/>
        </w:rPr>
      </w:pPr>
    </w:p>
    <w:p w14:paraId="20FBCB8D" w14:textId="10A2AE9B" w:rsidR="00AB32A2" w:rsidRPr="00C31525" w:rsidRDefault="00AB32A2" w:rsidP="0084531E">
      <w:pPr>
        <w:jc w:val="both"/>
        <w:rPr>
          <w:rFonts w:asciiTheme="minorHAnsi" w:hAnsiTheme="minorHAnsi" w:cstheme="minorHAnsi"/>
          <w:b/>
          <w:bCs/>
          <w:sz w:val="22"/>
          <w:szCs w:val="22"/>
          <w:u w:val="single"/>
          <w:lang w:val="lt-LT"/>
        </w:rPr>
      </w:pPr>
      <w:r w:rsidRPr="00C31525">
        <w:rPr>
          <w:rFonts w:asciiTheme="minorHAnsi" w:hAnsiTheme="minorHAnsi" w:cstheme="minorHAnsi"/>
          <w:b/>
          <w:bCs/>
          <w:sz w:val="22"/>
          <w:szCs w:val="22"/>
          <w:u w:val="single"/>
          <w:lang w:val="lt-LT"/>
        </w:rPr>
        <w:t xml:space="preserve">Dalyviai </w:t>
      </w:r>
      <w:r w:rsidR="00AE5F25" w:rsidRPr="00C31525">
        <w:rPr>
          <w:rFonts w:asciiTheme="minorHAnsi" w:hAnsiTheme="minorHAnsi" w:cstheme="minorHAnsi"/>
          <w:b/>
          <w:bCs/>
          <w:sz w:val="22"/>
          <w:szCs w:val="22"/>
          <w:u w:val="single"/>
          <w:lang w:val="lt-LT"/>
        </w:rPr>
        <w:t xml:space="preserve">pateikė siūlymus </w:t>
      </w:r>
      <w:r w:rsidRPr="00C31525">
        <w:rPr>
          <w:rFonts w:asciiTheme="minorHAnsi" w:hAnsiTheme="minorHAnsi" w:cstheme="minorHAnsi"/>
          <w:b/>
          <w:bCs/>
          <w:sz w:val="22"/>
          <w:szCs w:val="22"/>
          <w:u w:val="single"/>
          <w:lang w:val="lt-LT"/>
        </w:rPr>
        <w:t>derėtis dėl šių Sutarties (Specialiosios ir/ar Bendrosios dalies) punktų:</w:t>
      </w:r>
    </w:p>
    <w:p w14:paraId="0BE2A213" w14:textId="77777777" w:rsidR="00F12461" w:rsidRPr="00C31525" w:rsidRDefault="00F12461" w:rsidP="0084531E">
      <w:pPr>
        <w:ind w:firstLine="851"/>
        <w:jc w:val="both"/>
        <w:rPr>
          <w:rFonts w:asciiTheme="minorHAnsi" w:hAnsiTheme="minorHAnsi" w:cstheme="minorHAnsi"/>
          <w:sz w:val="22"/>
          <w:szCs w:val="22"/>
          <w:u w:val="single"/>
          <w:lang w:val="lt-LT"/>
        </w:rPr>
      </w:pPr>
    </w:p>
    <w:tbl>
      <w:tblPr>
        <w:tblStyle w:val="TableGrid"/>
        <w:tblW w:w="15735" w:type="dxa"/>
        <w:tblInd w:w="-431" w:type="dxa"/>
        <w:tblLook w:val="04A0" w:firstRow="1" w:lastRow="0" w:firstColumn="1" w:lastColumn="0" w:noHBand="0" w:noVBand="1"/>
      </w:tblPr>
      <w:tblGrid>
        <w:gridCol w:w="498"/>
        <w:gridCol w:w="1552"/>
        <w:gridCol w:w="3905"/>
        <w:gridCol w:w="3497"/>
        <w:gridCol w:w="6283"/>
      </w:tblGrid>
      <w:tr w:rsidR="00F12461" w:rsidRPr="00C31525" w14:paraId="46C10884" w14:textId="77777777" w:rsidTr="008B64AD">
        <w:trPr>
          <w:trHeight w:val="1027"/>
        </w:trPr>
        <w:tc>
          <w:tcPr>
            <w:tcW w:w="278" w:type="dxa"/>
            <w:vAlign w:val="center"/>
          </w:tcPr>
          <w:p w14:paraId="3F56A7A3" w14:textId="77777777" w:rsidR="00F12461" w:rsidRPr="00C31525" w:rsidRDefault="00F12461" w:rsidP="0084531E">
            <w:pPr>
              <w:jc w:val="both"/>
              <w:rPr>
                <w:rFonts w:asciiTheme="minorHAnsi" w:hAnsiTheme="minorHAnsi" w:cstheme="minorHAnsi"/>
                <w:b/>
                <w:sz w:val="22"/>
                <w:szCs w:val="22"/>
                <w:lang w:val="lt-LT"/>
              </w:rPr>
            </w:pPr>
            <w:r w:rsidRPr="00C31525">
              <w:rPr>
                <w:rFonts w:asciiTheme="minorHAnsi" w:hAnsiTheme="minorHAnsi" w:cstheme="minorHAnsi"/>
                <w:b/>
                <w:sz w:val="22"/>
                <w:szCs w:val="22"/>
                <w:lang w:val="lt-LT"/>
              </w:rPr>
              <w:t>Eil. Nr.</w:t>
            </w:r>
          </w:p>
        </w:tc>
        <w:tc>
          <w:tcPr>
            <w:tcW w:w="1566" w:type="dxa"/>
            <w:vAlign w:val="center"/>
          </w:tcPr>
          <w:p w14:paraId="7A69ECCE" w14:textId="3D6B1596" w:rsidR="00F12461" w:rsidRPr="00C31525" w:rsidRDefault="00B57939" w:rsidP="0084531E">
            <w:pPr>
              <w:jc w:val="both"/>
              <w:rPr>
                <w:rFonts w:asciiTheme="minorHAnsi" w:hAnsiTheme="minorHAnsi" w:cstheme="minorHAnsi"/>
                <w:b/>
                <w:sz w:val="22"/>
                <w:szCs w:val="22"/>
                <w:lang w:val="lt-LT"/>
              </w:rPr>
            </w:pPr>
            <w:r w:rsidRPr="00C31525">
              <w:rPr>
                <w:rFonts w:asciiTheme="minorHAnsi" w:hAnsiTheme="minorHAnsi" w:cstheme="minorHAnsi"/>
                <w:b/>
                <w:sz w:val="22"/>
                <w:szCs w:val="22"/>
                <w:lang w:val="lt-LT"/>
              </w:rPr>
              <w:t xml:space="preserve">Sutarties </w:t>
            </w:r>
            <w:r w:rsidR="00F12461" w:rsidRPr="00C31525">
              <w:rPr>
                <w:rFonts w:asciiTheme="minorHAnsi" w:hAnsiTheme="minorHAnsi" w:cstheme="minorHAnsi"/>
                <w:b/>
                <w:sz w:val="22"/>
                <w:szCs w:val="22"/>
                <w:lang w:val="lt-LT"/>
              </w:rPr>
              <w:t>punkto Nr.</w:t>
            </w:r>
          </w:p>
        </w:tc>
        <w:tc>
          <w:tcPr>
            <w:tcW w:w="3969" w:type="dxa"/>
            <w:vAlign w:val="center"/>
          </w:tcPr>
          <w:p w14:paraId="4CAE9DCF" w14:textId="3DD721AB" w:rsidR="00F12461" w:rsidRPr="00C31525" w:rsidRDefault="00B57939" w:rsidP="00B57939">
            <w:pPr>
              <w:jc w:val="center"/>
              <w:rPr>
                <w:rFonts w:asciiTheme="minorHAnsi" w:hAnsiTheme="minorHAnsi" w:cstheme="minorHAnsi"/>
                <w:b/>
                <w:sz w:val="22"/>
                <w:szCs w:val="22"/>
                <w:lang w:val="lt-LT"/>
              </w:rPr>
            </w:pPr>
            <w:r w:rsidRPr="00C31525">
              <w:rPr>
                <w:rFonts w:asciiTheme="minorHAnsi" w:hAnsiTheme="minorHAnsi" w:cstheme="minorHAnsi"/>
                <w:b/>
                <w:sz w:val="22"/>
                <w:szCs w:val="22"/>
                <w:lang w:val="lt-LT"/>
              </w:rPr>
              <w:t xml:space="preserve">Sutarties </w:t>
            </w:r>
            <w:r w:rsidR="00F12461" w:rsidRPr="00C31525">
              <w:rPr>
                <w:rFonts w:asciiTheme="minorHAnsi" w:hAnsiTheme="minorHAnsi" w:cstheme="minorHAnsi"/>
                <w:b/>
                <w:sz w:val="22"/>
                <w:szCs w:val="22"/>
                <w:lang w:val="lt-LT"/>
              </w:rPr>
              <w:t>punktų redakcija</w:t>
            </w:r>
          </w:p>
        </w:tc>
        <w:tc>
          <w:tcPr>
            <w:tcW w:w="3544" w:type="dxa"/>
            <w:vAlign w:val="center"/>
          </w:tcPr>
          <w:p w14:paraId="61E8FB85" w14:textId="77777777" w:rsidR="00F12461" w:rsidRPr="00C31525" w:rsidRDefault="00F12461" w:rsidP="0084531E">
            <w:pPr>
              <w:jc w:val="both"/>
              <w:rPr>
                <w:rFonts w:asciiTheme="minorHAnsi" w:hAnsiTheme="minorHAnsi" w:cstheme="minorHAnsi"/>
                <w:b/>
                <w:sz w:val="22"/>
                <w:szCs w:val="22"/>
                <w:lang w:val="lt-LT"/>
              </w:rPr>
            </w:pPr>
            <w:r w:rsidRPr="00C31525">
              <w:rPr>
                <w:rFonts w:asciiTheme="minorHAnsi" w:hAnsiTheme="minorHAnsi" w:cstheme="minorHAnsi"/>
                <w:b/>
                <w:sz w:val="22"/>
                <w:szCs w:val="22"/>
                <w:lang w:val="lt-LT"/>
              </w:rPr>
              <w:t>Siūloma pakeisti / papildyti / išbraukti</w:t>
            </w:r>
          </w:p>
        </w:tc>
        <w:tc>
          <w:tcPr>
            <w:tcW w:w="6378" w:type="dxa"/>
            <w:vAlign w:val="center"/>
          </w:tcPr>
          <w:p w14:paraId="79FBAA4B" w14:textId="43D4B7B1" w:rsidR="00F12461" w:rsidRPr="00C31525" w:rsidRDefault="00B57939" w:rsidP="00E04EEB">
            <w:pPr>
              <w:jc w:val="both"/>
              <w:rPr>
                <w:rFonts w:asciiTheme="minorHAnsi" w:hAnsiTheme="minorHAnsi" w:cstheme="minorHAnsi"/>
                <w:b/>
                <w:sz w:val="22"/>
                <w:szCs w:val="22"/>
                <w:lang w:val="lt-LT"/>
              </w:rPr>
            </w:pPr>
            <w:r w:rsidRPr="00C31525">
              <w:rPr>
                <w:rFonts w:asciiTheme="minorHAnsi" w:hAnsiTheme="minorHAnsi" w:cstheme="minorHAnsi"/>
                <w:b/>
                <w:sz w:val="22"/>
                <w:szCs w:val="22"/>
                <w:lang w:val="lt-LT"/>
              </w:rPr>
              <w:t>Perkančiojo subjekto priimti sprendimai dėl tiekėjų siūlymų pakeisti Sutarties nuostatas</w:t>
            </w:r>
          </w:p>
        </w:tc>
      </w:tr>
      <w:tr w:rsidR="003920B4" w:rsidRPr="00C31525" w14:paraId="7A76EB41" w14:textId="77777777" w:rsidTr="008B64AD">
        <w:trPr>
          <w:trHeight w:val="1027"/>
        </w:trPr>
        <w:tc>
          <w:tcPr>
            <w:tcW w:w="278" w:type="dxa"/>
          </w:tcPr>
          <w:p w14:paraId="25771C25" w14:textId="6CDABB75" w:rsidR="003920B4" w:rsidRPr="00C31525" w:rsidRDefault="003920B4"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1.</w:t>
            </w:r>
          </w:p>
          <w:p w14:paraId="5AA23071" w14:textId="371B1811" w:rsidR="003920B4" w:rsidRPr="00C31525" w:rsidRDefault="003920B4" w:rsidP="00C67AFE">
            <w:pPr>
              <w:rPr>
                <w:rFonts w:asciiTheme="minorHAnsi" w:hAnsiTheme="minorHAnsi" w:cstheme="minorHAnsi"/>
                <w:b/>
                <w:sz w:val="22"/>
                <w:szCs w:val="22"/>
                <w:lang w:val="lt-LT"/>
              </w:rPr>
            </w:pPr>
          </w:p>
        </w:tc>
        <w:tc>
          <w:tcPr>
            <w:tcW w:w="1566" w:type="dxa"/>
          </w:tcPr>
          <w:p w14:paraId="1B294661" w14:textId="1D4EE0EF" w:rsidR="003920B4" w:rsidRPr="00C31525" w:rsidRDefault="003920B4"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SD 8.1.</w:t>
            </w:r>
          </w:p>
        </w:tc>
        <w:tc>
          <w:tcPr>
            <w:tcW w:w="3969" w:type="dxa"/>
          </w:tcPr>
          <w:p w14:paraId="0D37EDDA" w14:textId="1562EDD2" w:rsidR="003920B4" w:rsidRPr="00C31525" w:rsidRDefault="003920B4" w:rsidP="00C67AFE">
            <w:pPr>
              <w:pStyle w:val="ListParagraph"/>
              <w:spacing w:after="60" w:line="240" w:lineRule="auto"/>
              <w:ind w:left="0"/>
              <w:rPr>
                <w:rFonts w:cstheme="minorHAnsi"/>
              </w:rPr>
            </w:pPr>
            <w:r w:rsidRPr="00C31525">
              <w:rPr>
                <w:rFonts w:cstheme="minorHAnsi"/>
              </w:rPr>
              <w:t>8.1. Rangovas turi pateikti Užsakovui tokį Sutarties įvykdymo užtikrinimą:</w:t>
            </w:r>
          </w:p>
          <w:p w14:paraId="35AC88D5" w14:textId="77777777" w:rsidR="003920B4" w:rsidRPr="00C31525" w:rsidRDefault="003920B4" w:rsidP="00C67AFE">
            <w:pPr>
              <w:pStyle w:val="ListParagraph"/>
              <w:spacing w:after="60" w:line="240" w:lineRule="auto"/>
              <w:ind w:left="0"/>
              <w:rPr>
                <w:rFonts w:cstheme="minorHAnsi"/>
              </w:rPr>
            </w:pPr>
            <w:r w:rsidRPr="00C31525">
              <w:rPr>
                <w:rFonts w:cstheme="minorHAnsi"/>
              </w:rPr>
              <w:t>8.1.1. forma – besąlyginė, neatšaukiama, pirmo pareikalavimo banko garantija / draudimo bendrovės išduotas laidavimo draudimas;</w:t>
            </w:r>
          </w:p>
          <w:p w14:paraId="197DBD39" w14:textId="77777777" w:rsidR="003920B4" w:rsidRPr="00C31525" w:rsidRDefault="003920B4" w:rsidP="00C67AFE">
            <w:pPr>
              <w:rPr>
                <w:rFonts w:asciiTheme="minorHAnsi" w:hAnsiTheme="minorHAnsi" w:cstheme="minorHAnsi"/>
                <w:b/>
                <w:sz w:val="22"/>
                <w:szCs w:val="22"/>
                <w:lang w:val="lt-LT"/>
              </w:rPr>
            </w:pPr>
          </w:p>
        </w:tc>
        <w:tc>
          <w:tcPr>
            <w:tcW w:w="3544" w:type="dxa"/>
            <w:vAlign w:val="center"/>
          </w:tcPr>
          <w:p w14:paraId="3514ADB5" w14:textId="4F290168" w:rsidR="003920B4" w:rsidRPr="00C31525" w:rsidRDefault="004E18B3" w:rsidP="003920B4">
            <w:pPr>
              <w:jc w:val="both"/>
              <w:rPr>
                <w:rFonts w:asciiTheme="minorHAnsi" w:hAnsiTheme="minorHAnsi" w:cstheme="minorHAnsi"/>
                <w:bCs/>
                <w:i/>
                <w:iCs/>
                <w:sz w:val="22"/>
                <w:szCs w:val="22"/>
                <w:lang w:val="lt-LT"/>
              </w:rPr>
            </w:pPr>
            <w:r w:rsidRPr="00C31525">
              <w:rPr>
                <w:rFonts w:asciiTheme="minorHAnsi" w:hAnsiTheme="minorHAnsi" w:cstheme="minorHAnsi"/>
                <w:bCs/>
                <w:i/>
                <w:iCs/>
                <w:sz w:val="22"/>
                <w:szCs w:val="22"/>
                <w:lang w:val="lt-LT"/>
              </w:rPr>
              <w:t>išbraukti/</w:t>
            </w:r>
            <w:r w:rsidR="003920B4" w:rsidRPr="00C31525">
              <w:rPr>
                <w:rFonts w:asciiTheme="minorHAnsi" w:hAnsiTheme="minorHAnsi" w:cstheme="minorHAnsi"/>
                <w:bCs/>
                <w:i/>
                <w:iCs/>
                <w:sz w:val="22"/>
                <w:szCs w:val="22"/>
                <w:lang w:val="lt-LT"/>
              </w:rPr>
              <w:t>pakeisti</w:t>
            </w:r>
          </w:p>
          <w:p w14:paraId="7558BCA3" w14:textId="77777777" w:rsidR="003920B4" w:rsidRPr="00C31525" w:rsidRDefault="003920B4" w:rsidP="003920B4">
            <w:pPr>
              <w:jc w:val="both"/>
              <w:rPr>
                <w:rFonts w:asciiTheme="minorHAnsi" w:hAnsiTheme="minorHAnsi" w:cstheme="minorHAnsi"/>
                <w:bCs/>
                <w:sz w:val="22"/>
                <w:szCs w:val="22"/>
                <w:lang w:val="lt-LT"/>
              </w:rPr>
            </w:pPr>
            <w:r w:rsidRPr="00C31525">
              <w:rPr>
                <w:rFonts w:asciiTheme="minorHAnsi" w:hAnsiTheme="minorHAnsi" w:cstheme="minorHAnsi"/>
                <w:bCs/>
                <w:sz w:val="22"/>
                <w:szCs w:val="22"/>
                <w:lang w:val="lt-LT"/>
              </w:rPr>
              <w:t>8.1. Rangovas turi pateikti Užsakovui tokį Sutarties įvykdymo užtikrinimą:</w:t>
            </w:r>
          </w:p>
          <w:p w14:paraId="07D10036" w14:textId="561E9631" w:rsidR="003920B4" w:rsidRPr="00C31525" w:rsidRDefault="003920B4" w:rsidP="003920B4">
            <w:pPr>
              <w:jc w:val="both"/>
              <w:rPr>
                <w:rFonts w:asciiTheme="minorHAnsi" w:hAnsiTheme="minorHAnsi" w:cstheme="minorHAnsi"/>
                <w:bCs/>
                <w:sz w:val="22"/>
                <w:szCs w:val="22"/>
                <w:lang w:val="lt-LT"/>
              </w:rPr>
            </w:pPr>
            <w:r w:rsidRPr="00C31525">
              <w:rPr>
                <w:rFonts w:asciiTheme="minorHAnsi" w:hAnsiTheme="minorHAnsi" w:cstheme="minorHAnsi"/>
                <w:bCs/>
                <w:sz w:val="22"/>
                <w:szCs w:val="22"/>
                <w:lang w:val="lt-LT"/>
              </w:rPr>
              <w:t xml:space="preserve">8.1.1. forma – </w:t>
            </w:r>
            <w:r w:rsidRPr="00C31525">
              <w:rPr>
                <w:rFonts w:asciiTheme="minorHAnsi" w:hAnsiTheme="minorHAnsi" w:cstheme="minorHAnsi"/>
                <w:bCs/>
                <w:strike/>
                <w:sz w:val="22"/>
                <w:szCs w:val="22"/>
                <w:lang w:val="lt-LT"/>
              </w:rPr>
              <w:t>besąlyginė,</w:t>
            </w:r>
            <w:r w:rsidRPr="00C31525">
              <w:rPr>
                <w:rFonts w:asciiTheme="minorHAnsi" w:hAnsiTheme="minorHAnsi" w:cstheme="minorHAnsi"/>
                <w:bCs/>
                <w:sz w:val="22"/>
                <w:szCs w:val="22"/>
                <w:lang w:val="lt-LT"/>
              </w:rPr>
              <w:t xml:space="preserve"> neatšaukiama, pirmo pareikalavimo banko garantija / draudimo bendrovės išduotas laidavimo draudimas;</w:t>
            </w:r>
          </w:p>
        </w:tc>
        <w:tc>
          <w:tcPr>
            <w:tcW w:w="6378" w:type="dxa"/>
          </w:tcPr>
          <w:p w14:paraId="7801DC8C" w14:textId="743F77D4" w:rsidR="003920B4" w:rsidRPr="00C31525" w:rsidRDefault="0063713C" w:rsidP="00BF6F4E">
            <w:pPr>
              <w:pStyle w:val="CommentText"/>
              <w:ind w:firstLine="0"/>
              <w:rPr>
                <w:rFonts w:asciiTheme="minorHAnsi" w:hAnsiTheme="minorHAnsi" w:cstheme="minorHAnsi"/>
                <w:b/>
                <w:bCs/>
                <w:sz w:val="22"/>
                <w:szCs w:val="22"/>
              </w:rPr>
            </w:pPr>
            <w:r w:rsidRPr="008A41CF">
              <w:rPr>
                <w:rFonts w:asciiTheme="minorHAnsi" w:hAnsiTheme="minorHAnsi" w:cstheme="minorHAnsi"/>
                <w:b/>
                <w:bCs/>
                <w:sz w:val="22"/>
                <w:szCs w:val="22"/>
              </w:rPr>
              <w:t>Pakeičiamas SD 8.1.1 punktas:</w:t>
            </w:r>
            <w:r>
              <w:rPr>
                <w:rFonts w:asciiTheme="minorHAnsi" w:hAnsiTheme="minorHAnsi" w:cstheme="minorHAnsi"/>
                <w:sz w:val="22"/>
                <w:szCs w:val="22"/>
              </w:rPr>
              <w:t xml:space="preserve"> </w:t>
            </w:r>
            <w:r w:rsidR="00D15A2D">
              <w:rPr>
                <w:rFonts w:asciiTheme="minorHAnsi" w:hAnsiTheme="minorHAnsi" w:cstheme="minorHAnsi"/>
                <w:sz w:val="22"/>
                <w:szCs w:val="22"/>
              </w:rPr>
              <w:t>„</w:t>
            </w:r>
            <w:r w:rsidR="00D5012B" w:rsidRPr="00C31525">
              <w:rPr>
                <w:rFonts w:asciiTheme="minorHAnsi" w:hAnsiTheme="minorHAnsi" w:cstheme="minorHAnsi"/>
                <w:sz w:val="22"/>
                <w:szCs w:val="22"/>
              </w:rPr>
              <w:t>8.1.1. forma – neatšaukiama, pirmo pareikalavimo banko garantija ar draudimo bendrovės išduotas laidavimo draudimas</w:t>
            </w:r>
            <w:r>
              <w:rPr>
                <w:rFonts w:asciiTheme="minorHAnsi" w:hAnsiTheme="minorHAnsi" w:cstheme="minorHAnsi"/>
                <w:sz w:val="22"/>
                <w:szCs w:val="22"/>
              </w:rPr>
              <w:t>;“</w:t>
            </w:r>
            <w:r w:rsidR="008B64AD">
              <w:rPr>
                <w:rFonts w:asciiTheme="minorHAnsi" w:hAnsiTheme="minorHAnsi" w:cstheme="minorHAnsi"/>
                <w:sz w:val="22"/>
                <w:szCs w:val="22"/>
              </w:rPr>
              <w:t xml:space="preserve"> </w:t>
            </w:r>
            <w:r w:rsidR="00D5012B" w:rsidRPr="00C31525">
              <w:rPr>
                <w:rFonts w:asciiTheme="minorHAnsi" w:hAnsiTheme="minorHAnsi" w:cstheme="minorHAnsi"/>
                <w:sz w:val="22"/>
                <w:szCs w:val="22"/>
              </w:rPr>
              <w:t xml:space="preserve">(pridedama, </w:t>
            </w:r>
            <w:r w:rsidR="009D0ABC" w:rsidRPr="00C31525">
              <w:rPr>
                <w:rFonts w:asciiTheme="minorHAnsi" w:hAnsiTheme="minorHAnsi" w:cstheme="minorHAnsi"/>
                <w:sz w:val="22"/>
                <w:szCs w:val="22"/>
              </w:rPr>
              <w:t>2</w:t>
            </w:r>
            <w:r w:rsidR="00D5012B" w:rsidRPr="00C31525">
              <w:rPr>
                <w:rFonts w:asciiTheme="minorHAnsi" w:hAnsiTheme="minorHAnsi" w:cstheme="minorHAnsi"/>
                <w:sz w:val="22"/>
                <w:szCs w:val="22"/>
              </w:rPr>
              <w:t xml:space="preserve"> priedas_Patikslinta_“Rangos sutartis_Specialioji dalis“).</w:t>
            </w:r>
          </w:p>
        </w:tc>
      </w:tr>
      <w:tr w:rsidR="00E47BFB" w:rsidRPr="00C31525" w14:paraId="4CFDB538" w14:textId="77777777" w:rsidTr="008B64AD">
        <w:trPr>
          <w:trHeight w:val="2540"/>
        </w:trPr>
        <w:tc>
          <w:tcPr>
            <w:tcW w:w="278" w:type="dxa"/>
          </w:tcPr>
          <w:p w14:paraId="1D1872AF" w14:textId="02671AEC" w:rsidR="00E47BFB" w:rsidRPr="00C31525" w:rsidRDefault="00E47BFB"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2.</w:t>
            </w:r>
          </w:p>
        </w:tc>
        <w:tc>
          <w:tcPr>
            <w:tcW w:w="1566" w:type="dxa"/>
          </w:tcPr>
          <w:p w14:paraId="4DF47445" w14:textId="00AD0892" w:rsidR="00E47BFB" w:rsidRPr="00C31525" w:rsidRDefault="00E47BFB"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SD 8.3.</w:t>
            </w:r>
          </w:p>
        </w:tc>
        <w:tc>
          <w:tcPr>
            <w:tcW w:w="3969" w:type="dxa"/>
          </w:tcPr>
          <w:p w14:paraId="5F2C648A" w14:textId="77777777" w:rsidR="00E47BFB" w:rsidRPr="00C31525" w:rsidRDefault="00E47BFB" w:rsidP="00E3719B">
            <w:pPr>
              <w:pStyle w:val="ListParagraph"/>
              <w:spacing w:after="0" w:line="240" w:lineRule="auto"/>
              <w:ind w:left="0"/>
              <w:jc w:val="both"/>
              <w:rPr>
                <w:rFonts w:cstheme="minorHAnsi"/>
              </w:rPr>
            </w:pPr>
            <w:r w:rsidRPr="00C31525">
              <w:rPr>
                <w:rFonts w:cstheme="minorHAnsi"/>
              </w:rPr>
              <w:t>SD 8.3.Rangovas turi pateikti Užsakovui tokį Rangovo garantinių įsipareigojimų įvykdymo užtikrinimą:</w:t>
            </w:r>
          </w:p>
          <w:p w14:paraId="4519F872" w14:textId="77777777" w:rsidR="00E47BFB" w:rsidRPr="00C31525" w:rsidRDefault="00E47BFB" w:rsidP="00E3719B">
            <w:pPr>
              <w:pStyle w:val="ListParagraph"/>
              <w:spacing w:after="0" w:line="240" w:lineRule="auto"/>
              <w:ind w:left="0"/>
              <w:jc w:val="both"/>
              <w:rPr>
                <w:rFonts w:cstheme="minorHAnsi"/>
              </w:rPr>
            </w:pPr>
            <w:r w:rsidRPr="00C31525">
              <w:rPr>
                <w:rFonts w:cstheme="minorHAnsi"/>
              </w:rPr>
              <w:t>8.3.1. forma – besąlyginė, neatšaukiama, pirmo pareikalavimo banko garantija ar draudimo bendrovės išduotas laidavimo draudimas;</w:t>
            </w:r>
          </w:p>
          <w:p w14:paraId="361D6CF5" w14:textId="77777777" w:rsidR="00E47BFB" w:rsidRPr="00C31525" w:rsidRDefault="00E47BFB" w:rsidP="00E3719B">
            <w:pPr>
              <w:jc w:val="both"/>
              <w:rPr>
                <w:rFonts w:asciiTheme="minorHAnsi" w:hAnsiTheme="minorHAnsi" w:cstheme="minorHAnsi"/>
                <w:b/>
                <w:sz w:val="22"/>
                <w:szCs w:val="22"/>
                <w:lang w:val="lt-LT"/>
              </w:rPr>
            </w:pPr>
          </w:p>
        </w:tc>
        <w:tc>
          <w:tcPr>
            <w:tcW w:w="3544" w:type="dxa"/>
            <w:vAlign w:val="center"/>
          </w:tcPr>
          <w:p w14:paraId="105CFFFD" w14:textId="72D5B8E0" w:rsidR="00E47BFB" w:rsidRPr="008B64AD" w:rsidRDefault="00BF6F4E" w:rsidP="00E47BFB">
            <w:pPr>
              <w:pStyle w:val="ListParagraph"/>
              <w:spacing w:after="0" w:line="240" w:lineRule="auto"/>
              <w:ind w:left="0"/>
              <w:jc w:val="both"/>
              <w:rPr>
                <w:rFonts w:cstheme="minorHAnsi"/>
                <w:i/>
                <w:iCs/>
              </w:rPr>
            </w:pPr>
            <w:r w:rsidRPr="008B64AD">
              <w:rPr>
                <w:rFonts w:cstheme="minorHAnsi"/>
                <w:i/>
                <w:iCs/>
              </w:rPr>
              <w:t>i</w:t>
            </w:r>
            <w:r w:rsidR="004E18B3" w:rsidRPr="008B64AD">
              <w:rPr>
                <w:rFonts w:cstheme="minorHAnsi"/>
                <w:i/>
                <w:iCs/>
              </w:rPr>
              <w:t>šbraukti/</w:t>
            </w:r>
            <w:r w:rsidR="00E47BFB" w:rsidRPr="008B64AD">
              <w:rPr>
                <w:rFonts w:cstheme="minorHAnsi"/>
                <w:i/>
                <w:iCs/>
              </w:rPr>
              <w:t>pakeisti</w:t>
            </w:r>
          </w:p>
          <w:p w14:paraId="5AD546D4" w14:textId="77777777" w:rsidR="00E47BFB" w:rsidRPr="008B64AD" w:rsidRDefault="00E47BFB" w:rsidP="00E47BFB">
            <w:pPr>
              <w:pStyle w:val="ListParagraph"/>
              <w:spacing w:after="0" w:line="240" w:lineRule="auto"/>
              <w:ind w:left="0"/>
              <w:jc w:val="both"/>
              <w:rPr>
                <w:rFonts w:cstheme="minorHAnsi"/>
              </w:rPr>
            </w:pPr>
            <w:r w:rsidRPr="008B64AD">
              <w:rPr>
                <w:rFonts w:cstheme="minorHAnsi"/>
              </w:rPr>
              <w:t>8.3.Rangovas turi pateikti Užsakovui tokį Rangovo garantinių įsipareigojimų įvykdymo užtikrinimą:</w:t>
            </w:r>
          </w:p>
          <w:p w14:paraId="21E9D071" w14:textId="496E618C" w:rsidR="00E47BFB" w:rsidRPr="00C31525" w:rsidRDefault="00E47BFB" w:rsidP="00E47BFB">
            <w:pPr>
              <w:jc w:val="both"/>
              <w:rPr>
                <w:rFonts w:asciiTheme="minorHAnsi" w:hAnsiTheme="minorHAnsi" w:cstheme="minorHAnsi"/>
                <w:b/>
                <w:sz w:val="22"/>
                <w:szCs w:val="22"/>
                <w:lang w:val="lt-LT"/>
              </w:rPr>
            </w:pPr>
            <w:r w:rsidRPr="008B64AD">
              <w:rPr>
                <w:rFonts w:asciiTheme="minorHAnsi" w:hAnsiTheme="minorHAnsi" w:cstheme="minorHAnsi"/>
                <w:sz w:val="22"/>
                <w:szCs w:val="22"/>
              </w:rPr>
              <w:t xml:space="preserve">8.3.1. forma – </w:t>
            </w:r>
            <w:r w:rsidRPr="008B64AD">
              <w:rPr>
                <w:rFonts w:asciiTheme="minorHAnsi" w:hAnsiTheme="minorHAnsi" w:cstheme="minorHAnsi"/>
                <w:b/>
                <w:bCs/>
                <w:strike/>
                <w:sz w:val="22"/>
                <w:szCs w:val="22"/>
              </w:rPr>
              <w:t>besąlyginė,</w:t>
            </w:r>
            <w:r w:rsidRPr="008B64AD">
              <w:rPr>
                <w:rFonts w:asciiTheme="minorHAnsi" w:hAnsiTheme="minorHAnsi" w:cstheme="minorHAnsi"/>
                <w:sz w:val="22"/>
                <w:szCs w:val="22"/>
              </w:rPr>
              <w:t xml:space="preserve"> neatšaukiama, pirmo pareikalavimo banko garantija ar draudimo bendrovės išduotas laidavimo draudimas;</w:t>
            </w:r>
          </w:p>
        </w:tc>
        <w:tc>
          <w:tcPr>
            <w:tcW w:w="6378" w:type="dxa"/>
          </w:tcPr>
          <w:p w14:paraId="499EDFCE" w14:textId="1F016CAD" w:rsidR="00D5012B" w:rsidRPr="00C31525" w:rsidRDefault="0063713C" w:rsidP="00BF6F4E">
            <w:pPr>
              <w:pStyle w:val="CommentText"/>
              <w:ind w:firstLine="0"/>
              <w:rPr>
                <w:rFonts w:asciiTheme="minorHAnsi" w:hAnsiTheme="minorHAnsi" w:cstheme="minorHAnsi"/>
                <w:sz w:val="22"/>
                <w:szCs w:val="22"/>
              </w:rPr>
            </w:pPr>
            <w:r w:rsidRPr="008B64AD">
              <w:rPr>
                <w:rFonts w:asciiTheme="minorHAnsi" w:hAnsiTheme="minorHAnsi" w:cstheme="minorHAnsi"/>
                <w:b/>
                <w:bCs/>
                <w:sz w:val="22"/>
                <w:szCs w:val="22"/>
              </w:rPr>
              <w:t>Pakeičiamas SD 8.3.1 punktas</w:t>
            </w:r>
            <w:r>
              <w:rPr>
                <w:rFonts w:asciiTheme="minorHAnsi" w:hAnsiTheme="minorHAnsi" w:cstheme="minorHAnsi"/>
                <w:sz w:val="22"/>
                <w:szCs w:val="22"/>
              </w:rPr>
              <w:t>: „</w:t>
            </w:r>
          </w:p>
          <w:p w14:paraId="21EE45EF" w14:textId="2AA126C1" w:rsidR="00E47BFB" w:rsidRPr="00C31525" w:rsidRDefault="00D5012B" w:rsidP="00BF6F4E">
            <w:pPr>
              <w:pStyle w:val="CommentText"/>
              <w:ind w:firstLine="0"/>
              <w:rPr>
                <w:rFonts w:asciiTheme="minorHAnsi" w:hAnsiTheme="minorHAnsi" w:cstheme="minorHAnsi"/>
                <w:b/>
                <w:bCs/>
                <w:sz w:val="22"/>
                <w:szCs w:val="22"/>
              </w:rPr>
            </w:pPr>
            <w:r w:rsidRPr="00C31525">
              <w:rPr>
                <w:rFonts w:asciiTheme="minorHAnsi" w:hAnsiTheme="minorHAnsi" w:cstheme="minorHAnsi"/>
                <w:sz w:val="22"/>
                <w:szCs w:val="22"/>
              </w:rPr>
              <w:t>8.3.1. forma – neatšaukiama, pirmo pareikalavimo banko garantija / draudimo bendrovės išduotas laidavimo draudimas</w:t>
            </w:r>
            <w:r w:rsidR="0063713C">
              <w:rPr>
                <w:rFonts w:asciiTheme="minorHAnsi" w:hAnsiTheme="minorHAnsi" w:cstheme="minorHAnsi"/>
                <w:sz w:val="22"/>
                <w:szCs w:val="22"/>
              </w:rPr>
              <w:t>;</w:t>
            </w:r>
            <w:r w:rsidRPr="00C31525">
              <w:rPr>
                <w:rFonts w:asciiTheme="minorHAnsi" w:hAnsiTheme="minorHAnsi" w:cstheme="minorHAnsi"/>
                <w:sz w:val="22"/>
                <w:szCs w:val="22"/>
              </w:rPr>
              <w:t>“</w:t>
            </w:r>
            <w:r w:rsidR="008B64AD">
              <w:rPr>
                <w:rFonts w:asciiTheme="minorHAnsi" w:hAnsiTheme="minorHAnsi" w:cstheme="minorHAnsi"/>
                <w:sz w:val="22"/>
                <w:szCs w:val="22"/>
              </w:rPr>
              <w:t xml:space="preserve"> </w:t>
            </w:r>
            <w:r w:rsidRPr="00C31525">
              <w:rPr>
                <w:rFonts w:asciiTheme="minorHAnsi" w:hAnsiTheme="minorHAnsi" w:cstheme="minorHAnsi"/>
                <w:sz w:val="22"/>
                <w:szCs w:val="22"/>
              </w:rPr>
              <w:t xml:space="preserve">(pridedama, </w:t>
            </w:r>
            <w:r w:rsidR="009D0ABC" w:rsidRPr="00C31525">
              <w:rPr>
                <w:rFonts w:asciiTheme="minorHAnsi" w:hAnsiTheme="minorHAnsi" w:cstheme="minorHAnsi"/>
                <w:sz w:val="22"/>
                <w:szCs w:val="22"/>
              </w:rPr>
              <w:t>2</w:t>
            </w:r>
            <w:r w:rsidRPr="00C31525">
              <w:rPr>
                <w:rFonts w:asciiTheme="minorHAnsi" w:hAnsiTheme="minorHAnsi" w:cstheme="minorHAnsi"/>
                <w:sz w:val="22"/>
                <w:szCs w:val="22"/>
              </w:rPr>
              <w:t xml:space="preserve"> priedas_Patikslinta_“Rangos sutartis_Specialioji dalis“).</w:t>
            </w:r>
          </w:p>
        </w:tc>
      </w:tr>
      <w:tr w:rsidR="007A604C" w:rsidRPr="00C31525" w14:paraId="1E17476B" w14:textId="77777777" w:rsidTr="008B64AD">
        <w:trPr>
          <w:trHeight w:val="1027"/>
        </w:trPr>
        <w:tc>
          <w:tcPr>
            <w:tcW w:w="278" w:type="dxa"/>
          </w:tcPr>
          <w:p w14:paraId="3E196BB9" w14:textId="4D382758" w:rsidR="007A604C" w:rsidRPr="00C31525" w:rsidRDefault="007A604C"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 xml:space="preserve">3. </w:t>
            </w:r>
          </w:p>
        </w:tc>
        <w:tc>
          <w:tcPr>
            <w:tcW w:w="1566" w:type="dxa"/>
          </w:tcPr>
          <w:p w14:paraId="70467C9C" w14:textId="566B5899" w:rsidR="007A604C" w:rsidRPr="00C31525" w:rsidRDefault="007A604C"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BD 15.2.</w:t>
            </w:r>
          </w:p>
        </w:tc>
        <w:tc>
          <w:tcPr>
            <w:tcW w:w="3969" w:type="dxa"/>
          </w:tcPr>
          <w:p w14:paraId="5B2755CC" w14:textId="7056EC58" w:rsidR="007A604C" w:rsidRPr="00C31525" w:rsidRDefault="007A604C" w:rsidP="00E3719B">
            <w:pPr>
              <w:pStyle w:val="ListParagraph"/>
              <w:spacing w:after="0" w:line="240" w:lineRule="auto"/>
              <w:ind w:left="0"/>
              <w:jc w:val="both"/>
              <w:rPr>
                <w:rFonts w:cstheme="minorHAnsi"/>
              </w:rPr>
            </w:pPr>
            <w:r w:rsidRPr="00C31525">
              <w:rPr>
                <w:rFonts w:cstheme="minorHAnsi"/>
              </w:rPr>
              <w:t>BD. 15.2. Sutartį pažeidusi Šalis privalo atlyginti visus kitos Šalies dėl to patirtus</w:t>
            </w:r>
            <w:r w:rsidRPr="00C31525">
              <w:rPr>
                <w:rFonts w:cstheme="minorHAnsi"/>
                <w:spacing w:val="-14"/>
              </w:rPr>
              <w:t xml:space="preserve"> </w:t>
            </w:r>
            <w:r w:rsidRPr="00C31525">
              <w:rPr>
                <w:rFonts w:cstheme="minorHAnsi"/>
              </w:rPr>
              <w:t>nuostolius.</w:t>
            </w:r>
          </w:p>
        </w:tc>
        <w:tc>
          <w:tcPr>
            <w:tcW w:w="3544" w:type="dxa"/>
          </w:tcPr>
          <w:p w14:paraId="51B5D757" w14:textId="1F39C096" w:rsidR="007A604C" w:rsidRPr="00C31525" w:rsidRDefault="00BF6F4E" w:rsidP="007A604C">
            <w:pPr>
              <w:widowControl w:val="0"/>
              <w:tabs>
                <w:tab w:val="left" w:pos="821"/>
              </w:tabs>
              <w:autoSpaceDE w:val="0"/>
              <w:autoSpaceDN w:val="0"/>
              <w:jc w:val="both"/>
              <w:rPr>
                <w:rFonts w:asciiTheme="minorHAnsi" w:hAnsiTheme="minorHAnsi" w:cstheme="minorHAnsi"/>
                <w:i/>
                <w:sz w:val="22"/>
                <w:szCs w:val="22"/>
                <w:lang w:val="lt-LT"/>
              </w:rPr>
            </w:pPr>
            <w:r>
              <w:rPr>
                <w:rFonts w:asciiTheme="minorHAnsi" w:hAnsiTheme="minorHAnsi" w:cstheme="minorHAnsi"/>
                <w:i/>
                <w:sz w:val="22"/>
                <w:szCs w:val="22"/>
                <w:lang w:val="lt-LT"/>
              </w:rPr>
              <w:t>p</w:t>
            </w:r>
            <w:r w:rsidR="007A604C" w:rsidRPr="00C31525">
              <w:rPr>
                <w:rFonts w:asciiTheme="minorHAnsi" w:hAnsiTheme="minorHAnsi" w:cstheme="minorHAnsi"/>
                <w:i/>
                <w:sz w:val="22"/>
                <w:szCs w:val="22"/>
                <w:lang w:val="lt-LT"/>
              </w:rPr>
              <w:t xml:space="preserve">apildyti/pakeisti </w:t>
            </w:r>
          </w:p>
          <w:p w14:paraId="0F1346F5" w14:textId="481309AF" w:rsidR="007A604C" w:rsidRPr="00C31525" w:rsidRDefault="007A604C" w:rsidP="007A604C">
            <w:pPr>
              <w:pStyle w:val="ListParagraph"/>
              <w:spacing w:after="0" w:line="240" w:lineRule="auto"/>
              <w:ind w:left="0"/>
              <w:jc w:val="both"/>
              <w:rPr>
                <w:rFonts w:cstheme="minorHAnsi"/>
              </w:rPr>
            </w:pPr>
            <w:bookmarkStart w:id="0" w:name="_Hlk137045796"/>
            <w:r w:rsidRPr="00C31525">
              <w:rPr>
                <w:rFonts w:cstheme="minorHAnsi"/>
              </w:rPr>
              <w:t xml:space="preserve">BD. 15.2. Sutartį pažeidusi Šalis privalo atlyginti visus kitos Šalies dėl to patirtus </w:t>
            </w:r>
            <w:r w:rsidRPr="00C31525">
              <w:rPr>
                <w:rFonts w:cstheme="minorHAnsi"/>
                <w:b/>
              </w:rPr>
              <w:t xml:space="preserve">tiesioginius </w:t>
            </w:r>
            <w:r w:rsidRPr="00C31525">
              <w:rPr>
                <w:rFonts w:cstheme="minorHAnsi"/>
                <w:b/>
                <w:spacing w:val="-14"/>
              </w:rPr>
              <w:t xml:space="preserve"> </w:t>
            </w:r>
            <w:r w:rsidRPr="00C31525">
              <w:rPr>
                <w:rFonts w:cstheme="minorHAnsi"/>
              </w:rPr>
              <w:t>nuostolius.</w:t>
            </w:r>
            <w:bookmarkEnd w:id="0"/>
          </w:p>
        </w:tc>
        <w:tc>
          <w:tcPr>
            <w:tcW w:w="6378" w:type="dxa"/>
            <w:vAlign w:val="center"/>
          </w:tcPr>
          <w:p w14:paraId="7195E24B" w14:textId="794A999E" w:rsidR="007A604C" w:rsidRPr="00C31525" w:rsidRDefault="0063713C" w:rsidP="00EF5E08">
            <w:pPr>
              <w:pStyle w:val="CommentText"/>
              <w:ind w:firstLine="0"/>
              <w:rPr>
                <w:rFonts w:asciiTheme="minorHAnsi" w:hAnsiTheme="minorHAnsi" w:cstheme="minorHAnsi"/>
                <w:b/>
                <w:bCs/>
                <w:sz w:val="22"/>
                <w:szCs w:val="22"/>
              </w:rPr>
            </w:pPr>
            <w:r>
              <w:rPr>
                <w:rFonts w:asciiTheme="minorHAnsi" w:hAnsiTheme="minorHAnsi" w:cstheme="minorHAnsi"/>
                <w:b/>
                <w:bCs/>
                <w:sz w:val="22"/>
                <w:szCs w:val="22"/>
              </w:rPr>
              <w:t xml:space="preserve">Papildoma </w:t>
            </w:r>
            <w:r w:rsidR="0083195F" w:rsidRPr="00C31525">
              <w:rPr>
                <w:rFonts w:asciiTheme="minorHAnsi" w:hAnsiTheme="minorHAnsi" w:cstheme="minorHAnsi"/>
                <w:b/>
                <w:bCs/>
                <w:sz w:val="22"/>
                <w:szCs w:val="22"/>
              </w:rPr>
              <w:t>SD 11.</w:t>
            </w:r>
            <w:r w:rsidR="00C01BC1">
              <w:rPr>
                <w:rFonts w:asciiTheme="minorHAnsi" w:hAnsiTheme="minorHAnsi" w:cstheme="minorHAnsi"/>
                <w:b/>
                <w:bCs/>
                <w:sz w:val="22"/>
                <w:szCs w:val="22"/>
              </w:rPr>
              <w:t>6</w:t>
            </w:r>
            <w:r w:rsidR="0083195F" w:rsidRPr="00C31525">
              <w:rPr>
                <w:rFonts w:asciiTheme="minorHAnsi" w:hAnsiTheme="minorHAnsi" w:cstheme="minorHAnsi"/>
                <w:b/>
                <w:bCs/>
                <w:sz w:val="22"/>
                <w:szCs w:val="22"/>
              </w:rPr>
              <w:t xml:space="preserve"> </w:t>
            </w:r>
            <w:r w:rsidRPr="00C31525">
              <w:rPr>
                <w:rFonts w:asciiTheme="minorHAnsi" w:hAnsiTheme="minorHAnsi" w:cstheme="minorHAnsi"/>
                <w:b/>
                <w:bCs/>
                <w:sz w:val="22"/>
                <w:szCs w:val="22"/>
              </w:rPr>
              <w:t>punkt</w:t>
            </w:r>
            <w:r>
              <w:rPr>
                <w:rFonts w:asciiTheme="minorHAnsi" w:hAnsiTheme="minorHAnsi" w:cstheme="minorHAnsi"/>
                <w:b/>
                <w:bCs/>
                <w:sz w:val="22"/>
                <w:szCs w:val="22"/>
              </w:rPr>
              <w:t>u</w:t>
            </w:r>
            <w:r w:rsidR="0083195F" w:rsidRPr="00C31525">
              <w:rPr>
                <w:rFonts w:asciiTheme="minorHAnsi" w:hAnsiTheme="minorHAnsi" w:cstheme="minorHAnsi"/>
                <w:b/>
                <w:bCs/>
                <w:sz w:val="22"/>
                <w:szCs w:val="22"/>
              </w:rPr>
              <w:t>:</w:t>
            </w:r>
            <w:r w:rsidR="0083195F" w:rsidRPr="00C31525">
              <w:rPr>
                <w:rFonts w:asciiTheme="minorHAnsi" w:hAnsiTheme="minorHAnsi" w:cstheme="minorHAnsi"/>
                <w:sz w:val="22"/>
                <w:szCs w:val="22"/>
              </w:rPr>
              <w:t xml:space="preserve"> „</w:t>
            </w:r>
            <w:r w:rsidRPr="00C31525">
              <w:rPr>
                <w:rFonts w:asciiTheme="minorHAnsi" w:hAnsiTheme="minorHAnsi" w:cstheme="minorHAnsi"/>
                <w:bCs/>
                <w:sz w:val="22"/>
                <w:szCs w:val="22"/>
              </w:rPr>
              <w:t xml:space="preserve">Sutarties </w:t>
            </w:r>
            <w:r w:rsidR="00B6412B" w:rsidRPr="00C31525">
              <w:rPr>
                <w:rFonts w:asciiTheme="minorHAnsi" w:hAnsiTheme="minorHAnsi" w:cstheme="minorHAnsi"/>
                <w:sz w:val="22"/>
                <w:szCs w:val="22"/>
              </w:rPr>
              <w:t>BD 15.2.</w:t>
            </w:r>
            <w:r w:rsidRPr="00C31525">
              <w:rPr>
                <w:rFonts w:asciiTheme="minorHAnsi" w:hAnsiTheme="minorHAnsi" w:cstheme="minorHAnsi"/>
                <w:bCs/>
                <w:sz w:val="22"/>
                <w:szCs w:val="22"/>
              </w:rPr>
              <w:t xml:space="preserve"> punktas išdėstomas taip:</w:t>
            </w:r>
            <w:r w:rsidR="00B6412B" w:rsidRPr="00C31525">
              <w:rPr>
                <w:rFonts w:asciiTheme="minorHAnsi" w:hAnsiTheme="minorHAnsi" w:cstheme="minorHAnsi"/>
                <w:sz w:val="22"/>
                <w:szCs w:val="22"/>
              </w:rPr>
              <w:t xml:space="preserve"> </w:t>
            </w:r>
            <w:r>
              <w:rPr>
                <w:rFonts w:asciiTheme="minorHAnsi" w:hAnsiTheme="minorHAnsi" w:cstheme="minorHAnsi"/>
                <w:sz w:val="22"/>
                <w:szCs w:val="22"/>
              </w:rPr>
              <w:t xml:space="preserve">„15.2. </w:t>
            </w:r>
            <w:r w:rsidR="00B6412B" w:rsidRPr="00C31525">
              <w:rPr>
                <w:rFonts w:asciiTheme="minorHAnsi" w:hAnsiTheme="minorHAnsi" w:cstheme="minorHAnsi"/>
                <w:sz w:val="22"/>
                <w:szCs w:val="22"/>
              </w:rPr>
              <w:t xml:space="preserve">Sutartį pažeidusi Šalis privalo atlyginti visus kitos Šalies dėl to patirtus </w:t>
            </w:r>
            <w:r w:rsidR="00B6412B" w:rsidRPr="00C31525">
              <w:rPr>
                <w:rFonts w:asciiTheme="minorHAnsi" w:hAnsiTheme="minorHAnsi" w:cstheme="minorHAnsi"/>
                <w:b/>
                <w:sz w:val="22"/>
                <w:szCs w:val="22"/>
              </w:rPr>
              <w:t xml:space="preserve">tiesioginius </w:t>
            </w:r>
            <w:r w:rsidR="00B6412B" w:rsidRPr="00C31525">
              <w:rPr>
                <w:rFonts w:asciiTheme="minorHAnsi" w:hAnsiTheme="minorHAnsi" w:cstheme="minorHAnsi"/>
                <w:sz w:val="22"/>
                <w:szCs w:val="22"/>
              </w:rPr>
              <w:t>nuostolius</w:t>
            </w:r>
            <w:r w:rsidR="0083195F" w:rsidRPr="00C31525">
              <w:rPr>
                <w:rFonts w:asciiTheme="minorHAnsi" w:hAnsiTheme="minorHAnsi" w:cstheme="minorHAnsi"/>
                <w:sz w:val="22"/>
                <w:szCs w:val="22"/>
              </w:rPr>
              <w:t>“</w:t>
            </w:r>
            <w:r w:rsidR="008A6B9F" w:rsidRPr="00C31525">
              <w:rPr>
                <w:rFonts w:asciiTheme="minorHAnsi" w:hAnsiTheme="minorHAnsi" w:cstheme="minorHAnsi"/>
                <w:sz w:val="22"/>
                <w:szCs w:val="22"/>
              </w:rPr>
              <w:t xml:space="preserve"> (pridedama, </w:t>
            </w:r>
            <w:r w:rsidR="009D0ABC" w:rsidRPr="00C31525">
              <w:rPr>
                <w:rFonts w:asciiTheme="minorHAnsi" w:hAnsiTheme="minorHAnsi" w:cstheme="minorHAnsi"/>
                <w:sz w:val="22"/>
                <w:szCs w:val="22"/>
              </w:rPr>
              <w:t>2</w:t>
            </w:r>
            <w:r w:rsidR="008A6B9F" w:rsidRPr="00C31525">
              <w:rPr>
                <w:rFonts w:asciiTheme="minorHAnsi" w:hAnsiTheme="minorHAnsi" w:cstheme="minorHAnsi"/>
                <w:sz w:val="22"/>
                <w:szCs w:val="22"/>
              </w:rPr>
              <w:t xml:space="preserve"> priedas_Patikslinta_“Rangos sutartis_Specialioji dalis“).</w:t>
            </w:r>
          </w:p>
        </w:tc>
      </w:tr>
      <w:tr w:rsidR="002E2EDD" w:rsidRPr="00C31525" w14:paraId="0DA26837" w14:textId="77777777" w:rsidTr="008B64AD">
        <w:trPr>
          <w:trHeight w:val="983"/>
        </w:trPr>
        <w:tc>
          <w:tcPr>
            <w:tcW w:w="278" w:type="dxa"/>
          </w:tcPr>
          <w:p w14:paraId="16C9801D" w14:textId="082158B6" w:rsidR="002E2EDD" w:rsidRPr="00C31525" w:rsidRDefault="00C67AFE"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4</w:t>
            </w:r>
            <w:r w:rsidR="002E2EDD" w:rsidRPr="00C31525">
              <w:rPr>
                <w:rFonts w:asciiTheme="minorHAnsi" w:hAnsiTheme="minorHAnsi" w:cstheme="minorHAnsi"/>
                <w:b/>
                <w:sz w:val="22"/>
                <w:szCs w:val="22"/>
                <w:lang w:val="lt-LT"/>
              </w:rPr>
              <w:t>.</w:t>
            </w:r>
          </w:p>
        </w:tc>
        <w:tc>
          <w:tcPr>
            <w:tcW w:w="1566" w:type="dxa"/>
          </w:tcPr>
          <w:p w14:paraId="4B44868A" w14:textId="48472BE1" w:rsidR="002E2EDD" w:rsidRPr="00C31525" w:rsidRDefault="002E2EDD"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 xml:space="preserve">BD 16.5.2. </w:t>
            </w:r>
          </w:p>
        </w:tc>
        <w:tc>
          <w:tcPr>
            <w:tcW w:w="3969" w:type="dxa"/>
          </w:tcPr>
          <w:p w14:paraId="1EEA4A34" w14:textId="342207BE" w:rsidR="002E2EDD" w:rsidRPr="00C31525" w:rsidRDefault="002E2EDD" w:rsidP="00E3719B">
            <w:pPr>
              <w:widowControl w:val="0"/>
              <w:tabs>
                <w:tab w:val="left" w:pos="821"/>
              </w:tabs>
              <w:autoSpaceDE w:val="0"/>
              <w:autoSpaceDN w:val="0"/>
              <w:jc w:val="both"/>
              <w:rPr>
                <w:rFonts w:asciiTheme="minorHAnsi" w:hAnsiTheme="minorHAnsi" w:cstheme="minorHAnsi"/>
                <w:sz w:val="22"/>
                <w:szCs w:val="22"/>
              </w:rPr>
            </w:pPr>
            <w:r w:rsidRPr="00C31525">
              <w:rPr>
                <w:rFonts w:asciiTheme="minorHAnsi" w:hAnsiTheme="minorHAnsi" w:cstheme="minorHAnsi"/>
                <w:sz w:val="22"/>
                <w:szCs w:val="22"/>
                <w:lang w:val="lt-LT"/>
              </w:rPr>
              <w:t xml:space="preserve">BD 16.5.2. Sutarties įvykdymo užtikrinimo forma (besąlyginė, neatšaukiama, pirmo pareikalavimo banko garantija ar draudimo bendrovės išduotas laidavimo draudimas) yra nurodoma Sutarties SD. </w:t>
            </w:r>
            <w:r w:rsidRPr="00C31525">
              <w:rPr>
                <w:rFonts w:asciiTheme="minorHAnsi" w:hAnsiTheme="minorHAnsi" w:cstheme="minorHAnsi"/>
                <w:sz w:val="22"/>
                <w:szCs w:val="22"/>
                <w:lang w:val="lt-LT"/>
              </w:rPr>
              <w:lastRenderedPageBreak/>
              <w:t>Jei turi būti išduota banko garantija,</w:t>
            </w:r>
            <w:r w:rsidRPr="00C31525">
              <w:rPr>
                <w:rFonts w:asciiTheme="minorHAnsi" w:hAnsiTheme="minorHAnsi" w:cstheme="minorHAnsi"/>
                <w:spacing w:val="-9"/>
                <w:sz w:val="22"/>
                <w:szCs w:val="22"/>
                <w:lang w:val="lt-LT"/>
              </w:rPr>
              <w:t xml:space="preserve"> </w:t>
            </w:r>
            <w:r w:rsidRPr="00C31525">
              <w:rPr>
                <w:rFonts w:asciiTheme="minorHAnsi" w:hAnsiTheme="minorHAnsi" w:cstheme="minorHAnsi"/>
                <w:sz w:val="22"/>
                <w:szCs w:val="22"/>
                <w:lang w:val="lt-LT"/>
              </w:rPr>
              <w:t>tai</w:t>
            </w:r>
            <w:r w:rsidRPr="00C31525">
              <w:rPr>
                <w:rFonts w:asciiTheme="minorHAnsi" w:hAnsiTheme="minorHAnsi" w:cstheme="minorHAnsi"/>
                <w:spacing w:val="-10"/>
                <w:sz w:val="22"/>
                <w:szCs w:val="22"/>
                <w:lang w:val="lt-LT"/>
              </w:rPr>
              <w:t xml:space="preserve"> </w:t>
            </w:r>
            <w:r w:rsidRPr="00C31525">
              <w:rPr>
                <w:rFonts w:asciiTheme="minorHAnsi" w:hAnsiTheme="minorHAnsi" w:cstheme="minorHAnsi"/>
                <w:sz w:val="22"/>
                <w:szCs w:val="22"/>
                <w:lang w:val="lt-LT"/>
              </w:rPr>
              <w:t>jis</w:t>
            </w:r>
            <w:r w:rsidRPr="00C31525">
              <w:rPr>
                <w:rFonts w:asciiTheme="minorHAnsi" w:hAnsiTheme="minorHAnsi" w:cstheme="minorHAnsi"/>
                <w:spacing w:val="-8"/>
                <w:sz w:val="22"/>
                <w:szCs w:val="22"/>
                <w:lang w:val="lt-LT"/>
              </w:rPr>
              <w:t xml:space="preserve"> </w:t>
            </w:r>
            <w:r w:rsidRPr="00C31525">
              <w:rPr>
                <w:rFonts w:asciiTheme="minorHAnsi" w:hAnsiTheme="minorHAnsi" w:cstheme="minorHAnsi"/>
                <w:sz w:val="22"/>
                <w:szCs w:val="22"/>
                <w:lang w:val="lt-LT"/>
              </w:rPr>
              <w:t>turi</w:t>
            </w:r>
            <w:r w:rsidRPr="00C31525">
              <w:rPr>
                <w:rFonts w:asciiTheme="minorHAnsi" w:hAnsiTheme="minorHAnsi" w:cstheme="minorHAnsi"/>
                <w:spacing w:val="-10"/>
                <w:sz w:val="22"/>
                <w:szCs w:val="22"/>
                <w:lang w:val="lt-LT"/>
              </w:rPr>
              <w:t xml:space="preserve"> </w:t>
            </w:r>
            <w:r w:rsidRPr="00C31525">
              <w:rPr>
                <w:rFonts w:asciiTheme="minorHAnsi" w:hAnsiTheme="minorHAnsi" w:cstheme="minorHAnsi"/>
                <w:sz w:val="22"/>
                <w:szCs w:val="22"/>
                <w:lang w:val="lt-LT"/>
              </w:rPr>
              <w:t>apimti</w:t>
            </w:r>
            <w:r w:rsidRPr="00C31525">
              <w:rPr>
                <w:rFonts w:asciiTheme="minorHAnsi" w:hAnsiTheme="minorHAnsi" w:cstheme="minorHAnsi"/>
                <w:spacing w:val="-5"/>
                <w:sz w:val="22"/>
                <w:szCs w:val="22"/>
                <w:lang w:val="lt-LT"/>
              </w:rPr>
              <w:t xml:space="preserve"> </w:t>
            </w:r>
            <w:r w:rsidRPr="00C31525">
              <w:rPr>
                <w:rFonts w:asciiTheme="minorHAnsi" w:hAnsiTheme="minorHAnsi" w:cstheme="minorHAnsi"/>
                <w:sz w:val="22"/>
                <w:szCs w:val="22"/>
                <w:lang w:val="lt-LT"/>
              </w:rPr>
              <w:t>ir</w:t>
            </w:r>
            <w:r w:rsidRPr="00C31525">
              <w:rPr>
                <w:rFonts w:asciiTheme="minorHAnsi" w:hAnsiTheme="minorHAnsi" w:cstheme="minorHAnsi"/>
                <w:spacing w:val="-6"/>
                <w:sz w:val="22"/>
                <w:szCs w:val="22"/>
                <w:lang w:val="lt-LT"/>
              </w:rPr>
              <w:t xml:space="preserve"> </w:t>
            </w:r>
            <w:r w:rsidRPr="00C31525">
              <w:rPr>
                <w:rFonts w:asciiTheme="minorHAnsi" w:hAnsiTheme="minorHAnsi" w:cstheme="minorHAnsi"/>
                <w:sz w:val="22"/>
                <w:szCs w:val="22"/>
                <w:lang w:val="lt-LT"/>
              </w:rPr>
              <w:t>Rangovo</w:t>
            </w:r>
            <w:r w:rsidRPr="00C31525">
              <w:rPr>
                <w:rFonts w:asciiTheme="minorHAnsi" w:hAnsiTheme="minorHAnsi" w:cstheme="minorHAnsi"/>
                <w:spacing w:val="-9"/>
                <w:sz w:val="22"/>
                <w:szCs w:val="22"/>
                <w:lang w:val="lt-LT"/>
              </w:rPr>
              <w:t xml:space="preserve"> </w:t>
            </w:r>
            <w:r w:rsidRPr="00C31525">
              <w:rPr>
                <w:rFonts w:asciiTheme="minorHAnsi" w:hAnsiTheme="minorHAnsi" w:cstheme="minorHAnsi"/>
                <w:sz w:val="22"/>
                <w:szCs w:val="22"/>
                <w:lang w:val="lt-LT"/>
              </w:rPr>
              <w:t>įsipareigojimų</w:t>
            </w:r>
            <w:r w:rsidRPr="00C31525">
              <w:rPr>
                <w:rFonts w:asciiTheme="minorHAnsi" w:hAnsiTheme="minorHAnsi" w:cstheme="minorHAnsi"/>
                <w:spacing w:val="-7"/>
                <w:sz w:val="22"/>
                <w:szCs w:val="22"/>
                <w:lang w:val="lt-LT"/>
              </w:rPr>
              <w:t xml:space="preserve"> </w:t>
            </w:r>
            <w:r w:rsidRPr="00C31525">
              <w:rPr>
                <w:rFonts w:asciiTheme="minorHAnsi" w:hAnsiTheme="minorHAnsi" w:cstheme="minorHAnsi"/>
                <w:sz w:val="22"/>
                <w:szCs w:val="22"/>
                <w:lang w:val="lt-LT"/>
              </w:rPr>
              <w:t>dėl</w:t>
            </w:r>
            <w:r w:rsidRPr="00C31525">
              <w:rPr>
                <w:rFonts w:asciiTheme="minorHAnsi" w:hAnsiTheme="minorHAnsi" w:cstheme="minorHAnsi"/>
                <w:spacing w:val="-7"/>
                <w:sz w:val="22"/>
                <w:szCs w:val="22"/>
                <w:lang w:val="lt-LT"/>
              </w:rPr>
              <w:t xml:space="preserve"> </w:t>
            </w:r>
            <w:r w:rsidRPr="00C31525">
              <w:rPr>
                <w:rFonts w:asciiTheme="minorHAnsi" w:hAnsiTheme="minorHAnsi" w:cstheme="minorHAnsi"/>
                <w:sz w:val="22"/>
                <w:szCs w:val="22"/>
                <w:lang w:val="lt-LT"/>
              </w:rPr>
              <w:t>netesybų</w:t>
            </w:r>
            <w:r w:rsidRPr="00C31525">
              <w:rPr>
                <w:rFonts w:asciiTheme="minorHAnsi" w:hAnsiTheme="minorHAnsi" w:cstheme="minorHAnsi"/>
                <w:spacing w:val="-7"/>
                <w:sz w:val="22"/>
                <w:szCs w:val="22"/>
                <w:lang w:val="lt-LT"/>
              </w:rPr>
              <w:t xml:space="preserve"> </w:t>
            </w:r>
            <w:r w:rsidRPr="00C31525">
              <w:rPr>
                <w:rFonts w:asciiTheme="minorHAnsi" w:hAnsiTheme="minorHAnsi" w:cstheme="minorHAnsi"/>
                <w:sz w:val="22"/>
                <w:szCs w:val="22"/>
                <w:lang w:val="lt-LT"/>
              </w:rPr>
              <w:t>ir</w:t>
            </w:r>
            <w:r w:rsidRPr="00C31525">
              <w:rPr>
                <w:rFonts w:asciiTheme="minorHAnsi" w:hAnsiTheme="minorHAnsi" w:cstheme="minorHAnsi"/>
                <w:spacing w:val="-7"/>
                <w:sz w:val="22"/>
                <w:szCs w:val="22"/>
                <w:lang w:val="lt-LT"/>
              </w:rPr>
              <w:t xml:space="preserve"> </w:t>
            </w:r>
            <w:r w:rsidRPr="00C31525">
              <w:rPr>
                <w:rFonts w:asciiTheme="minorHAnsi" w:hAnsiTheme="minorHAnsi" w:cstheme="minorHAnsi"/>
                <w:sz w:val="22"/>
                <w:szCs w:val="22"/>
                <w:lang w:val="lt-LT"/>
              </w:rPr>
              <w:t>nuostolių</w:t>
            </w:r>
            <w:r w:rsidRPr="00C31525">
              <w:rPr>
                <w:rFonts w:asciiTheme="minorHAnsi" w:hAnsiTheme="minorHAnsi" w:cstheme="minorHAnsi"/>
                <w:spacing w:val="-9"/>
                <w:sz w:val="22"/>
                <w:szCs w:val="22"/>
                <w:lang w:val="lt-LT"/>
              </w:rPr>
              <w:t xml:space="preserve"> </w:t>
            </w:r>
            <w:r w:rsidRPr="00C31525">
              <w:rPr>
                <w:rFonts w:asciiTheme="minorHAnsi" w:hAnsiTheme="minorHAnsi" w:cstheme="minorHAnsi"/>
                <w:sz w:val="22"/>
                <w:szCs w:val="22"/>
                <w:lang w:val="lt-LT"/>
              </w:rPr>
              <w:t>sumokėjimo</w:t>
            </w:r>
            <w:r w:rsidRPr="00C31525">
              <w:rPr>
                <w:rFonts w:asciiTheme="minorHAnsi" w:hAnsiTheme="minorHAnsi" w:cstheme="minorHAnsi"/>
                <w:spacing w:val="-9"/>
                <w:sz w:val="22"/>
                <w:szCs w:val="22"/>
                <w:lang w:val="lt-LT"/>
              </w:rPr>
              <w:t xml:space="preserve"> </w:t>
            </w:r>
            <w:r w:rsidRPr="00C31525">
              <w:rPr>
                <w:rFonts w:asciiTheme="minorHAnsi" w:hAnsiTheme="minorHAnsi" w:cstheme="minorHAnsi"/>
                <w:sz w:val="22"/>
                <w:szCs w:val="22"/>
                <w:lang w:val="lt-LT"/>
              </w:rPr>
              <w:t>įvykdymo</w:t>
            </w:r>
            <w:r w:rsidRPr="00C31525">
              <w:rPr>
                <w:rFonts w:asciiTheme="minorHAnsi" w:hAnsiTheme="minorHAnsi" w:cstheme="minorHAnsi"/>
                <w:spacing w:val="-7"/>
                <w:sz w:val="22"/>
                <w:szCs w:val="22"/>
                <w:lang w:val="lt-LT"/>
              </w:rPr>
              <w:t xml:space="preserve"> </w:t>
            </w:r>
            <w:r w:rsidRPr="00C31525">
              <w:rPr>
                <w:rFonts w:asciiTheme="minorHAnsi" w:hAnsiTheme="minorHAnsi" w:cstheme="minorHAnsi"/>
                <w:sz w:val="22"/>
                <w:szCs w:val="22"/>
                <w:lang w:val="lt-LT"/>
              </w:rPr>
              <w:t>užtikrinimą;</w:t>
            </w:r>
          </w:p>
        </w:tc>
        <w:tc>
          <w:tcPr>
            <w:tcW w:w="3544" w:type="dxa"/>
            <w:vAlign w:val="center"/>
          </w:tcPr>
          <w:p w14:paraId="5BF1043A" w14:textId="77777777" w:rsidR="002E2EDD" w:rsidRPr="00C31525" w:rsidRDefault="002E2EDD" w:rsidP="002E2EDD">
            <w:pPr>
              <w:jc w:val="both"/>
              <w:rPr>
                <w:rFonts w:asciiTheme="minorHAnsi" w:hAnsiTheme="minorHAnsi" w:cstheme="minorHAnsi"/>
                <w:bCs/>
                <w:i/>
                <w:sz w:val="22"/>
                <w:szCs w:val="22"/>
                <w:lang w:val="lt-LT"/>
              </w:rPr>
            </w:pPr>
            <w:r w:rsidRPr="00C31525">
              <w:rPr>
                <w:rFonts w:asciiTheme="minorHAnsi" w:hAnsiTheme="minorHAnsi" w:cstheme="minorHAnsi"/>
                <w:bCs/>
                <w:i/>
                <w:sz w:val="22"/>
                <w:szCs w:val="22"/>
                <w:lang w:val="lt-LT"/>
              </w:rPr>
              <w:lastRenderedPageBreak/>
              <w:t>pakeisti</w:t>
            </w:r>
          </w:p>
          <w:p w14:paraId="1D2D8037" w14:textId="188FCB95" w:rsidR="002E2EDD" w:rsidRPr="00C31525" w:rsidRDefault="002E2EDD" w:rsidP="00D37BCD">
            <w:pPr>
              <w:jc w:val="both"/>
              <w:rPr>
                <w:rFonts w:asciiTheme="minorHAnsi" w:hAnsiTheme="minorHAnsi" w:cstheme="minorHAnsi"/>
                <w:sz w:val="22"/>
                <w:szCs w:val="22"/>
              </w:rPr>
            </w:pPr>
            <w:r w:rsidRPr="00C31525">
              <w:rPr>
                <w:rFonts w:asciiTheme="minorHAnsi" w:hAnsiTheme="minorHAnsi" w:cstheme="minorHAnsi"/>
                <w:bCs/>
                <w:sz w:val="22"/>
                <w:szCs w:val="22"/>
                <w:lang w:val="lt-LT"/>
              </w:rPr>
              <w:t xml:space="preserve">16.5.2.  </w:t>
            </w:r>
            <w:r w:rsidRPr="00C31525">
              <w:rPr>
                <w:rFonts w:asciiTheme="minorHAnsi" w:hAnsiTheme="minorHAnsi" w:cstheme="minorHAnsi"/>
                <w:bCs/>
                <w:color w:val="000000"/>
                <w:sz w:val="22"/>
                <w:szCs w:val="22"/>
                <w:lang w:val="lt-LT"/>
              </w:rPr>
              <w:t xml:space="preserve">Sutarties įvykdymo užtikrinimo forma </w:t>
            </w:r>
            <w:r w:rsidRPr="00C31525">
              <w:rPr>
                <w:rFonts w:asciiTheme="minorHAnsi" w:hAnsiTheme="minorHAnsi" w:cstheme="minorHAnsi"/>
                <w:bCs/>
                <w:sz w:val="22"/>
                <w:szCs w:val="22"/>
                <w:lang w:val="lt-LT"/>
              </w:rPr>
              <w:t>(</w:t>
            </w:r>
            <w:r w:rsidRPr="00C31525">
              <w:rPr>
                <w:rFonts w:asciiTheme="minorHAnsi" w:hAnsiTheme="minorHAnsi" w:cstheme="minorHAnsi"/>
                <w:b/>
                <w:bCs/>
                <w:strike/>
                <w:sz w:val="22"/>
                <w:szCs w:val="22"/>
                <w:lang w:val="lt-LT"/>
              </w:rPr>
              <w:t>besąlyginė,</w:t>
            </w:r>
            <w:r w:rsidRPr="00C31525">
              <w:rPr>
                <w:rFonts w:asciiTheme="minorHAnsi" w:hAnsiTheme="minorHAnsi" w:cstheme="minorHAnsi"/>
                <w:sz w:val="22"/>
                <w:szCs w:val="22"/>
                <w:lang w:val="lt-LT"/>
              </w:rPr>
              <w:t xml:space="preserve"> </w:t>
            </w:r>
            <w:r w:rsidRPr="00C31525">
              <w:rPr>
                <w:rFonts w:asciiTheme="minorHAnsi" w:hAnsiTheme="minorHAnsi" w:cstheme="minorHAnsi"/>
                <w:bCs/>
                <w:color w:val="000000"/>
                <w:sz w:val="22"/>
                <w:szCs w:val="22"/>
                <w:lang w:val="lt-LT"/>
              </w:rPr>
              <w:t xml:space="preserve">neatšaukiama, pirmo pareikalavimo banko garantija ar draudimo </w:t>
            </w:r>
            <w:r w:rsidRPr="00C31525">
              <w:rPr>
                <w:rFonts w:asciiTheme="minorHAnsi" w:hAnsiTheme="minorHAnsi" w:cstheme="minorHAnsi"/>
                <w:bCs/>
                <w:color w:val="000000"/>
                <w:sz w:val="22"/>
                <w:szCs w:val="22"/>
                <w:lang w:val="lt-LT"/>
              </w:rPr>
              <w:lastRenderedPageBreak/>
              <w:t xml:space="preserve">bendrovės išduotas laidavimo draudimas) yra nurodoma Sutarties SD. </w:t>
            </w:r>
            <w:r w:rsidRPr="00C31525">
              <w:rPr>
                <w:rFonts w:asciiTheme="minorHAnsi" w:hAnsiTheme="minorHAnsi" w:cstheme="minorHAnsi"/>
                <w:b/>
                <w:bCs/>
                <w:color w:val="000000"/>
                <w:sz w:val="22"/>
                <w:szCs w:val="22"/>
                <w:lang w:val="lt-LT"/>
              </w:rPr>
              <w:t xml:space="preserve">Sutarties įvykdymo užtikrinimas  gali neapimti:  </w:t>
            </w:r>
            <w:r w:rsidRPr="00C31525">
              <w:rPr>
                <w:rFonts w:asciiTheme="minorHAnsi" w:hAnsiTheme="minorHAnsi" w:cstheme="minorHAnsi"/>
                <w:b/>
                <w:bCs/>
                <w:sz w:val="22"/>
                <w:szCs w:val="22"/>
                <w:lang w:val="lt-LT"/>
              </w:rPr>
              <w:t>Rangovo įsipareigojimų dėl netesybų  sumokėjimo įvykdymo užtikrinimo.</w:t>
            </w:r>
          </w:p>
        </w:tc>
        <w:tc>
          <w:tcPr>
            <w:tcW w:w="6378" w:type="dxa"/>
            <w:vAlign w:val="center"/>
          </w:tcPr>
          <w:p w14:paraId="759C70DB" w14:textId="5E5EE385" w:rsidR="002E2EDD" w:rsidRPr="00C31525" w:rsidRDefault="0063713C" w:rsidP="00EF5E08">
            <w:pPr>
              <w:pStyle w:val="CommentText"/>
              <w:ind w:firstLine="0"/>
              <w:rPr>
                <w:rFonts w:asciiTheme="minorHAnsi" w:hAnsiTheme="minorHAnsi" w:cstheme="minorHAnsi"/>
                <w:b/>
                <w:bCs/>
                <w:sz w:val="22"/>
                <w:szCs w:val="22"/>
              </w:rPr>
            </w:pPr>
            <w:r>
              <w:rPr>
                <w:rFonts w:asciiTheme="minorHAnsi" w:hAnsiTheme="minorHAnsi" w:cstheme="minorHAnsi"/>
                <w:b/>
                <w:sz w:val="22"/>
                <w:szCs w:val="22"/>
              </w:rPr>
              <w:lastRenderedPageBreak/>
              <w:t xml:space="preserve">Papildoma </w:t>
            </w:r>
            <w:r w:rsidR="00B6412B" w:rsidRPr="00C31525">
              <w:rPr>
                <w:rFonts w:asciiTheme="minorHAnsi" w:hAnsiTheme="minorHAnsi" w:cstheme="minorHAnsi"/>
                <w:b/>
                <w:sz w:val="22"/>
                <w:szCs w:val="22"/>
              </w:rPr>
              <w:t>SD 11.</w:t>
            </w:r>
            <w:r w:rsidR="00C01BC1">
              <w:rPr>
                <w:rFonts w:asciiTheme="minorHAnsi" w:hAnsiTheme="minorHAnsi" w:cstheme="minorHAnsi"/>
                <w:b/>
                <w:sz w:val="22"/>
                <w:szCs w:val="22"/>
              </w:rPr>
              <w:t>7</w:t>
            </w:r>
            <w:r w:rsidR="00B6412B" w:rsidRPr="00C31525">
              <w:rPr>
                <w:rFonts w:asciiTheme="minorHAnsi" w:hAnsiTheme="minorHAnsi" w:cstheme="minorHAnsi"/>
                <w:b/>
                <w:sz w:val="22"/>
                <w:szCs w:val="22"/>
              </w:rPr>
              <w:t xml:space="preserve"> </w:t>
            </w:r>
            <w:r w:rsidRPr="00C31525">
              <w:rPr>
                <w:rFonts w:asciiTheme="minorHAnsi" w:hAnsiTheme="minorHAnsi" w:cstheme="minorHAnsi"/>
                <w:b/>
                <w:sz w:val="22"/>
                <w:szCs w:val="22"/>
              </w:rPr>
              <w:t>punkt</w:t>
            </w:r>
            <w:r>
              <w:rPr>
                <w:rFonts w:asciiTheme="minorHAnsi" w:hAnsiTheme="minorHAnsi" w:cstheme="minorHAnsi"/>
                <w:b/>
                <w:sz w:val="22"/>
                <w:szCs w:val="22"/>
              </w:rPr>
              <w:t>u</w:t>
            </w:r>
            <w:r w:rsidR="00B6412B" w:rsidRPr="00C31525">
              <w:rPr>
                <w:rFonts w:asciiTheme="minorHAnsi" w:hAnsiTheme="minorHAnsi" w:cstheme="minorHAnsi"/>
                <w:bCs/>
                <w:sz w:val="22"/>
                <w:szCs w:val="22"/>
              </w:rPr>
              <w:t>: „</w:t>
            </w:r>
            <w:bookmarkStart w:id="1" w:name="_Hlk137046070"/>
            <w:r w:rsidR="00B6412B" w:rsidRPr="00C31525">
              <w:rPr>
                <w:rFonts w:asciiTheme="minorHAnsi" w:hAnsiTheme="minorHAnsi" w:cstheme="minorHAnsi"/>
                <w:bCs/>
                <w:sz w:val="22"/>
                <w:szCs w:val="22"/>
              </w:rPr>
              <w:t>Sutarties BD 16.5.2 punktas išdėstomas taip: „</w:t>
            </w:r>
            <w:r>
              <w:rPr>
                <w:rFonts w:asciiTheme="minorHAnsi" w:hAnsiTheme="minorHAnsi" w:cstheme="minorHAnsi"/>
                <w:bCs/>
                <w:sz w:val="22"/>
                <w:szCs w:val="22"/>
              </w:rPr>
              <w:t xml:space="preserve">16.5.2. </w:t>
            </w:r>
            <w:r w:rsidR="00B6412B" w:rsidRPr="00C31525">
              <w:rPr>
                <w:rFonts w:asciiTheme="minorHAnsi" w:hAnsiTheme="minorHAnsi" w:cstheme="minorHAnsi"/>
                <w:bCs/>
                <w:sz w:val="22"/>
                <w:szCs w:val="22"/>
              </w:rPr>
              <w:t xml:space="preserve">Sutarties įvykdymo užtikrinimo forma (neatšaukiama, pirmo pareikalavimo banko garantija ar draudimo bendrovės išduotas laidavimo draudimas) yra nurodoma Sutarties SD. Sutarties įvykdymo užtikrinimas gali neapimti: Rangovo įsipareigojimų dėl </w:t>
            </w:r>
            <w:r w:rsidR="00B6412B" w:rsidRPr="00C31525">
              <w:rPr>
                <w:rFonts w:asciiTheme="minorHAnsi" w:hAnsiTheme="minorHAnsi" w:cstheme="minorHAnsi"/>
                <w:bCs/>
                <w:sz w:val="22"/>
                <w:szCs w:val="22"/>
              </w:rPr>
              <w:lastRenderedPageBreak/>
              <w:t>netesybų sumokėjimo įvykdymo užtikrinimo</w:t>
            </w:r>
            <w:bookmarkEnd w:id="1"/>
            <w:r w:rsidR="00B6412B" w:rsidRPr="00C31525">
              <w:rPr>
                <w:rFonts w:asciiTheme="minorHAnsi" w:hAnsiTheme="minorHAnsi" w:cstheme="minorHAnsi"/>
                <w:bCs/>
                <w:sz w:val="22"/>
                <w:szCs w:val="22"/>
              </w:rPr>
              <w:t>“</w:t>
            </w:r>
            <w:r w:rsidR="00EF5E08">
              <w:rPr>
                <w:rFonts w:asciiTheme="minorHAnsi" w:hAnsiTheme="minorHAnsi" w:cstheme="minorHAnsi"/>
                <w:bCs/>
                <w:sz w:val="22"/>
                <w:szCs w:val="22"/>
              </w:rPr>
              <w:t xml:space="preserve"> </w:t>
            </w:r>
            <w:r w:rsidR="00B6412B" w:rsidRPr="00C31525">
              <w:rPr>
                <w:rFonts w:asciiTheme="minorHAnsi" w:hAnsiTheme="minorHAnsi" w:cstheme="minorHAnsi"/>
                <w:sz w:val="22"/>
                <w:szCs w:val="22"/>
              </w:rPr>
              <w:t xml:space="preserve">(pridedama, </w:t>
            </w:r>
            <w:r w:rsidR="009D0ABC" w:rsidRPr="00C31525">
              <w:rPr>
                <w:rFonts w:asciiTheme="minorHAnsi" w:hAnsiTheme="minorHAnsi" w:cstheme="minorHAnsi"/>
                <w:sz w:val="22"/>
                <w:szCs w:val="22"/>
              </w:rPr>
              <w:t>2</w:t>
            </w:r>
            <w:r w:rsidR="00B6412B" w:rsidRPr="00C31525">
              <w:rPr>
                <w:rFonts w:asciiTheme="minorHAnsi" w:hAnsiTheme="minorHAnsi" w:cstheme="minorHAnsi"/>
                <w:sz w:val="22"/>
                <w:szCs w:val="22"/>
              </w:rPr>
              <w:t xml:space="preserve"> priedas_Patikslinta_“Rangos sutartis_Specialioji dalis“).</w:t>
            </w:r>
          </w:p>
        </w:tc>
      </w:tr>
      <w:tr w:rsidR="007A604C" w:rsidRPr="00C31525" w14:paraId="1C7AA9D9" w14:textId="77777777" w:rsidTr="008B64AD">
        <w:trPr>
          <w:trHeight w:val="1027"/>
        </w:trPr>
        <w:tc>
          <w:tcPr>
            <w:tcW w:w="278" w:type="dxa"/>
          </w:tcPr>
          <w:p w14:paraId="105E7439" w14:textId="119C90AF" w:rsidR="007A604C" w:rsidRPr="00C31525" w:rsidRDefault="00C67AFE"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lastRenderedPageBreak/>
              <w:t>5</w:t>
            </w:r>
            <w:r w:rsidR="007A604C" w:rsidRPr="00C31525">
              <w:rPr>
                <w:rFonts w:asciiTheme="minorHAnsi" w:hAnsiTheme="minorHAnsi" w:cstheme="minorHAnsi"/>
                <w:b/>
                <w:sz w:val="22"/>
                <w:szCs w:val="22"/>
                <w:lang w:val="lt-LT"/>
              </w:rPr>
              <w:t>.</w:t>
            </w:r>
          </w:p>
        </w:tc>
        <w:tc>
          <w:tcPr>
            <w:tcW w:w="1566" w:type="dxa"/>
          </w:tcPr>
          <w:p w14:paraId="129D6E53" w14:textId="1886B1AB" w:rsidR="007A604C" w:rsidRPr="00C31525" w:rsidRDefault="007A604C" w:rsidP="00C67AFE">
            <w:pPr>
              <w:rPr>
                <w:rFonts w:asciiTheme="minorHAnsi" w:hAnsiTheme="minorHAnsi" w:cstheme="minorHAnsi"/>
                <w:b/>
                <w:sz w:val="22"/>
                <w:szCs w:val="22"/>
                <w:lang w:val="lt-LT"/>
              </w:rPr>
            </w:pPr>
            <w:r w:rsidRPr="00C31525">
              <w:rPr>
                <w:rFonts w:asciiTheme="minorHAnsi" w:hAnsiTheme="minorHAnsi" w:cstheme="minorHAnsi"/>
                <w:b/>
                <w:sz w:val="22"/>
                <w:szCs w:val="22"/>
                <w:lang w:val="lt-LT"/>
              </w:rPr>
              <w:t>BD 16.8.</w:t>
            </w:r>
          </w:p>
        </w:tc>
        <w:tc>
          <w:tcPr>
            <w:tcW w:w="3969" w:type="dxa"/>
          </w:tcPr>
          <w:p w14:paraId="1CC55ACF" w14:textId="77777777" w:rsidR="007A604C" w:rsidRPr="00C31525" w:rsidRDefault="007A604C" w:rsidP="00E3719B">
            <w:pPr>
              <w:widowControl w:val="0"/>
              <w:tabs>
                <w:tab w:val="left" w:pos="821"/>
              </w:tabs>
              <w:autoSpaceDE w:val="0"/>
              <w:autoSpaceDN w:val="0"/>
              <w:jc w:val="both"/>
              <w:rPr>
                <w:rFonts w:asciiTheme="minorHAnsi" w:hAnsiTheme="minorHAnsi" w:cstheme="minorHAnsi"/>
                <w:sz w:val="22"/>
                <w:szCs w:val="22"/>
                <w:lang w:val="lt-LT"/>
              </w:rPr>
            </w:pPr>
            <w:r w:rsidRPr="00C31525">
              <w:rPr>
                <w:rFonts w:asciiTheme="minorHAnsi" w:hAnsiTheme="minorHAnsi" w:cstheme="minorHAnsi"/>
                <w:sz w:val="22"/>
                <w:szCs w:val="22"/>
                <w:lang w:val="lt-LT"/>
              </w:rPr>
              <w:t>BD 16.8. Jei pagal Sutarties SD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projekto rengėjo (kaip projektuotojo)</w:t>
            </w:r>
            <w:r w:rsidRPr="00C31525">
              <w:rPr>
                <w:rFonts w:asciiTheme="minorHAnsi" w:hAnsiTheme="minorHAnsi" w:cstheme="minorHAnsi"/>
                <w:spacing w:val="-20"/>
                <w:sz w:val="22"/>
                <w:szCs w:val="22"/>
                <w:lang w:val="lt-LT"/>
              </w:rPr>
              <w:t xml:space="preserve"> </w:t>
            </w:r>
            <w:r w:rsidRPr="00C31525">
              <w:rPr>
                <w:rFonts w:asciiTheme="minorHAnsi" w:hAnsiTheme="minorHAnsi" w:cstheme="minorHAnsi"/>
                <w:sz w:val="22"/>
                <w:szCs w:val="22"/>
                <w:lang w:val="lt-LT"/>
              </w:rPr>
              <w:t>civilinę</w:t>
            </w:r>
            <w:r w:rsidRPr="00C31525">
              <w:rPr>
                <w:rFonts w:asciiTheme="minorHAnsi" w:hAnsiTheme="minorHAnsi" w:cstheme="minorHAnsi"/>
                <w:spacing w:val="-20"/>
                <w:sz w:val="22"/>
                <w:szCs w:val="22"/>
                <w:lang w:val="lt-LT"/>
              </w:rPr>
              <w:t xml:space="preserve"> </w:t>
            </w:r>
            <w:r w:rsidRPr="00C31525">
              <w:rPr>
                <w:rFonts w:asciiTheme="minorHAnsi" w:hAnsiTheme="minorHAnsi" w:cstheme="minorHAnsi"/>
                <w:sz w:val="22"/>
                <w:szCs w:val="22"/>
                <w:lang w:val="lt-LT"/>
              </w:rPr>
              <w:t>atsakomybę</w:t>
            </w:r>
            <w:r w:rsidRPr="00C31525">
              <w:rPr>
                <w:rFonts w:asciiTheme="minorHAnsi" w:hAnsiTheme="minorHAnsi" w:cstheme="minorHAnsi"/>
                <w:spacing w:val="-18"/>
                <w:sz w:val="22"/>
                <w:szCs w:val="22"/>
                <w:lang w:val="lt-LT"/>
              </w:rPr>
              <w:t xml:space="preserve"> </w:t>
            </w:r>
            <w:r w:rsidRPr="00C31525">
              <w:rPr>
                <w:rFonts w:asciiTheme="minorHAnsi" w:hAnsiTheme="minorHAnsi" w:cstheme="minorHAnsi"/>
                <w:sz w:val="22"/>
                <w:szCs w:val="22"/>
                <w:lang w:val="lt-LT"/>
              </w:rPr>
              <w:t>privalomuoju</w:t>
            </w:r>
            <w:r w:rsidRPr="00C31525">
              <w:rPr>
                <w:rFonts w:asciiTheme="minorHAnsi" w:hAnsiTheme="minorHAnsi" w:cstheme="minorHAnsi"/>
                <w:spacing w:val="-18"/>
                <w:sz w:val="22"/>
                <w:szCs w:val="22"/>
                <w:lang w:val="lt-LT"/>
              </w:rPr>
              <w:t xml:space="preserve"> </w:t>
            </w:r>
            <w:r w:rsidRPr="00C31525">
              <w:rPr>
                <w:rFonts w:asciiTheme="minorHAnsi" w:hAnsiTheme="minorHAnsi" w:cstheme="minorHAnsi"/>
                <w:sz w:val="22"/>
                <w:szCs w:val="22"/>
                <w:lang w:val="lt-LT"/>
              </w:rPr>
              <w:t>draudimu</w:t>
            </w:r>
            <w:r w:rsidRPr="00C31525">
              <w:rPr>
                <w:rFonts w:asciiTheme="minorHAnsi" w:hAnsiTheme="minorHAnsi" w:cstheme="minorHAnsi"/>
                <w:spacing w:val="-20"/>
                <w:sz w:val="22"/>
                <w:szCs w:val="22"/>
                <w:lang w:val="lt-LT"/>
              </w:rPr>
              <w:t xml:space="preserve"> </w:t>
            </w:r>
            <w:r w:rsidRPr="00C31525">
              <w:rPr>
                <w:rFonts w:asciiTheme="minorHAnsi" w:hAnsiTheme="minorHAnsi" w:cstheme="minorHAnsi"/>
                <w:sz w:val="22"/>
                <w:szCs w:val="22"/>
                <w:lang w:val="lt-LT"/>
              </w:rPr>
              <w:t>žemiau</w:t>
            </w:r>
            <w:r w:rsidRPr="00C31525">
              <w:rPr>
                <w:rFonts w:asciiTheme="minorHAnsi" w:hAnsiTheme="minorHAnsi" w:cstheme="minorHAnsi"/>
                <w:spacing w:val="-19"/>
                <w:sz w:val="22"/>
                <w:szCs w:val="22"/>
                <w:lang w:val="lt-LT"/>
              </w:rPr>
              <w:t xml:space="preserve"> </w:t>
            </w:r>
            <w:r w:rsidRPr="00C31525">
              <w:rPr>
                <w:rFonts w:asciiTheme="minorHAnsi" w:hAnsiTheme="minorHAnsi" w:cstheme="minorHAnsi"/>
                <w:sz w:val="22"/>
                <w:szCs w:val="22"/>
                <w:lang w:val="lt-LT"/>
              </w:rPr>
              <w:t>nurodytomis</w:t>
            </w:r>
            <w:r w:rsidRPr="00C31525">
              <w:rPr>
                <w:rFonts w:asciiTheme="minorHAnsi" w:hAnsiTheme="minorHAnsi" w:cstheme="minorHAnsi"/>
                <w:spacing w:val="-18"/>
                <w:sz w:val="22"/>
                <w:szCs w:val="22"/>
                <w:lang w:val="lt-LT"/>
              </w:rPr>
              <w:t xml:space="preserve"> </w:t>
            </w:r>
            <w:r w:rsidRPr="00C31525">
              <w:rPr>
                <w:rFonts w:asciiTheme="minorHAnsi" w:hAnsiTheme="minorHAnsi" w:cstheme="minorHAnsi"/>
                <w:sz w:val="22"/>
                <w:szCs w:val="22"/>
                <w:lang w:val="lt-LT"/>
              </w:rPr>
              <w:t>sąlygomis,</w:t>
            </w:r>
            <w:r w:rsidRPr="00C31525">
              <w:rPr>
                <w:rFonts w:asciiTheme="minorHAnsi" w:hAnsiTheme="minorHAnsi" w:cstheme="minorHAnsi"/>
                <w:spacing w:val="-17"/>
                <w:sz w:val="22"/>
                <w:szCs w:val="22"/>
                <w:lang w:val="lt-LT"/>
              </w:rPr>
              <w:t xml:space="preserve"> </w:t>
            </w:r>
            <w:r w:rsidRPr="00C31525">
              <w:rPr>
                <w:rFonts w:asciiTheme="minorHAnsi" w:hAnsiTheme="minorHAnsi" w:cstheme="minorHAnsi"/>
                <w:sz w:val="22"/>
                <w:szCs w:val="22"/>
                <w:lang w:val="lt-LT"/>
              </w:rPr>
              <w:t>bei</w:t>
            </w:r>
            <w:r w:rsidRPr="00C31525">
              <w:rPr>
                <w:rFonts w:asciiTheme="minorHAnsi" w:hAnsiTheme="minorHAnsi" w:cstheme="minorHAnsi"/>
                <w:spacing w:val="-19"/>
                <w:sz w:val="22"/>
                <w:szCs w:val="22"/>
                <w:lang w:val="lt-LT"/>
              </w:rPr>
              <w:t xml:space="preserve"> </w:t>
            </w:r>
            <w:r w:rsidRPr="00C31525">
              <w:rPr>
                <w:rFonts w:asciiTheme="minorHAnsi" w:hAnsiTheme="minorHAnsi" w:cstheme="minorHAnsi"/>
                <w:sz w:val="22"/>
                <w:szCs w:val="22"/>
                <w:lang w:val="lt-LT"/>
              </w:rPr>
              <w:t>pateikti</w:t>
            </w:r>
            <w:r w:rsidRPr="00C31525">
              <w:rPr>
                <w:rFonts w:asciiTheme="minorHAnsi" w:hAnsiTheme="minorHAnsi" w:cstheme="minorHAnsi"/>
                <w:spacing w:val="-18"/>
                <w:sz w:val="22"/>
                <w:szCs w:val="22"/>
                <w:lang w:val="lt-LT"/>
              </w:rPr>
              <w:t xml:space="preserve"> </w:t>
            </w:r>
            <w:r w:rsidRPr="00C31525">
              <w:rPr>
                <w:rFonts w:asciiTheme="minorHAnsi" w:hAnsiTheme="minorHAnsi" w:cstheme="minorHAnsi"/>
                <w:sz w:val="22"/>
                <w:szCs w:val="22"/>
                <w:lang w:val="lt-LT"/>
              </w:rPr>
              <w:t>Užsakovui civilinės atsakomybės privalomojo draudimo liudijimo (poliso) ir mokestinio pavedimo, patvirtinančio draudimo įmokos ar jos dalies sumokėjimą,</w:t>
            </w:r>
            <w:r w:rsidRPr="00C31525">
              <w:rPr>
                <w:rFonts w:asciiTheme="minorHAnsi" w:hAnsiTheme="minorHAnsi" w:cstheme="minorHAnsi"/>
                <w:spacing w:val="-3"/>
                <w:sz w:val="22"/>
                <w:szCs w:val="22"/>
                <w:lang w:val="lt-LT"/>
              </w:rPr>
              <w:t xml:space="preserve"> </w:t>
            </w:r>
            <w:r w:rsidRPr="00C31525">
              <w:rPr>
                <w:rFonts w:asciiTheme="minorHAnsi" w:hAnsiTheme="minorHAnsi" w:cstheme="minorHAnsi"/>
                <w:sz w:val="22"/>
                <w:szCs w:val="22"/>
                <w:lang w:val="lt-LT"/>
              </w:rPr>
              <w:t>kopijas:</w:t>
            </w:r>
          </w:p>
          <w:p w14:paraId="3C9E21CC" w14:textId="77777777" w:rsidR="007A604C" w:rsidRPr="00C31525" w:rsidRDefault="007A604C" w:rsidP="00E3719B">
            <w:pPr>
              <w:pStyle w:val="ListParagraph"/>
              <w:spacing w:after="0" w:line="240" w:lineRule="auto"/>
              <w:ind w:left="0"/>
              <w:jc w:val="both"/>
              <w:rPr>
                <w:rFonts w:cstheme="minorHAnsi"/>
              </w:rPr>
            </w:pPr>
          </w:p>
        </w:tc>
        <w:tc>
          <w:tcPr>
            <w:tcW w:w="3544" w:type="dxa"/>
          </w:tcPr>
          <w:p w14:paraId="5A39790F" w14:textId="77777777" w:rsidR="007A604C" w:rsidRPr="00C31525" w:rsidRDefault="007A604C" w:rsidP="00B6412B">
            <w:pPr>
              <w:pStyle w:val="ListParagraph"/>
              <w:ind w:left="0"/>
              <w:rPr>
                <w:rFonts w:cstheme="minorHAnsi"/>
                <w:i/>
              </w:rPr>
            </w:pPr>
            <w:r w:rsidRPr="00C31525">
              <w:rPr>
                <w:rFonts w:cstheme="minorHAnsi"/>
                <w:i/>
              </w:rPr>
              <w:t xml:space="preserve">pakeisti </w:t>
            </w:r>
          </w:p>
          <w:p w14:paraId="19835911" w14:textId="69E627B0" w:rsidR="007A604C" w:rsidRPr="00C31525" w:rsidRDefault="007A604C" w:rsidP="007D7368">
            <w:pPr>
              <w:pStyle w:val="ListParagraph"/>
              <w:spacing w:after="0" w:line="240" w:lineRule="auto"/>
              <w:ind w:left="0"/>
              <w:jc w:val="both"/>
              <w:rPr>
                <w:rFonts w:cstheme="minorHAnsi"/>
              </w:rPr>
            </w:pPr>
            <w:r w:rsidRPr="00C31525">
              <w:rPr>
                <w:rFonts w:cstheme="minorHAnsi"/>
                <w:bCs/>
              </w:rPr>
              <w:t xml:space="preserve">16.8. </w:t>
            </w:r>
            <w:r w:rsidRPr="00C31525">
              <w:rPr>
                <w:rFonts w:cstheme="minorHAnsi"/>
                <w:bCs/>
                <w:color w:val="000000"/>
              </w:rPr>
              <w:t>Jei pagal Sutarties SD nuostatas į Rangovo Darbų apimtį patenka ir Darbo projekto parengimas, tai Rangovas privalo užtikrinti, kad Darbo projekto rengėjas ne vėliau kaip per 10 (dešimt) dienų po</w:t>
            </w:r>
            <w:r w:rsidRPr="00C31525">
              <w:rPr>
                <w:rFonts w:cstheme="minorHAnsi"/>
              </w:rPr>
              <w:t xml:space="preserve">  </w:t>
            </w:r>
            <w:r w:rsidRPr="00C31525">
              <w:rPr>
                <w:rFonts w:cstheme="minorHAnsi"/>
                <w:strike/>
              </w:rPr>
              <w:t>šios Sutarties</w:t>
            </w:r>
            <w:r w:rsidRPr="00C31525">
              <w:rPr>
                <w:rFonts w:cstheme="minorHAnsi"/>
                <w:b/>
                <w:bCs/>
                <w:color w:val="000000"/>
              </w:rPr>
              <w:t xml:space="preserve"> </w:t>
            </w:r>
            <w:r w:rsidRPr="00C31525">
              <w:rPr>
                <w:rFonts w:cstheme="minorHAnsi"/>
                <w:b/>
                <w:bCs/>
              </w:rPr>
              <w:t>Sutarties su projektuotoju dėl Darbo projekto rengimo</w:t>
            </w:r>
            <w:r w:rsidRPr="00C31525">
              <w:rPr>
                <w:rFonts w:cstheme="minorHAnsi"/>
                <w:b/>
                <w:bCs/>
                <w:color w:val="000000"/>
              </w:rPr>
              <w:t xml:space="preserve"> </w:t>
            </w:r>
            <w:r w:rsidRPr="00C31525">
              <w:rPr>
                <w:rFonts w:cstheme="minorHAnsi"/>
                <w:bCs/>
                <w:color w:val="000000"/>
              </w:rPr>
              <w:t>pasirašymo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w:t>
            </w:r>
          </w:p>
        </w:tc>
        <w:tc>
          <w:tcPr>
            <w:tcW w:w="6378" w:type="dxa"/>
          </w:tcPr>
          <w:p w14:paraId="689326E5" w14:textId="04A8061C" w:rsidR="007A604C" w:rsidRDefault="0063713C" w:rsidP="00970F07">
            <w:pPr>
              <w:pStyle w:val="CommentText"/>
              <w:ind w:firstLine="0"/>
              <w:rPr>
                <w:rFonts w:asciiTheme="minorHAnsi" w:hAnsiTheme="minorHAnsi" w:cstheme="minorHAnsi"/>
                <w:sz w:val="22"/>
                <w:szCs w:val="22"/>
              </w:rPr>
            </w:pPr>
            <w:r>
              <w:rPr>
                <w:rFonts w:asciiTheme="minorHAnsi" w:hAnsiTheme="minorHAnsi" w:cstheme="minorHAnsi"/>
                <w:b/>
                <w:bCs/>
                <w:sz w:val="22"/>
                <w:szCs w:val="22"/>
              </w:rPr>
              <w:t xml:space="preserve">Papildoma </w:t>
            </w:r>
            <w:r w:rsidR="00B6412B" w:rsidRPr="00C31525">
              <w:rPr>
                <w:rFonts w:asciiTheme="minorHAnsi" w:hAnsiTheme="minorHAnsi" w:cstheme="minorHAnsi"/>
                <w:b/>
                <w:bCs/>
                <w:sz w:val="22"/>
                <w:szCs w:val="22"/>
              </w:rPr>
              <w:t>SD 11.</w:t>
            </w:r>
            <w:r w:rsidR="00C01BC1">
              <w:rPr>
                <w:rFonts w:asciiTheme="minorHAnsi" w:hAnsiTheme="minorHAnsi" w:cstheme="minorHAnsi"/>
                <w:b/>
                <w:bCs/>
                <w:sz w:val="22"/>
                <w:szCs w:val="22"/>
              </w:rPr>
              <w:t>8</w:t>
            </w:r>
            <w:r w:rsidR="00B6412B" w:rsidRPr="00C31525">
              <w:rPr>
                <w:rFonts w:asciiTheme="minorHAnsi" w:hAnsiTheme="minorHAnsi" w:cstheme="minorHAnsi"/>
                <w:b/>
                <w:bCs/>
                <w:sz w:val="22"/>
                <w:szCs w:val="22"/>
              </w:rPr>
              <w:t xml:space="preserve"> </w:t>
            </w:r>
            <w:r w:rsidRPr="00C31525">
              <w:rPr>
                <w:rFonts w:asciiTheme="minorHAnsi" w:hAnsiTheme="minorHAnsi" w:cstheme="minorHAnsi"/>
                <w:b/>
                <w:bCs/>
                <w:sz w:val="22"/>
                <w:szCs w:val="22"/>
              </w:rPr>
              <w:t>punkt</w:t>
            </w:r>
            <w:r>
              <w:rPr>
                <w:rFonts w:asciiTheme="minorHAnsi" w:hAnsiTheme="minorHAnsi" w:cstheme="minorHAnsi"/>
                <w:b/>
                <w:bCs/>
                <w:sz w:val="22"/>
                <w:szCs w:val="22"/>
              </w:rPr>
              <w:t>u</w:t>
            </w:r>
            <w:r w:rsidR="00B6412B" w:rsidRPr="00C31525">
              <w:rPr>
                <w:rFonts w:asciiTheme="minorHAnsi" w:hAnsiTheme="minorHAnsi" w:cstheme="minorHAnsi"/>
                <w:b/>
                <w:bCs/>
                <w:sz w:val="22"/>
                <w:szCs w:val="22"/>
              </w:rPr>
              <w:t xml:space="preserve">: </w:t>
            </w:r>
            <w:r w:rsidR="00B6412B" w:rsidRPr="007D7368">
              <w:rPr>
                <w:rFonts w:asciiTheme="minorHAnsi" w:hAnsiTheme="minorHAnsi" w:cstheme="minorHAnsi"/>
                <w:sz w:val="22"/>
                <w:szCs w:val="22"/>
              </w:rPr>
              <w:t>„Su</w:t>
            </w:r>
            <w:r w:rsidR="00B6412B" w:rsidRPr="00C31525">
              <w:rPr>
                <w:rFonts w:asciiTheme="minorHAnsi" w:hAnsiTheme="minorHAnsi" w:cstheme="minorHAnsi"/>
                <w:bCs/>
                <w:sz w:val="22"/>
                <w:szCs w:val="22"/>
              </w:rPr>
              <w:t xml:space="preserve">tarties BD 16.8 punktas išdėstomas taip: </w:t>
            </w:r>
            <w:r w:rsidR="00B6412B" w:rsidRPr="00C31525">
              <w:rPr>
                <w:rFonts w:asciiTheme="minorHAnsi" w:eastAsia="SimSun" w:hAnsiTheme="minorHAnsi" w:cstheme="minorHAnsi"/>
                <w:sz w:val="22"/>
                <w:szCs w:val="22"/>
              </w:rPr>
              <w:t>„</w:t>
            </w:r>
            <w:r>
              <w:rPr>
                <w:rFonts w:asciiTheme="minorHAnsi" w:eastAsia="SimSun" w:hAnsiTheme="minorHAnsi" w:cstheme="minorHAnsi"/>
                <w:sz w:val="22"/>
                <w:szCs w:val="22"/>
              </w:rPr>
              <w:t xml:space="preserve">16.8. </w:t>
            </w:r>
            <w:r w:rsidR="00B6412B" w:rsidRPr="00C31525">
              <w:rPr>
                <w:rFonts w:asciiTheme="minorHAnsi" w:eastAsia="SimSun" w:hAnsiTheme="minorHAnsi" w:cstheme="minorHAnsi"/>
                <w:sz w:val="22"/>
                <w:szCs w:val="22"/>
              </w:rPr>
              <w:t xml:space="preserve">Jei pagal Sutarties SD nuostatas į Rangovo Darbų apimtį patenka ir Darbo projekto parengimas, tai Rangovas privalo užtikrinti, kad Darbo projekto rengėjas ne vėliau kaip per 10 (dešimt) dienų po </w:t>
            </w:r>
            <w:r w:rsidR="00B6412B" w:rsidRPr="00C31525">
              <w:rPr>
                <w:rFonts w:asciiTheme="minorHAnsi" w:eastAsia="SimSun" w:hAnsiTheme="minorHAnsi" w:cstheme="minorHAnsi"/>
                <w:b/>
                <w:bCs/>
                <w:sz w:val="22"/>
                <w:szCs w:val="22"/>
              </w:rPr>
              <w:t>Sutarties su projektuotoju dėl Darbo projekto rengimo pasirašymo, bet ne vėliau kaip per 20 (dvidešimt) dienų nuo Sutarties sudarymo su Užsakovu</w:t>
            </w:r>
            <w:r w:rsidR="00B6412B" w:rsidRPr="00C31525">
              <w:rPr>
                <w:rFonts w:asciiTheme="minorHAnsi" w:eastAsia="SimSun" w:hAnsiTheme="minorHAnsi" w:cstheme="minorHAnsi"/>
                <w:sz w:val="22"/>
                <w:szCs w:val="22"/>
              </w:rPr>
              <w:t>,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r w:rsidR="00706F8D">
              <w:rPr>
                <w:rFonts w:asciiTheme="minorHAnsi" w:eastAsia="SimSun" w:hAnsiTheme="minorHAnsi" w:cstheme="minorHAnsi"/>
                <w:sz w:val="22"/>
                <w:szCs w:val="22"/>
              </w:rPr>
              <w:t xml:space="preserve"> </w:t>
            </w:r>
            <w:r w:rsidR="00B6412B" w:rsidRPr="00C31525">
              <w:rPr>
                <w:rFonts w:asciiTheme="minorHAnsi" w:hAnsiTheme="minorHAnsi" w:cstheme="minorHAnsi"/>
                <w:sz w:val="22"/>
                <w:szCs w:val="22"/>
              </w:rPr>
              <w:t xml:space="preserve">(pridedama, </w:t>
            </w:r>
            <w:r w:rsidR="009D0ABC" w:rsidRPr="00C31525">
              <w:rPr>
                <w:rFonts w:asciiTheme="minorHAnsi" w:hAnsiTheme="minorHAnsi" w:cstheme="minorHAnsi"/>
                <w:sz w:val="22"/>
                <w:szCs w:val="22"/>
              </w:rPr>
              <w:t>2</w:t>
            </w:r>
            <w:r w:rsidR="008672AF" w:rsidRPr="00C31525">
              <w:rPr>
                <w:rFonts w:asciiTheme="minorHAnsi" w:hAnsiTheme="minorHAnsi" w:cstheme="minorHAnsi"/>
                <w:sz w:val="22"/>
                <w:szCs w:val="22"/>
              </w:rPr>
              <w:t xml:space="preserve"> </w:t>
            </w:r>
            <w:r w:rsidR="00B6412B" w:rsidRPr="00C31525">
              <w:rPr>
                <w:rFonts w:asciiTheme="minorHAnsi" w:hAnsiTheme="minorHAnsi" w:cstheme="minorHAnsi"/>
                <w:sz w:val="22"/>
                <w:szCs w:val="22"/>
              </w:rPr>
              <w:t>priedas_Patikslinta_“Rangos sutartis_Specialioji dalis“).</w:t>
            </w:r>
          </w:p>
          <w:p w14:paraId="5EFC9F5D" w14:textId="60EC695E" w:rsidR="00BF6F4E" w:rsidRPr="00C31525" w:rsidRDefault="00BF6F4E" w:rsidP="00BF6F4E">
            <w:pPr>
              <w:pStyle w:val="CommentText"/>
              <w:ind w:firstLine="0"/>
              <w:jc w:val="left"/>
              <w:rPr>
                <w:rFonts w:asciiTheme="minorHAnsi" w:hAnsiTheme="minorHAnsi" w:cstheme="minorHAnsi"/>
                <w:b/>
                <w:bCs/>
                <w:sz w:val="22"/>
                <w:szCs w:val="22"/>
              </w:rPr>
            </w:pPr>
          </w:p>
        </w:tc>
      </w:tr>
    </w:tbl>
    <w:p w14:paraId="6B366EED" w14:textId="77777777" w:rsidR="00AB32A2" w:rsidRPr="00C31525" w:rsidRDefault="00AB32A2" w:rsidP="00922E6C">
      <w:pPr>
        <w:jc w:val="both"/>
        <w:rPr>
          <w:rFonts w:asciiTheme="minorHAnsi" w:hAnsiTheme="minorHAnsi" w:cstheme="minorHAnsi"/>
          <w:b/>
          <w:bCs/>
          <w:sz w:val="22"/>
          <w:szCs w:val="22"/>
          <w:lang w:val="lt-LT"/>
        </w:rPr>
      </w:pPr>
    </w:p>
    <w:p w14:paraId="5B7BDAE0" w14:textId="3517BF8D" w:rsidR="00CD2B6C" w:rsidRPr="00C31525" w:rsidRDefault="00CD2B6C" w:rsidP="00CD2B6C">
      <w:pPr>
        <w:jc w:val="center"/>
        <w:rPr>
          <w:rFonts w:asciiTheme="minorHAnsi" w:hAnsiTheme="minorHAnsi" w:cstheme="minorHAnsi"/>
          <w:b/>
          <w:bCs/>
          <w:sz w:val="22"/>
          <w:szCs w:val="22"/>
          <w:lang w:val="lt-LT"/>
        </w:rPr>
      </w:pPr>
      <w:r w:rsidRPr="00C31525">
        <w:rPr>
          <w:rFonts w:asciiTheme="minorHAnsi" w:hAnsiTheme="minorHAnsi" w:cstheme="minorHAnsi"/>
          <w:b/>
          <w:bCs/>
          <w:sz w:val="22"/>
          <w:szCs w:val="22"/>
          <w:lang w:val="lt-LT"/>
        </w:rPr>
        <w:t>________________________________</w:t>
      </w:r>
    </w:p>
    <w:sectPr w:rsidR="00CD2B6C" w:rsidRPr="00C31525" w:rsidSect="00C7191A">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7336" w14:textId="77777777" w:rsidR="00B509BF" w:rsidRDefault="00B509BF" w:rsidP="00C331F2">
      <w:r>
        <w:separator/>
      </w:r>
    </w:p>
  </w:endnote>
  <w:endnote w:type="continuationSeparator" w:id="0">
    <w:p w14:paraId="4449E140" w14:textId="77777777" w:rsidR="00B509BF" w:rsidRDefault="00B509BF" w:rsidP="00C3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4A02" w14:textId="77777777" w:rsidR="00B509BF" w:rsidRDefault="00B509BF" w:rsidP="00C331F2">
      <w:r>
        <w:separator/>
      </w:r>
    </w:p>
  </w:footnote>
  <w:footnote w:type="continuationSeparator" w:id="0">
    <w:p w14:paraId="02990455" w14:textId="77777777" w:rsidR="00B509BF" w:rsidRDefault="00B509BF" w:rsidP="00C3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2877" w14:textId="6D830717" w:rsidR="0015428A" w:rsidRDefault="0015428A" w:rsidP="005624AC">
    <w:pPr>
      <w:pStyle w:val="Header"/>
      <w:tabs>
        <w:tab w:val="clear" w:pos="4819"/>
        <w:tab w:val="lef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6A8"/>
    <w:multiLevelType w:val="multilevel"/>
    <w:tmpl w:val="7604100A"/>
    <w:lvl w:ilvl="0">
      <w:start w:val="1"/>
      <w:numFmt w:val="bullet"/>
      <w:pStyle w:val="punkter"/>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425F7F"/>
    <w:multiLevelType w:val="hybridMultilevel"/>
    <w:tmpl w:val="DBE45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E32A1A"/>
    <w:multiLevelType w:val="multilevel"/>
    <w:tmpl w:val="D8D04C9A"/>
    <w:lvl w:ilvl="0">
      <w:start w:val="2"/>
      <w:numFmt w:val="decimal"/>
      <w:lvlText w:val="%1."/>
      <w:lvlJc w:val="left"/>
      <w:pPr>
        <w:ind w:left="360" w:hanging="360"/>
      </w:pPr>
      <w:rPr>
        <w:rFonts w:hint="default"/>
      </w:rPr>
    </w:lvl>
    <w:lvl w:ilvl="1">
      <w:start w:val="1"/>
      <w:numFmt w:val="decimal"/>
      <w:lvlText w:val="%1.%2."/>
      <w:lvlJc w:val="left"/>
      <w:pPr>
        <w:ind w:left="1080" w:hanging="72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0900CF8"/>
    <w:multiLevelType w:val="multilevel"/>
    <w:tmpl w:val="2BCE0D1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404669"/>
    <w:multiLevelType w:val="multilevel"/>
    <w:tmpl w:val="0CD249FA"/>
    <w:lvl w:ilvl="0">
      <w:start w:val="1"/>
      <w:numFmt w:val="decimal"/>
      <w:lvlText w:val="%1."/>
      <w:lvlJc w:val="left"/>
      <w:pPr>
        <w:ind w:left="36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 w15:restartNumberingAfterBreak="0">
    <w:nsid w:val="6FE736DC"/>
    <w:multiLevelType w:val="multilevel"/>
    <w:tmpl w:val="4D0091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90802AC"/>
    <w:multiLevelType w:val="hybridMultilevel"/>
    <w:tmpl w:val="58669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2239782">
    <w:abstractNumId w:val="6"/>
  </w:num>
  <w:num w:numId="2" w16cid:durableId="1848133185">
    <w:abstractNumId w:val="5"/>
  </w:num>
  <w:num w:numId="3" w16cid:durableId="1616790888">
    <w:abstractNumId w:val="4"/>
  </w:num>
  <w:num w:numId="4" w16cid:durableId="798183404">
    <w:abstractNumId w:val="0"/>
  </w:num>
  <w:num w:numId="5" w16cid:durableId="1116438443">
    <w:abstractNumId w:val="3"/>
  </w:num>
  <w:num w:numId="6" w16cid:durableId="2011445618">
    <w:abstractNumId w:val="2"/>
  </w:num>
  <w:num w:numId="7" w16cid:durableId="156201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2"/>
    <w:rsid w:val="00001373"/>
    <w:rsid w:val="0000389F"/>
    <w:rsid w:val="000038B5"/>
    <w:rsid w:val="00004BC1"/>
    <w:rsid w:val="00017875"/>
    <w:rsid w:val="0001798B"/>
    <w:rsid w:val="00022219"/>
    <w:rsid w:val="0002546D"/>
    <w:rsid w:val="00030875"/>
    <w:rsid w:val="0003401E"/>
    <w:rsid w:val="00034D64"/>
    <w:rsid w:val="00041DFA"/>
    <w:rsid w:val="000515B5"/>
    <w:rsid w:val="000520C5"/>
    <w:rsid w:val="000522DE"/>
    <w:rsid w:val="0005434C"/>
    <w:rsid w:val="00054F58"/>
    <w:rsid w:val="00061F0D"/>
    <w:rsid w:val="00062063"/>
    <w:rsid w:val="000707C8"/>
    <w:rsid w:val="000709D8"/>
    <w:rsid w:val="0007319C"/>
    <w:rsid w:val="0007472B"/>
    <w:rsid w:val="00074C9D"/>
    <w:rsid w:val="00075800"/>
    <w:rsid w:val="0008163B"/>
    <w:rsid w:val="00083B63"/>
    <w:rsid w:val="000847E8"/>
    <w:rsid w:val="00085C7F"/>
    <w:rsid w:val="000921B1"/>
    <w:rsid w:val="000A01C8"/>
    <w:rsid w:val="000A5778"/>
    <w:rsid w:val="000A6753"/>
    <w:rsid w:val="000A67F8"/>
    <w:rsid w:val="000C32BD"/>
    <w:rsid w:val="000C4350"/>
    <w:rsid w:val="000C676C"/>
    <w:rsid w:val="000D08C2"/>
    <w:rsid w:val="000D5AC6"/>
    <w:rsid w:val="000D5DA4"/>
    <w:rsid w:val="000D70B5"/>
    <w:rsid w:val="000E08FB"/>
    <w:rsid w:val="000E245E"/>
    <w:rsid w:val="000E5454"/>
    <w:rsid w:val="000F21EB"/>
    <w:rsid w:val="000F3156"/>
    <w:rsid w:val="000F67A1"/>
    <w:rsid w:val="000F6E75"/>
    <w:rsid w:val="0010274C"/>
    <w:rsid w:val="00111D00"/>
    <w:rsid w:val="00116691"/>
    <w:rsid w:val="001168E7"/>
    <w:rsid w:val="00116AEE"/>
    <w:rsid w:val="00117F08"/>
    <w:rsid w:val="0012178D"/>
    <w:rsid w:val="00123063"/>
    <w:rsid w:val="00123446"/>
    <w:rsid w:val="00125185"/>
    <w:rsid w:val="0012633A"/>
    <w:rsid w:val="00130D86"/>
    <w:rsid w:val="0013104B"/>
    <w:rsid w:val="00131426"/>
    <w:rsid w:val="001321F8"/>
    <w:rsid w:val="001324C6"/>
    <w:rsid w:val="00141176"/>
    <w:rsid w:val="00142732"/>
    <w:rsid w:val="00145FA6"/>
    <w:rsid w:val="0015062B"/>
    <w:rsid w:val="00151C43"/>
    <w:rsid w:val="00153BF3"/>
    <w:rsid w:val="0015400A"/>
    <w:rsid w:val="0015428A"/>
    <w:rsid w:val="00174544"/>
    <w:rsid w:val="001759AC"/>
    <w:rsid w:val="00176DF7"/>
    <w:rsid w:val="001802B8"/>
    <w:rsid w:val="001830B3"/>
    <w:rsid w:val="0018528D"/>
    <w:rsid w:val="00192EBE"/>
    <w:rsid w:val="001A2E0D"/>
    <w:rsid w:val="001A5F93"/>
    <w:rsid w:val="001A76D6"/>
    <w:rsid w:val="001B04B8"/>
    <w:rsid w:val="001B1838"/>
    <w:rsid w:val="001B27EA"/>
    <w:rsid w:val="001B56B9"/>
    <w:rsid w:val="001C1491"/>
    <w:rsid w:val="001C1F39"/>
    <w:rsid w:val="001C365F"/>
    <w:rsid w:val="001C4A65"/>
    <w:rsid w:val="001C7F80"/>
    <w:rsid w:val="001D25CE"/>
    <w:rsid w:val="001D3666"/>
    <w:rsid w:val="001D368C"/>
    <w:rsid w:val="001D4414"/>
    <w:rsid w:val="001D69BE"/>
    <w:rsid w:val="001E31A3"/>
    <w:rsid w:val="001E6BC8"/>
    <w:rsid w:val="001F3836"/>
    <w:rsid w:val="001F42F6"/>
    <w:rsid w:val="001F4ADA"/>
    <w:rsid w:val="001F53D8"/>
    <w:rsid w:val="001F6A32"/>
    <w:rsid w:val="001F6C54"/>
    <w:rsid w:val="001F6D0C"/>
    <w:rsid w:val="001F7AFF"/>
    <w:rsid w:val="002018E7"/>
    <w:rsid w:val="0020201D"/>
    <w:rsid w:val="00202E3C"/>
    <w:rsid w:val="00211EDA"/>
    <w:rsid w:val="002124B5"/>
    <w:rsid w:val="00212F54"/>
    <w:rsid w:val="00214556"/>
    <w:rsid w:val="0021645C"/>
    <w:rsid w:val="00216C60"/>
    <w:rsid w:val="00220918"/>
    <w:rsid w:val="00224A33"/>
    <w:rsid w:val="002258ED"/>
    <w:rsid w:val="0023045D"/>
    <w:rsid w:val="0023048F"/>
    <w:rsid w:val="002375FD"/>
    <w:rsid w:val="00246140"/>
    <w:rsid w:val="002504A0"/>
    <w:rsid w:val="002510A8"/>
    <w:rsid w:val="00251E9E"/>
    <w:rsid w:val="00260350"/>
    <w:rsid w:val="00261E60"/>
    <w:rsid w:val="00262D36"/>
    <w:rsid w:val="00272FC9"/>
    <w:rsid w:val="00275F81"/>
    <w:rsid w:val="002800F6"/>
    <w:rsid w:val="00281697"/>
    <w:rsid w:val="00281708"/>
    <w:rsid w:val="0028322B"/>
    <w:rsid w:val="00283DF7"/>
    <w:rsid w:val="00285D82"/>
    <w:rsid w:val="0028624B"/>
    <w:rsid w:val="00290ED8"/>
    <w:rsid w:val="002912E8"/>
    <w:rsid w:val="00292A95"/>
    <w:rsid w:val="0029453A"/>
    <w:rsid w:val="002965CB"/>
    <w:rsid w:val="002A7EDD"/>
    <w:rsid w:val="002B5671"/>
    <w:rsid w:val="002B69B9"/>
    <w:rsid w:val="002C67D7"/>
    <w:rsid w:val="002E2688"/>
    <w:rsid w:val="002E2EDD"/>
    <w:rsid w:val="002F5C51"/>
    <w:rsid w:val="0030073D"/>
    <w:rsid w:val="00301714"/>
    <w:rsid w:val="003052CE"/>
    <w:rsid w:val="00312F1E"/>
    <w:rsid w:val="00314398"/>
    <w:rsid w:val="00314AAD"/>
    <w:rsid w:val="0032053B"/>
    <w:rsid w:val="0032456F"/>
    <w:rsid w:val="003248BA"/>
    <w:rsid w:val="003375FF"/>
    <w:rsid w:val="003439C6"/>
    <w:rsid w:val="003440DE"/>
    <w:rsid w:val="003448B3"/>
    <w:rsid w:val="003560C3"/>
    <w:rsid w:val="0036120E"/>
    <w:rsid w:val="003646BF"/>
    <w:rsid w:val="00366495"/>
    <w:rsid w:val="0037169D"/>
    <w:rsid w:val="0037280E"/>
    <w:rsid w:val="003805C5"/>
    <w:rsid w:val="00384FC5"/>
    <w:rsid w:val="00387F8F"/>
    <w:rsid w:val="00390DFC"/>
    <w:rsid w:val="003920B4"/>
    <w:rsid w:val="003949DC"/>
    <w:rsid w:val="00395D6C"/>
    <w:rsid w:val="003A1B98"/>
    <w:rsid w:val="003A61F5"/>
    <w:rsid w:val="003A6867"/>
    <w:rsid w:val="003B4D67"/>
    <w:rsid w:val="003B634C"/>
    <w:rsid w:val="003C264A"/>
    <w:rsid w:val="003C5BCD"/>
    <w:rsid w:val="003D23B9"/>
    <w:rsid w:val="003D41A3"/>
    <w:rsid w:val="003E1433"/>
    <w:rsid w:val="003E5D8E"/>
    <w:rsid w:val="003F0E62"/>
    <w:rsid w:val="003F1AC2"/>
    <w:rsid w:val="003F5B38"/>
    <w:rsid w:val="003F603D"/>
    <w:rsid w:val="00404D2A"/>
    <w:rsid w:val="0040501F"/>
    <w:rsid w:val="0040574B"/>
    <w:rsid w:val="00412E5A"/>
    <w:rsid w:val="00413117"/>
    <w:rsid w:val="00415540"/>
    <w:rsid w:val="00415A4A"/>
    <w:rsid w:val="004205B7"/>
    <w:rsid w:val="004222C7"/>
    <w:rsid w:val="004274B4"/>
    <w:rsid w:val="00427563"/>
    <w:rsid w:val="00427FC8"/>
    <w:rsid w:val="00435726"/>
    <w:rsid w:val="00445DE0"/>
    <w:rsid w:val="00447A32"/>
    <w:rsid w:val="00450442"/>
    <w:rsid w:val="004519CC"/>
    <w:rsid w:val="004542DA"/>
    <w:rsid w:val="00454FB6"/>
    <w:rsid w:val="0046453D"/>
    <w:rsid w:val="00465B02"/>
    <w:rsid w:val="004760CE"/>
    <w:rsid w:val="004765C1"/>
    <w:rsid w:val="00476F02"/>
    <w:rsid w:val="00480005"/>
    <w:rsid w:val="00490028"/>
    <w:rsid w:val="00490A8D"/>
    <w:rsid w:val="00490C5E"/>
    <w:rsid w:val="0049733E"/>
    <w:rsid w:val="004A2436"/>
    <w:rsid w:val="004A2D69"/>
    <w:rsid w:val="004A39C4"/>
    <w:rsid w:val="004A40B8"/>
    <w:rsid w:val="004A5F7E"/>
    <w:rsid w:val="004B0B1D"/>
    <w:rsid w:val="004C0A6B"/>
    <w:rsid w:val="004C0E30"/>
    <w:rsid w:val="004D0F6B"/>
    <w:rsid w:val="004D276F"/>
    <w:rsid w:val="004D3936"/>
    <w:rsid w:val="004D4285"/>
    <w:rsid w:val="004D5E12"/>
    <w:rsid w:val="004E18B3"/>
    <w:rsid w:val="004E3BA1"/>
    <w:rsid w:val="004E4F9F"/>
    <w:rsid w:val="004F111F"/>
    <w:rsid w:val="004F1709"/>
    <w:rsid w:val="004F2797"/>
    <w:rsid w:val="004F3765"/>
    <w:rsid w:val="004F74E8"/>
    <w:rsid w:val="00512BF8"/>
    <w:rsid w:val="00515034"/>
    <w:rsid w:val="0051667D"/>
    <w:rsid w:val="005204D7"/>
    <w:rsid w:val="005244C5"/>
    <w:rsid w:val="00524CFB"/>
    <w:rsid w:val="005275A2"/>
    <w:rsid w:val="00531F6F"/>
    <w:rsid w:val="00532103"/>
    <w:rsid w:val="00532AD2"/>
    <w:rsid w:val="0054278B"/>
    <w:rsid w:val="005437BC"/>
    <w:rsid w:val="005507ED"/>
    <w:rsid w:val="00551557"/>
    <w:rsid w:val="00552980"/>
    <w:rsid w:val="005532AB"/>
    <w:rsid w:val="00556276"/>
    <w:rsid w:val="005624AC"/>
    <w:rsid w:val="00574900"/>
    <w:rsid w:val="00585818"/>
    <w:rsid w:val="00591685"/>
    <w:rsid w:val="005A089F"/>
    <w:rsid w:val="005A1BC3"/>
    <w:rsid w:val="005A2EAB"/>
    <w:rsid w:val="005A4AC8"/>
    <w:rsid w:val="005B0639"/>
    <w:rsid w:val="005B1A26"/>
    <w:rsid w:val="005C426F"/>
    <w:rsid w:val="005C5EFB"/>
    <w:rsid w:val="005C6C1F"/>
    <w:rsid w:val="005C7E82"/>
    <w:rsid w:val="005D1E3A"/>
    <w:rsid w:val="005D527F"/>
    <w:rsid w:val="005E19FD"/>
    <w:rsid w:val="005E2198"/>
    <w:rsid w:val="005E3194"/>
    <w:rsid w:val="005E3CB5"/>
    <w:rsid w:val="005E4C8E"/>
    <w:rsid w:val="005E53F4"/>
    <w:rsid w:val="005E7E4A"/>
    <w:rsid w:val="005F36F0"/>
    <w:rsid w:val="005F4B71"/>
    <w:rsid w:val="006022CB"/>
    <w:rsid w:val="00607214"/>
    <w:rsid w:val="0062635F"/>
    <w:rsid w:val="0063004B"/>
    <w:rsid w:val="006342FC"/>
    <w:rsid w:val="0063713C"/>
    <w:rsid w:val="00641D40"/>
    <w:rsid w:val="006459A3"/>
    <w:rsid w:val="00651134"/>
    <w:rsid w:val="00653853"/>
    <w:rsid w:val="00654B46"/>
    <w:rsid w:val="00660FC4"/>
    <w:rsid w:val="00661A1E"/>
    <w:rsid w:val="00662406"/>
    <w:rsid w:val="00666E72"/>
    <w:rsid w:val="00675925"/>
    <w:rsid w:val="006800BE"/>
    <w:rsid w:val="006806BE"/>
    <w:rsid w:val="0068088F"/>
    <w:rsid w:val="00685492"/>
    <w:rsid w:val="00693D1C"/>
    <w:rsid w:val="0069582D"/>
    <w:rsid w:val="006A2962"/>
    <w:rsid w:val="006A3043"/>
    <w:rsid w:val="006A657E"/>
    <w:rsid w:val="006A74F2"/>
    <w:rsid w:val="006B1527"/>
    <w:rsid w:val="006B6F82"/>
    <w:rsid w:val="006C01CE"/>
    <w:rsid w:val="006C0783"/>
    <w:rsid w:val="006C1741"/>
    <w:rsid w:val="006C1A42"/>
    <w:rsid w:val="006C4C19"/>
    <w:rsid w:val="006D1A12"/>
    <w:rsid w:val="006D4D8B"/>
    <w:rsid w:val="006D549C"/>
    <w:rsid w:val="006D73F0"/>
    <w:rsid w:val="006E0BE4"/>
    <w:rsid w:val="006E6766"/>
    <w:rsid w:val="006E787C"/>
    <w:rsid w:val="006F6747"/>
    <w:rsid w:val="00702414"/>
    <w:rsid w:val="00706F8D"/>
    <w:rsid w:val="007128D4"/>
    <w:rsid w:val="007136D9"/>
    <w:rsid w:val="00713B41"/>
    <w:rsid w:val="00714636"/>
    <w:rsid w:val="007162AD"/>
    <w:rsid w:val="00716A8C"/>
    <w:rsid w:val="00716FC8"/>
    <w:rsid w:val="00725F73"/>
    <w:rsid w:val="00732451"/>
    <w:rsid w:val="00733348"/>
    <w:rsid w:val="00734A9F"/>
    <w:rsid w:val="00737C73"/>
    <w:rsid w:val="00737CC9"/>
    <w:rsid w:val="007400C2"/>
    <w:rsid w:val="00744A34"/>
    <w:rsid w:val="007500CC"/>
    <w:rsid w:val="007525F0"/>
    <w:rsid w:val="0075262A"/>
    <w:rsid w:val="00756346"/>
    <w:rsid w:val="00760057"/>
    <w:rsid w:val="007604B1"/>
    <w:rsid w:val="00760F62"/>
    <w:rsid w:val="007652A6"/>
    <w:rsid w:val="00770D07"/>
    <w:rsid w:val="0077500C"/>
    <w:rsid w:val="00776257"/>
    <w:rsid w:val="0078095E"/>
    <w:rsid w:val="00780B8D"/>
    <w:rsid w:val="00781855"/>
    <w:rsid w:val="00784B3B"/>
    <w:rsid w:val="00786798"/>
    <w:rsid w:val="00790484"/>
    <w:rsid w:val="0079274F"/>
    <w:rsid w:val="007940A6"/>
    <w:rsid w:val="00796945"/>
    <w:rsid w:val="007A2760"/>
    <w:rsid w:val="007A41C5"/>
    <w:rsid w:val="007A5D1A"/>
    <w:rsid w:val="007A604C"/>
    <w:rsid w:val="007B18C0"/>
    <w:rsid w:val="007B39AD"/>
    <w:rsid w:val="007B45FF"/>
    <w:rsid w:val="007B62A9"/>
    <w:rsid w:val="007C0CDD"/>
    <w:rsid w:val="007C7A43"/>
    <w:rsid w:val="007D0589"/>
    <w:rsid w:val="007D0F40"/>
    <w:rsid w:val="007D619D"/>
    <w:rsid w:val="007D6F7D"/>
    <w:rsid w:val="007D7368"/>
    <w:rsid w:val="007D789B"/>
    <w:rsid w:val="007E1759"/>
    <w:rsid w:val="007E3F28"/>
    <w:rsid w:val="007E64FC"/>
    <w:rsid w:val="007E6B86"/>
    <w:rsid w:val="007F057E"/>
    <w:rsid w:val="007F512D"/>
    <w:rsid w:val="0080157B"/>
    <w:rsid w:val="008020A4"/>
    <w:rsid w:val="00802EEE"/>
    <w:rsid w:val="008045C2"/>
    <w:rsid w:val="00807504"/>
    <w:rsid w:val="00807FF1"/>
    <w:rsid w:val="0081247F"/>
    <w:rsid w:val="00814515"/>
    <w:rsid w:val="00815BAC"/>
    <w:rsid w:val="00820C65"/>
    <w:rsid w:val="00821681"/>
    <w:rsid w:val="00821719"/>
    <w:rsid w:val="00822D4B"/>
    <w:rsid w:val="00822E71"/>
    <w:rsid w:val="0082546E"/>
    <w:rsid w:val="0082551F"/>
    <w:rsid w:val="0083195F"/>
    <w:rsid w:val="00832750"/>
    <w:rsid w:val="0083431C"/>
    <w:rsid w:val="00835504"/>
    <w:rsid w:val="008425DC"/>
    <w:rsid w:val="00842795"/>
    <w:rsid w:val="0084531E"/>
    <w:rsid w:val="008459EC"/>
    <w:rsid w:val="00845B2F"/>
    <w:rsid w:val="00850418"/>
    <w:rsid w:val="008518A9"/>
    <w:rsid w:val="008551A5"/>
    <w:rsid w:val="00861A15"/>
    <w:rsid w:val="00861F35"/>
    <w:rsid w:val="008672AF"/>
    <w:rsid w:val="0088154E"/>
    <w:rsid w:val="00881D99"/>
    <w:rsid w:val="008828F1"/>
    <w:rsid w:val="00885268"/>
    <w:rsid w:val="00893489"/>
    <w:rsid w:val="008952C0"/>
    <w:rsid w:val="008A41CF"/>
    <w:rsid w:val="008A45BB"/>
    <w:rsid w:val="008A6B9F"/>
    <w:rsid w:val="008B45C7"/>
    <w:rsid w:val="008B5C46"/>
    <w:rsid w:val="008B64AD"/>
    <w:rsid w:val="008C1391"/>
    <w:rsid w:val="008C315E"/>
    <w:rsid w:val="008D2797"/>
    <w:rsid w:val="008D312D"/>
    <w:rsid w:val="008D4D76"/>
    <w:rsid w:val="008E5AEA"/>
    <w:rsid w:val="008F1C0A"/>
    <w:rsid w:val="008F5C50"/>
    <w:rsid w:val="008F6992"/>
    <w:rsid w:val="00902868"/>
    <w:rsid w:val="00902B95"/>
    <w:rsid w:val="009063BD"/>
    <w:rsid w:val="00914D9F"/>
    <w:rsid w:val="0091504D"/>
    <w:rsid w:val="009157E5"/>
    <w:rsid w:val="00922E6C"/>
    <w:rsid w:val="00923F42"/>
    <w:rsid w:val="009348D6"/>
    <w:rsid w:val="009376EE"/>
    <w:rsid w:val="00941959"/>
    <w:rsid w:val="00941F1A"/>
    <w:rsid w:val="00944682"/>
    <w:rsid w:val="00944C09"/>
    <w:rsid w:val="00950710"/>
    <w:rsid w:val="009513D9"/>
    <w:rsid w:val="009519CF"/>
    <w:rsid w:val="00952562"/>
    <w:rsid w:val="0095357B"/>
    <w:rsid w:val="00954E44"/>
    <w:rsid w:val="00956750"/>
    <w:rsid w:val="009567CD"/>
    <w:rsid w:val="00956DA7"/>
    <w:rsid w:val="00963953"/>
    <w:rsid w:val="00963A10"/>
    <w:rsid w:val="0096528B"/>
    <w:rsid w:val="00970950"/>
    <w:rsid w:val="00970F07"/>
    <w:rsid w:val="00974076"/>
    <w:rsid w:val="0098342E"/>
    <w:rsid w:val="009844A8"/>
    <w:rsid w:val="00985C0F"/>
    <w:rsid w:val="00992497"/>
    <w:rsid w:val="0099268E"/>
    <w:rsid w:val="0099287B"/>
    <w:rsid w:val="00994828"/>
    <w:rsid w:val="00995D9A"/>
    <w:rsid w:val="009A1D88"/>
    <w:rsid w:val="009A2932"/>
    <w:rsid w:val="009A70F4"/>
    <w:rsid w:val="009B2617"/>
    <w:rsid w:val="009B28AB"/>
    <w:rsid w:val="009B2ECD"/>
    <w:rsid w:val="009B7401"/>
    <w:rsid w:val="009C0A7F"/>
    <w:rsid w:val="009C0EF7"/>
    <w:rsid w:val="009C241E"/>
    <w:rsid w:val="009C6E3D"/>
    <w:rsid w:val="009D0ABC"/>
    <w:rsid w:val="009D1CE1"/>
    <w:rsid w:val="009E08A6"/>
    <w:rsid w:val="009F3310"/>
    <w:rsid w:val="009F41F5"/>
    <w:rsid w:val="009F78C5"/>
    <w:rsid w:val="00A05D2A"/>
    <w:rsid w:val="00A06EEC"/>
    <w:rsid w:val="00A10F7B"/>
    <w:rsid w:val="00A117C3"/>
    <w:rsid w:val="00A11D27"/>
    <w:rsid w:val="00A138A4"/>
    <w:rsid w:val="00A14968"/>
    <w:rsid w:val="00A15C8B"/>
    <w:rsid w:val="00A162D9"/>
    <w:rsid w:val="00A2238E"/>
    <w:rsid w:val="00A24D47"/>
    <w:rsid w:val="00A31953"/>
    <w:rsid w:val="00A40440"/>
    <w:rsid w:val="00A40E16"/>
    <w:rsid w:val="00A41DE2"/>
    <w:rsid w:val="00A421AC"/>
    <w:rsid w:val="00A435AF"/>
    <w:rsid w:val="00A436F4"/>
    <w:rsid w:val="00A440D0"/>
    <w:rsid w:val="00A503A2"/>
    <w:rsid w:val="00A54ACD"/>
    <w:rsid w:val="00A5791C"/>
    <w:rsid w:val="00A774F7"/>
    <w:rsid w:val="00A920DA"/>
    <w:rsid w:val="00A92404"/>
    <w:rsid w:val="00AA08A2"/>
    <w:rsid w:val="00AA2A51"/>
    <w:rsid w:val="00AA2E80"/>
    <w:rsid w:val="00AA3E98"/>
    <w:rsid w:val="00AB32A2"/>
    <w:rsid w:val="00AB479A"/>
    <w:rsid w:val="00AC083D"/>
    <w:rsid w:val="00AC55A7"/>
    <w:rsid w:val="00AD1E93"/>
    <w:rsid w:val="00AD6F02"/>
    <w:rsid w:val="00AE0E59"/>
    <w:rsid w:val="00AE1F08"/>
    <w:rsid w:val="00AE39FA"/>
    <w:rsid w:val="00AE5320"/>
    <w:rsid w:val="00AE5F25"/>
    <w:rsid w:val="00AE7AE6"/>
    <w:rsid w:val="00AF000A"/>
    <w:rsid w:val="00AF151E"/>
    <w:rsid w:val="00AF7712"/>
    <w:rsid w:val="00B00B15"/>
    <w:rsid w:val="00B05D37"/>
    <w:rsid w:val="00B13409"/>
    <w:rsid w:val="00B20742"/>
    <w:rsid w:val="00B22EAD"/>
    <w:rsid w:val="00B22EBE"/>
    <w:rsid w:val="00B2490E"/>
    <w:rsid w:val="00B255D5"/>
    <w:rsid w:val="00B25A27"/>
    <w:rsid w:val="00B25AFD"/>
    <w:rsid w:val="00B26554"/>
    <w:rsid w:val="00B30674"/>
    <w:rsid w:val="00B31F7F"/>
    <w:rsid w:val="00B32366"/>
    <w:rsid w:val="00B3340A"/>
    <w:rsid w:val="00B34678"/>
    <w:rsid w:val="00B46958"/>
    <w:rsid w:val="00B509BF"/>
    <w:rsid w:val="00B521DE"/>
    <w:rsid w:val="00B53D87"/>
    <w:rsid w:val="00B57939"/>
    <w:rsid w:val="00B6412B"/>
    <w:rsid w:val="00B710F7"/>
    <w:rsid w:val="00B7280B"/>
    <w:rsid w:val="00B806F7"/>
    <w:rsid w:val="00B80D92"/>
    <w:rsid w:val="00B83D4A"/>
    <w:rsid w:val="00B83E07"/>
    <w:rsid w:val="00B905A8"/>
    <w:rsid w:val="00B9133A"/>
    <w:rsid w:val="00B9460E"/>
    <w:rsid w:val="00BA304E"/>
    <w:rsid w:val="00BB509F"/>
    <w:rsid w:val="00BC0886"/>
    <w:rsid w:val="00BC72D0"/>
    <w:rsid w:val="00BC771B"/>
    <w:rsid w:val="00BD3C31"/>
    <w:rsid w:val="00BD581A"/>
    <w:rsid w:val="00BE1F4D"/>
    <w:rsid w:val="00BE2F6C"/>
    <w:rsid w:val="00BE3945"/>
    <w:rsid w:val="00BE7154"/>
    <w:rsid w:val="00BE75A5"/>
    <w:rsid w:val="00BF51F5"/>
    <w:rsid w:val="00BF528B"/>
    <w:rsid w:val="00BF6179"/>
    <w:rsid w:val="00BF6F4E"/>
    <w:rsid w:val="00BF778C"/>
    <w:rsid w:val="00C00253"/>
    <w:rsid w:val="00C01BC1"/>
    <w:rsid w:val="00C01F2F"/>
    <w:rsid w:val="00C025ED"/>
    <w:rsid w:val="00C03AF6"/>
    <w:rsid w:val="00C03F2A"/>
    <w:rsid w:val="00C06A03"/>
    <w:rsid w:val="00C17766"/>
    <w:rsid w:val="00C2092E"/>
    <w:rsid w:val="00C21B65"/>
    <w:rsid w:val="00C240EC"/>
    <w:rsid w:val="00C25073"/>
    <w:rsid w:val="00C27C31"/>
    <w:rsid w:val="00C305A3"/>
    <w:rsid w:val="00C31525"/>
    <w:rsid w:val="00C31E2C"/>
    <w:rsid w:val="00C331F2"/>
    <w:rsid w:val="00C33668"/>
    <w:rsid w:val="00C373EB"/>
    <w:rsid w:val="00C40E35"/>
    <w:rsid w:val="00C411CF"/>
    <w:rsid w:val="00C4181C"/>
    <w:rsid w:val="00C45DAB"/>
    <w:rsid w:val="00C530FE"/>
    <w:rsid w:val="00C53884"/>
    <w:rsid w:val="00C56E5E"/>
    <w:rsid w:val="00C56FFA"/>
    <w:rsid w:val="00C6310D"/>
    <w:rsid w:val="00C63527"/>
    <w:rsid w:val="00C63C0B"/>
    <w:rsid w:val="00C67AFE"/>
    <w:rsid w:val="00C7191A"/>
    <w:rsid w:val="00C72702"/>
    <w:rsid w:val="00C73E47"/>
    <w:rsid w:val="00C74F83"/>
    <w:rsid w:val="00C767D1"/>
    <w:rsid w:val="00C86623"/>
    <w:rsid w:val="00C87ADF"/>
    <w:rsid w:val="00C90629"/>
    <w:rsid w:val="00C90BED"/>
    <w:rsid w:val="00C920BC"/>
    <w:rsid w:val="00CA0EAF"/>
    <w:rsid w:val="00CA204B"/>
    <w:rsid w:val="00CA4CCC"/>
    <w:rsid w:val="00CA4DAA"/>
    <w:rsid w:val="00CA6167"/>
    <w:rsid w:val="00CB378B"/>
    <w:rsid w:val="00CC28B7"/>
    <w:rsid w:val="00CC5471"/>
    <w:rsid w:val="00CC5CE5"/>
    <w:rsid w:val="00CC5E01"/>
    <w:rsid w:val="00CD0167"/>
    <w:rsid w:val="00CD09E3"/>
    <w:rsid w:val="00CD2B6C"/>
    <w:rsid w:val="00CD334C"/>
    <w:rsid w:val="00CE58A2"/>
    <w:rsid w:val="00CF1181"/>
    <w:rsid w:val="00D01EC4"/>
    <w:rsid w:val="00D0344D"/>
    <w:rsid w:val="00D046C2"/>
    <w:rsid w:val="00D057BA"/>
    <w:rsid w:val="00D10939"/>
    <w:rsid w:val="00D131FD"/>
    <w:rsid w:val="00D15A2D"/>
    <w:rsid w:val="00D16388"/>
    <w:rsid w:val="00D230F5"/>
    <w:rsid w:val="00D26F29"/>
    <w:rsid w:val="00D3535D"/>
    <w:rsid w:val="00D378F8"/>
    <w:rsid w:val="00D37BCD"/>
    <w:rsid w:val="00D404F5"/>
    <w:rsid w:val="00D463A2"/>
    <w:rsid w:val="00D5012B"/>
    <w:rsid w:val="00D517B6"/>
    <w:rsid w:val="00D52100"/>
    <w:rsid w:val="00D53AC5"/>
    <w:rsid w:val="00D551AE"/>
    <w:rsid w:val="00D55A3D"/>
    <w:rsid w:val="00D57E2C"/>
    <w:rsid w:val="00D60C7A"/>
    <w:rsid w:val="00D703D3"/>
    <w:rsid w:val="00D710F6"/>
    <w:rsid w:val="00D76D1F"/>
    <w:rsid w:val="00D85C81"/>
    <w:rsid w:val="00D863D6"/>
    <w:rsid w:val="00D87F99"/>
    <w:rsid w:val="00D90968"/>
    <w:rsid w:val="00D923AD"/>
    <w:rsid w:val="00D92727"/>
    <w:rsid w:val="00D9319C"/>
    <w:rsid w:val="00D9372F"/>
    <w:rsid w:val="00D95442"/>
    <w:rsid w:val="00D95A96"/>
    <w:rsid w:val="00DA0993"/>
    <w:rsid w:val="00DB01E5"/>
    <w:rsid w:val="00DB64D3"/>
    <w:rsid w:val="00DB6DD6"/>
    <w:rsid w:val="00DC3136"/>
    <w:rsid w:val="00DC39E3"/>
    <w:rsid w:val="00DC43CF"/>
    <w:rsid w:val="00DC6985"/>
    <w:rsid w:val="00DD4375"/>
    <w:rsid w:val="00DD7228"/>
    <w:rsid w:val="00DE2625"/>
    <w:rsid w:val="00DE3438"/>
    <w:rsid w:val="00DE4DE0"/>
    <w:rsid w:val="00DE4F3B"/>
    <w:rsid w:val="00DE5521"/>
    <w:rsid w:val="00DF09AA"/>
    <w:rsid w:val="00E01B1A"/>
    <w:rsid w:val="00E0221D"/>
    <w:rsid w:val="00E04899"/>
    <w:rsid w:val="00E04EEB"/>
    <w:rsid w:val="00E060A5"/>
    <w:rsid w:val="00E06A7A"/>
    <w:rsid w:val="00E07B12"/>
    <w:rsid w:val="00E10F35"/>
    <w:rsid w:val="00E113DA"/>
    <w:rsid w:val="00E2118F"/>
    <w:rsid w:val="00E217EC"/>
    <w:rsid w:val="00E23FE5"/>
    <w:rsid w:val="00E249AF"/>
    <w:rsid w:val="00E24F07"/>
    <w:rsid w:val="00E3719B"/>
    <w:rsid w:val="00E43374"/>
    <w:rsid w:val="00E44632"/>
    <w:rsid w:val="00E452CB"/>
    <w:rsid w:val="00E45ED8"/>
    <w:rsid w:val="00E47BFB"/>
    <w:rsid w:val="00E51BFF"/>
    <w:rsid w:val="00E51ECF"/>
    <w:rsid w:val="00E5251A"/>
    <w:rsid w:val="00E5526E"/>
    <w:rsid w:val="00E60B80"/>
    <w:rsid w:val="00E64B34"/>
    <w:rsid w:val="00E65C52"/>
    <w:rsid w:val="00E71A14"/>
    <w:rsid w:val="00E72CB8"/>
    <w:rsid w:val="00E76503"/>
    <w:rsid w:val="00E77D2E"/>
    <w:rsid w:val="00E83921"/>
    <w:rsid w:val="00E839AD"/>
    <w:rsid w:val="00E85776"/>
    <w:rsid w:val="00E86BF8"/>
    <w:rsid w:val="00E90FD4"/>
    <w:rsid w:val="00E921D1"/>
    <w:rsid w:val="00E9565B"/>
    <w:rsid w:val="00E97478"/>
    <w:rsid w:val="00EA3775"/>
    <w:rsid w:val="00EA47FF"/>
    <w:rsid w:val="00EB0203"/>
    <w:rsid w:val="00EC1952"/>
    <w:rsid w:val="00EC54EA"/>
    <w:rsid w:val="00EC72B0"/>
    <w:rsid w:val="00EC7D16"/>
    <w:rsid w:val="00EC7D98"/>
    <w:rsid w:val="00ED281E"/>
    <w:rsid w:val="00EE26C3"/>
    <w:rsid w:val="00EE4BFB"/>
    <w:rsid w:val="00EF1E07"/>
    <w:rsid w:val="00EF20F0"/>
    <w:rsid w:val="00EF4EB3"/>
    <w:rsid w:val="00EF5BB2"/>
    <w:rsid w:val="00EF5E08"/>
    <w:rsid w:val="00EF77EA"/>
    <w:rsid w:val="00F01D37"/>
    <w:rsid w:val="00F02E5C"/>
    <w:rsid w:val="00F02F07"/>
    <w:rsid w:val="00F04133"/>
    <w:rsid w:val="00F12210"/>
    <w:rsid w:val="00F12461"/>
    <w:rsid w:val="00F20A17"/>
    <w:rsid w:val="00F25494"/>
    <w:rsid w:val="00F25E2E"/>
    <w:rsid w:val="00F30B75"/>
    <w:rsid w:val="00F31659"/>
    <w:rsid w:val="00F32408"/>
    <w:rsid w:val="00F33752"/>
    <w:rsid w:val="00F369FE"/>
    <w:rsid w:val="00F3778C"/>
    <w:rsid w:val="00F4544D"/>
    <w:rsid w:val="00F45620"/>
    <w:rsid w:val="00F6106C"/>
    <w:rsid w:val="00F622BB"/>
    <w:rsid w:val="00F63C37"/>
    <w:rsid w:val="00F673F2"/>
    <w:rsid w:val="00F67533"/>
    <w:rsid w:val="00F67786"/>
    <w:rsid w:val="00F718A7"/>
    <w:rsid w:val="00F80215"/>
    <w:rsid w:val="00F87094"/>
    <w:rsid w:val="00F91A79"/>
    <w:rsid w:val="00F924C3"/>
    <w:rsid w:val="00F93F4A"/>
    <w:rsid w:val="00FA03A3"/>
    <w:rsid w:val="00FA0995"/>
    <w:rsid w:val="00FA3F32"/>
    <w:rsid w:val="00FA7CD0"/>
    <w:rsid w:val="00FB459E"/>
    <w:rsid w:val="00FB464F"/>
    <w:rsid w:val="00FB580F"/>
    <w:rsid w:val="00FB611F"/>
    <w:rsid w:val="00FB79CE"/>
    <w:rsid w:val="00FC0A59"/>
    <w:rsid w:val="00FC0DE7"/>
    <w:rsid w:val="00FC38D4"/>
    <w:rsid w:val="00FD21EC"/>
    <w:rsid w:val="00FD5250"/>
    <w:rsid w:val="00FE3E3C"/>
    <w:rsid w:val="00FE3E48"/>
    <w:rsid w:val="00FE4FFF"/>
    <w:rsid w:val="00FF0D71"/>
    <w:rsid w:val="00FF3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5610"/>
  <w15:chartTrackingRefBased/>
  <w15:docId w15:val="{70D689C0-DA62-40F4-BA7B-67F7C9ED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F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81855"/>
    <w:pPr>
      <w:keepNext/>
      <w:numPr>
        <w:numId w:val="2"/>
      </w:numPr>
      <w:tabs>
        <w:tab w:val="left" w:pos="851"/>
        <w:tab w:val="left" w:pos="1701"/>
      </w:tabs>
      <w:spacing w:before="360" w:after="240"/>
      <w:jc w:val="both"/>
      <w:outlineLvl w:val="0"/>
    </w:pPr>
    <w:rPr>
      <w:rFonts w:ascii="Arial" w:hAnsi="Arial"/>
      <w:b/>
      <w:bCs/>
      <w:lang w:val="lt-LT"/>
    </w:rPr>
  </w:style>
  <w:style w:type="paragraph" w:styleId="Heading2">
    <w:name w:val="heading 2"/>
    <w:basedOn w:val="Normal"/>
    <w:next w:val="Normal"/>
    <w:link w:val="Heading2Char"/>
    <w:qFormat/>
    <w:rsid w:val="00781855"/>
    <w:pPr>
      <w:keepNext/>
      <w:numPr>
        <w:ilvl w:val="1"/>
        <w:numId w:val="2"/>
      </w:numPr>
      <w:tabs>
        <w:tab w:val="left" w:pos="567"/>
      </w:tabs>
      <w:jc w:val="both"/>
      <w:outlineLvl w:val="1"/>
    </w:pPr>
    <w:rPr>
      <w:rFonts w:ascii="Arial" w:hAnsi="Arial"/>
      <w:sz w:val="20"/>
      <w:lang w:val="lt-LT"/>
    </w:rPr>
  </w:style>
  <w:style w:type="paragraph" w:styleId="Heading4">
    <w:name w:val="heading 4"/>
    <w:basedOn w:val="Normal"/>
    <w:next w:val="Normal"/>
    <w:link w:val="Heading4Char"/>
    <w:uiPriority w:val="9"/>
    <w:qFormat/>
    <w:rsid w:val="00781855"/>
    <w:pPr>
      <w:keepNext/>
      <w:numPr>
        <w:ilvl w:val="3"/>
        <w:numId w:val="2"/>
      </w:numPr>
      <w:ind w:left="0" w:firstLine="0"/>
      <w:jc w:val="both"/>
      <w:outlineLvl w:val="3"/>
    </w:pPr>
    <w:rPr>
      <w:rFonts w:ascii="Arial" w:hAnsi="Arial"/>
      <w:bCs/>
      <w:i/>
      <w:sz w:val="20"/>
      <w:szCs w:val="28"/>
      <w:lang w:val="lt-LT"/>
    </w:rPr>
  </w:style>
  <w:style w:type="paragraph" w:styleId="Heading5">
    <w:name w:val="heading 5"/>
    <w:basedOn w:val="Normal"/>
    <w:next w:val="Normal"/>
    <w:link w:val="Heading5Char"/>
    <w:qFormat/>
    <w:rsid w:val="00781855"/>
    <w:pPr>
      <w:numPr>
        <w:ilvl w:val="4"/>
        <w:numId w:val="2"/>
      </w:numPr>
      <w:spacing w:before="240" w:after="60"/>
      <w:ind w:left="0" w:firstLine="0"/>
      <w:jc w:val="both"/>
      <w:outlineLvl w:val="4"/>
    </w:pPr>
    <w:rPr>
      <w:rFonts w:ascii="Arial" w:hAnsi="Arial"/>
      <w:bCs/>
      <w:i/>
      <w:iCs/>
      <w:sz w:val="20"/>
      <w:szCs w:val="26"/>
      <w:lang w:val="lt-LT"/>
    </w:rPr>
  </w:style>
  <w:style w:type="paragraph" w:styleId="Heading6">
    <w:name w:val="heading 6"/>
    <w:basedOn w:val="Normal"/>
    <w:next w:val="Normal"/>
    <w:link w:val="Heading6Char"/>
    <w:uiPriority w:val="9"/>
    <w:qFormat/>
    <w:rsid w:val="00781855"/>
    <w:pPr>
      <w:numPr>
        <w:ilvl w:val="5"/>
        <w:numId w:val="2"/>
      </w:numPr>
      <w:spacing w:before="240" w:after="60"/>
      <w:ind w:left="0" w:firstLine="0"/>
      <w:jc w:val="both"/>
      <w:outlineLvl w:val="5"/>
    </w:pPr>
    <w:rPr>
      <w:rFonts w:ascii="Arial" w:hAnsi="Arial"/>
      <w:b/>
      <w:bCs/>
      <w:sz w:val="20"/>
      <w:szCs w:val="22"/>
      <w:lang w:val="lt-LT"/>
    </w:rPr>
  </w:style>
  <w:style w:type="paragraph" w:styleId="Heading7">
    <w:name w:val="heading 7"/>
    <w:basedOn w:val="Normal"/>
    <w:next w:val="Normal"/>
    <w:link w:val="Heading7Char"/>
    <w:semiHidden/>
    <w:unhideWhenUsed/>
    <w:qFormat/>
    <w:rsid w:val="00781855"/>
    <w:pPr>
      <w:numPr>
        <w:ilvl w:val="6"/>
        <w:numId w:val="2"/>
      </w:numPr>
      <w:spacing w:before="240" w:after="60"/>
      <w:ind w:left="0" w:firstLine="0"/>
      <w:jc w:val="both"/>
      <w:outlineLvl w:val="6"/>
    </w:pPr>
    <w:rPr>
      <w:rFonts w:ascii="Calibri" w:hAnsi="Calibri"/>
      <w:sz w:val="20"/>
      <w:lang w:val="ru-RU"/>
    </w:rPr>
  </w:style>
  <w:style w:type="paragraph" w:styleId="Heading8">
    <w:name w:val="heading 8"/>
    <w:basedOn w:val="Normal"/>
    <w:next w:val="Normal"/>
    <w:link w:val="Heading8Char"/>
    <w:uiPriority w:val="9"/>
    <w:semiHidden/>
    <w:unhideWhenUsed/>
    <w:qFormat/>
    <w:rsid w:val="00781855"/>
    <w:pPr>
      <w:keepNext/>
      <w:keepLines/>
      <w:numPr>
        <w:ilvl w:val="7"/>
        <w:numId w:val="2"/>
      </w:numPr>
      <w:spacing w:before="40"/>
      <w:ind w:left="0" w:firstLine="0"/>
      <w:jc w:val="both"/>
      <w:outlineLvl w:val="7"/>
    </w:pPr>
    <w:rPr>
      <w:rFonts w:asciiTheme="majorHAnsi" w:eastAsiaTheme="majorEastAsia" w:hAnsiTheme="majorHAnsi" w:cstheme="majorBidi"/>
      <w:color w:val="272727" w:themeColor="text1" w:themeTint="D8"/>
      <w:sz w:val="21"/>
      <w:szCs w:val="21"/>
      <w:lang w:val="lt-LT"/>
    </w:rPr>
  </w:style>
  <w:style w:type="paragraph" w:styleId="Heading9">
    <w:name w:val="heading 9"/>
    <w:basedOn w:val="Normal"/>
    <w:next w:val="Normal"/>
    <w:link w:val="Heading9Char"/>
    <w:uiPriority w:val="9"/>
    <w:unhideWhenUsed/>
    <w:qFormat/>
    <w:rsid w:val="00781855"/>
    <w:pPr>
      <w:keepNext/>
      <w:keepLines/>
      <w:numPr>
        <w:ilvl w:val="8"/>
        <w:numId w:val="2"/>
      </w:numPr>
      <w:spacing w:before="40"/>
      <w:ind w:left="0" w:firstLine="0"/>
      <w:jc w:val="both"/>
      <w:outlineLvl w:val="8"/>
    </w:pPr>
    <w:rPr>
      <w:rFonts w:asciiTheme="majorHAnsi" w:eastAsiaTheme="majorEastAsia" w:hAnsiTheme="majorHAnsi" w:cstheme="majorBidi"/>
      <w:i/>
      <w:iCs/>
      <w:color w:val="272727" w:themeColor="text1" w:themeTint="D8"/>
      <w:sz w:val="21"/>
      <w:szCs w:val="21"/>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1F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331F2"/>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331F2"/>
  </w:style>
  <w:style w:type="paragraph" w:styleId="Header">
    <w:name w:val="header"/>
    <w:basedOn w:val="Normal"/>
    <w:link w:val="HeaderChar"/>
    <w:uiPriority w:val="99"/>
    <w:unhideWhenUsed/>
    <w:rsid w:val="00C331F2"/>
    <w:pPr>
      <w:tabs>
        <w:tab w:val="center" w:pos="4819"/>
        <w:tab w:val="right" w:pos="9638"/>
      </w:tabs>
    </w:pPr>
  </w:style>
  <w:style w:type="character" w:customStyle="1" w:styleId="HeaderChar">
    <w:name w:val="Header Char"/>
    <w:basedOn w:val="DefaultParagraphFont"/>
    <w:link w:val="Header"/>
    <w:uiPriority w:val="99"/>
    <w:rsid w:val="00C331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31F2"/>
    <w:pPr>
      <w:tabs>
        <w:tab w:val="center" w:pos="4819"/>
        <w:tab w:val="right" w:pos="9638"/>
      </w:tabs>
    </w:pPr>
  </w:style>
  <w:style w:type="character" w:customStyle="1" w:styleId="FooterChar">
    <w:name w:val="Footer Char"/>
    <w:basedOn w:val="DefaultParagraphFont"/>
    <w:link w:val="Footer"/>
    <w:uiPriority w:val="99"/>
    <w:rsid w:val="00C331F2"/>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781855"/>
    <w:rPr>
      <w:rFonts w:ascii="Arial" w:eastAsia="Times New Roman" w:hAnsi="Arial" w:cs="Times New Roman"/>
      <w:b/>
      <w:bCs/>
      <w:sz w:val="24"/>
      <w:szCs w:val="24"/>
    </w:rPr>
  </w:style>
  <w:style w:type="character" w:customStyle="1" w:styleId="Heading2Char">
    <w:name w:val="Heading 2 Char"/>
    <w:basedOn w:val="DefaultParagraphFont"/>
    <w:link w:val="Heading2"/>
    <w:rsid w:val="00781855"/>
    <w:rPr>
      <w:rFonts w:ascii="Arial" w:eastAsia="Times New Roman" w:hAnsi="Arial" w:cs="Times New Roman"/>
      <w:sz w:val="20"/>
      <w:szCs w:val="24"/>
    </w:rPr>
  </w:style>
  <w:style w:type="character" w:customStyle="1" w:styleId="Heading4Char">
    <w:name w:val="Heading 4 Char"/>
    <w:basedOn w:val="DefaultParagraphFont"/>
    <w:link w:val="Heading4"/>
    <w:uiPriority w:val="9"/>
    <w:rsid w:val="00781855"/>
    <w:rPr>
      <w:rFonts w:ascii="Arial" w:eastAsia="Times New Roman" w:hAnsi="Arial" w:cs="Times New Roman"/>
      <w:bCs/>
      <w:i/>
      <w:sz w:val="20"/>
      <w:szCs w:val="28"/>
    </w:rPr>
  </w:style>
  <w:style w:type="character" w:customStyle="1" w:styleId="Heading5Char">
    <w:name w:val="Heading 5 Char"/>
    <w:basedOn w:val="DefaultParagraphFont"/>
    <w:link w:val="Heading5"/>
    <w:rsid w:val="00781855"/>
    <w:rPr>
      <w:rFonts w:ascii="Arial" w:eastAsia="Times New Roman" w:hAnsi="Arial" w:cs="Times New Roman"/>
      <w:bCs/>
      <w:i/>
      <w:iCs/>
      <w:sz w:val="20"/>
      <w:szCs w:val="26"/>
    </w:rPr>
  </w:style>
  <w:style w:type="character" w:customStyle="1" w:styleId="Heading6Char">
    <w:name w:val="Heading 6 Char"/>
    <w:basedOn w:val="DefaultParagraphFont"/>
    <w:link w:val="Heading6"/>
    <w:uiPriority w:val="9"/>
    <w:rsid w:val="00781855"/>
    <w:rPr>
      <w:rFonts w:ascii="Arial" w:eastAsia="Times New Roman" w:hAnsi="Arial" w:cs="Times New Roman"/>
      <w:b/>
      <w:bCs/>
      <w:sz w:val="20"/>
    </w:rPr>
  </w:style>
  <w:style w:type="character" w:customStyle="1" w:styleId="Heading7Char">
    <w:name w:val="Heading 7 Char"/>
    <w:basedOn w:val="DefaultParagraphFont"/>
    <w:link w:val="Heading7"/>
    <w:semiHidden/>
    <w:rsid w:val="00781855"/>
    <w:rPr>
      <w:rFonts w:ascii="Calibri" w:eastAsia="Times New Roman" w:hAnsi="Calibri" w:cs="Times New Roman"/>
      <w:sz w:val="20"/>
      <w:szCs w:val="24"/>
      <w:lang w:val="ru-RU"/>
    </w:rPr>
  </w:style>
  <w:style w:type="character" w:customStyle="1" w:styleId="Heading8Char">
    <w:name w:val="Heading 8 Char"/>
    <w:basedOn w:val="DefaultParagraphFont"/>
    <w:link w:val="Heading8"/>
    <w:uiPriority w:val="9"/>
    <w:semiHidden/>
    <w:rsid w:val="007818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81855"/>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A920DA"/>
  </w:style>
  <w:style w:type="paragraph" w:styleId="CommentText">
    <w:name w:val="annotation text"/>
    <w:basedOn w:val="Normal"/>
    <w:link w:val="CommentTextChar"/>
    <w:uiPriority w:val="99"/>
    <w:unhideWhenUsed/>
    <w:rsid w:val="00476F02"/>
    <w:pPr>
      <w:ind w:firstLine="567"/>
      <w:jc w:val="both"/>
    </w:pPr>
    <w:rPr>
      <w:rFonts w:ascii="Arial" w:hAnsi="Arial"/>
      <w:sz w:val="20"/>
      <w:szCs w:val="20"/>
      <w:lang w:val="lt-LT"/>
    </w:rPr>
  </w:style>
  <w:style w:type="character" w:customStyle="1" w:styleId="CommentTextChar">
    <w:name w:val="Comment Text Char"/>
    <w:basedOn w:val="DefaultParagraphFont"/>
    <w:link w:val="CommentText"/>
    <w:uiPriority w:val="99"/>
    <w:rsid w:val="00476F0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90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A8D"/>
    <w:rPr>
      <w:rFonts w:ascii="Segoe UI" w:eastAsia="Times New Roman" w:hAnsi="Segoe UI" w:cs="Segoe UI"/>
      <w:sz w:val="18"/>
      <w:szCs w:val="18"/>
      <w:lang w:val="en-US"/>
    </w:rPr>
  </w:style>
  <w:style w:type="paragraph" w:customStyle="1" w:styleId="punkter">
    <w:name w:val="punkter"/>
    <w:basedOn w:val="Normal"/>
    <w:rsid w:val="00FB580F"/>
    <w:pPr>
      <w:numPr>
        <w:numId w:val="4"/>
      </w:numPr>
      <w:suppressAutoHyphens/>
      <w:jc w:val="both"/>
    </w:pPr>
    <w:rPr>
      <w:rFonts w:ascii="Tms Rmn" w:hAnsi="Tms Rmn"/>
      <w:sz w:val="20"/>
      <w:szCs w:val="20"/>
    </w:rPr>
  </w:style>
  <w:style w:type="character" w:customStyle="1" w:styleId="eop">
    <w:name w:val="eop"/>
    <w:basedOn w:val="DefaultParagraphFont"/>
    <w:rsid w:val="00653853"/>
  </w:style>
  <w:style w:type="character" w:styleId="CommentReference">
    <w:name w:val="annotation reference"/>
    <w:basedOn w:val="DefaultParagraphFont"/>
    <w:uiPriority w:val="99"/>
    <w:semiHidden/>
    <w:unhideWhenUsed/>
    <w:rsid w:val="00531F6F"/>
    <w:rPr>
      <w:sz w:val="16"/>
      <w:szCs w:val="16"/>
    </w:rPr>
  </w:style>
  <w:style w:type="paragraph" w:styleId="CommentSubject">
    <w:name w:val="annotation subject"/>
    <w:basedOn w:val="CommentText"/>
    <w:next w:val="CommentText"/>
    <w:link w:val="CommentSubjectChar"/>
    <w:uiPriority w:val="99"/>
    <w:semiHidden/>
    <w:unhideWhenUsed/>
    <w:rsid w:val="00531F6F"/>
    <w:pPr>
      <w:ind w:firstLine="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531F6F"/>
    <w:rPr>
      <w:rFonts w:ascii="Times New Roman" w:eastAsia="Times New Roman" w:hAnsi="Times New Roman" w:cs="Times New Roman"/>
      <w:b/>
      <w:bCs/>
      <w:sz w:val="20"/>
      <w:szCs w:val="20"/>
      <w:lang w:val="en-US"/>
    </w:rPr>
  </w:style>
  <w:style w:type="paragraph" w:customStyle="1" w:styleId="Default">
    <w:name w:val="Default"/>
    <w:rsid w:val="00756346"/>
    <w:pPr>
      <w:autoSpaceDE w:val="0"/>
      <w:autoSpaceDN w:val="0"/>
      <w:adjustRightInd w:val="0"/>
      <w:spacing w:after="0" w:line="240" w:lineRule="auto"/>
    </w:pPr>
    <w:rPr>
      <w:rFonts w:ascii="Arial" w:hAnsi="Arial" w:cs="Arial"/>
      <w:color w:val="000000"/>
      <w:sz w:val="24"/>
      <w:szCs w:val="24"/>
    </w:rPr>
  </w:style>
  <w:style w:type="paragraph" w:customStyle="1" w:styleId="Tekstas">
    <w:name w:val="Tekstas"/>
    <w:uiPriority w:val="99"/>
    <w:rsid w:val="00AD6F0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rsid w:val="007D619D"/>
    <w:pPr>
      <w:ind w:firstLine="720"/>
      <w:jc w:val="both"/>
    </w:pPr>
    <w:rPr>
      <w:szCs w:val="20"/>
      <w:lang w:val="lt-LT"/>
    </w:rPr>
  </w:style>
  <w:style w:type="character" w:customStyle="1" w:styleId="BodyTextIndentChar">
    <w:name w:val="Body Text Indent Char"/>
    <w:basedOn w:val="DefaultParagraphFont"/>
    <w:link w:val="BodyTextIndent"/>
    <w:rsid w:val="007D619D"/>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2635F"/>
    <w:pPr>
      <w:ind w:firstLine="357"/>
    </w:pPr>
    <w:rPr>
      <w:rFonts w:ascii="Arial" w:eastAsiaTheme="minorHAnsi" w:hAnsi="Arial" w:cstheme="minorBidi"/>
      <w:sz w:val="20"/>
      <w:szCs w:val="20"/>
      <w:lang w:val="lt-LT"/>
    </w:rPr>
  </w:style>
  <w:style w:type="character" w:customStyle="1" w:styleId="FootnoteTextChar">
    <w:name w:val="Footnote Text Char"/>
    <w:basedOn w:val="DefaultParagraphFont"/>
    <w:link w:val="FootnoteText"/>
    <w:uiPriority w:val="99"/>
    <w:semiHidden/>
    <w:rsid w:val="0062635F"/>
    <w:rPr>
      <w:rFonts w:ascii="Arial" w:hAnsi="Arial"/>
      <w:sz w:val="20"/>
      <w:szCs w:val="20"/>
    </w:rPr>
  </w:style>
  <w:style w:type="character" w:styleId="FootnoteReference">
    <w:name w:val="footnote reference"/>
    <w:basedOn w:val="DefaultParagraphFont"/>
    <w:uiPriority w:val="99"/>
    <w:semiHidden/>
    <w:unhideWhenUsed/>
    <w:rsid w:val="0062635F"/>
    <w:rPr>
      <w:vertAlign w:val="superscript"/>
    </w:rPr>
  </w:style>
  <w:style w:type="paragraph" w:styleId="Revision">
    <w:name w:val="Revision"/>
    <w:hidden/>
    <w:uiPriority w:val="99"/>
    <w:semiHidden/>
    <w:rsid w:val="00CA4CC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1690-CCD5-4CB3-89F8-91ED5875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3468</Words>
  <Characters>1978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NECIUNSKIENĖ</dc:creator>
  <cp:keywords/>
  <dc:description/>
  <cp:lastModifiedBy>Violeta Gembicka</cp:lastModifiedBy>
  <cp:revision>2</cp:revision>
  <dcterms:created xsi:type="dcterms:W3CDTF">2023-07-31T14:15:00Z</dcterms:created>
  <dcterms:modified xsi:type="dcterms:W3CDTF">2023-07-31T14:15:00Z</dcterms:modified>
</cp:coreProperties>
</file>