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B21FE" w14:textId="1E704419" w:rsidR="009C4BF3" w:rsidRPr="0066307B" w:rsidRDefault="009C4BF3" w:rsidP="009C4BF3">
      <w:pPr>
        <w:contextualSpacing/>
        <w:jc w:val="right"/>
        <w:rPr>
          <w:color w:val="auto"/>
          <w:szCs w:val="24"/>
          <w:lang w:eastAsia="lt-LT"/>
        </w:rPr>
      </w:pPr>
      <w:r w:rsidRPr="0066307B">
        <w:rPr>
          <w:color w:val="auto"/>
          <w:szCs w:val="24"/>
          <w:lang w:eastAsia="lt-LT"/>
        </w:rPr>
        <w:t>2022 m. _________________ Sutarties Nr.  ___________________ 1 priedas</w:t>
      </w:r>
    </w:p>
    <w:p w14:paraId="1973F115" w14:textId="77777777" w:rsidR="009C4BF3" w:rsidRPr="0066307B" w:rsidRDefault="009C4BF3" w:rsidP="009C4BF3">
      <w:pPr>
        <w:widowControl w:val="0"/>
        <w:jc w:val="right"/>
        <w:rPr>
          <w:rFonts w:eastAsia="Calibri"/>
          <w:b/>
          <w:color w:val="auto"/>
          <w:szCs w:val="24"/>
        </w:rPr>
      </w:pPr>
    </w:p>
    <w:p w14:paraId="0FF46403" w14:textId="2F4E8C38" w:rsidR="009C4BF3" w:rsidRDefault="00527F5B" w:rsidP="009C4BF3">
      <w:pPr>
        <w:widowControl w:val="0"/>
        <w:jc w:val="center"/>
        <w:rPr>
          <w:rFonts w:eastAsia="Calibri"/>
          <w:b/>
          <w:color w:val="auto"/>
          <w:szCs w:val="24"/>
        </w:rPr>
      </w:pPr>
      <w:r>
        <w:rPr>
          <w:rFonts w:eastAsia="Calibri"/>
          <w:b/>
          <w:color w:val="auto"/>
          <w:szCs w:val="24"/>
        </w:rPr>
        <w:t>INTENSYVIOS KRIZIŲ ĮVEIKIMO PAGALBOS</w:t>
      </w:r>
      <w:r w:rsidR="009C4BF3" w:rsidRPr="0066307B">
        <w:rPr>
          <w:rFonts w:eastAsia="Calibri"/>
          <w:b/>
          <w:color w:val="auto"/>
          <w:szCs w:val="24"/>
        </w:rPr>
        <w:t xml:space="preserve"> TEIKIM</w:t>
      </w:r>
      <w:r w:rsidR="009C4BF3">
        <w:rPr>
          <w:rFonts w:eastAsia="Calibri"/>
          <w:b/>
          <w:color w:val="auto"/>
          <w:szCs w:val="24"/>
        </w:rPr>
        <w:t>O</w:t>
      </w:r>
    </w:p>
    <w:p w14:paraId="2DAD6F1A" w14:textId="77777777" w:rsidR="009C4BF3" w:rsidRPr="0066307B" w:rsidRDefault="009C4BF3" w:rsidP="009C4BF3">
      <w:pPr>
        <w:widowControl w:val="0"/>
        <w:jc w:val="center"/>
        <w:rPr>
          <w:rFonts w:eastAsia="Calibri"/>
          <w:b/>
          <w:color w:val="auto"/>
          <w:szCs w:val="24"/>
        </w:rPr>
      </w:pPr>
      <w:r>
        <w:rPr>
          <w:rFonts w:eastAsia="Calibri"/>
          <w:b/>
          <w:color w:val="auto"/>
          <w:szCs w:val="24"/>
        </w:rPr>
        <w:t>TECHNINĖ SPECIFIKACIJA</w:t>
      </w:r>
    </w:p>
    <w:p w14:paraId="718C1222" w14:textId="77777777" w:rsidR="009C4BF3" w:rsidRPr="0066307B" w:rsidRDefault="009C4BF3" w:rsidP="009C4BF3">
      <w:pPr>
        <w:widowControl w:val="0"/>
        <w:jc w:val="center"/>
        <w:rPr>
          <w:rFonts w:eastAsia="Calibri"/>
          <w:b/>
          <w:color w:val="auto"/>
          <w:szCs w:val="24"/>
        </w:rPr>
      </w:pPr>
    </w:p>
    <w:p w14:paraId="25A08C74" w14:textId="77777777" w:rsidR="009C4BF3" w:rsidRPr="0066307B" w:rsidRDefault="009C4BF3" w:rsidP="009C4BF3">
      <w:pPr>
        <w:widowControl w:val="0"/>
        <w:jc w:val="both"/>
        <w:rPr>
          <w:rFonts w:eastAsia="Calibri"/>
          <w:szCs w:val="24"/>
          <w:lang w:eastAsia="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
        <w:gridCol w:w="1678"/>
        <w:gridCol w:w="7484"/>
      </w:tblGrid>
      <w:tr w:rsidR="009C4BF3" w:rsidRPr="0066307B" w14:paraId="73C4FE9E" w14:textId="77777777" w:rsidTr="00E939FD">
        <w:tc>
          <w:tcPr>
            <w:tcW w:w="9747" w:type="dxa"/>
            <w:gridSpan w:val="3"/>
          </w:tcPr>
          <w:p w14:paraId="1B38F969" w14:textId="77777777" w:rsidR="009C4BF3" w:rsidRPr="0066307B" w:rsidRDefault="009C4BF3" w:rsidP="00E939FD">
            <w:pPr>
              <w:rPr>
                <w:rFonts w:eastAsia="Calibri"/>
                <w:b/>
                <w:szCs w:val="24"/>
              </w:rPr>
            </w:pPr>
            <w:r w:rsidRPr="0066307B">
              <w:rPr>
                <w:rFonts w:eastAsia="Calibri"/>
                <w:b/>
                <w:szCs w:val="24"/>
              </w:rPr>
              <w:t>1. Bendri duomenys:</w:t>
            </w:r>
          </w:p>
        </w:tc>
      </w:tr>
      <w:tr w:rsidR="009C4BF3" w:rsidRPr="0066307B" w14:paraId="4A2AD8BD" w14:textId="77777777" w:rsidTr="00E939FD">
        <w:trPr>
          <w:trHeight w:val="841"/>
        </w:trPr>
        <w:tc>
          <w:tcPr>
            <w:tcW w:w="585" w:type="dxa"/>
          </w:tcPr>
          <w:p w14:paraId="6768EC8E" w14:textId="77777777" w:rsidR="009C4BF3" w:rsidRPr="0062085F" w:rsidRDefault="009C4BF3" w:rsidP="00E939FD">
            <w:pPr>
              <w:rPr>
                <w:rFonts w:eastAsia="Calibri"/>
                <w:color w:val="auto"/>
                <w:szCs w:val="24"/>
              </w:rPr>
            </w:pPr>
            <w:r w:rsidRPr="0062085F">
              <w:rPr>
                <w:rFonts w:eastAsia="Calibri"/>
                <w:color w:val="auto"/>
                <w:szCs w:val="24"/>
              </w:rPr>
              <w:t>1.1.</w:t>
            </w:r>
          </w:p>
        </w:tc>
        <w:tc>
          <w:tcPr>
            <w:tcW w:w="1678" w:type="dxa"/>
          </w:tcPr>
          <w:p w14:paraId="3F47F8D9" w14:textId="77777777" w:rsidR="009C4BF3" w:rsidRPr="0066307B" w:rsidRDefault="009C4BF3" w:rsidP="001457A4">
            <w:pPr>
              <w:jc w:val="both"/>
              <w:rPr>
                <w:rFonts w:eastAsia="Calibri"/>
                <w:szCs w:val="24"/>
              </w:rPr>
            </w:pPr>
            <w:r w:rsidRPr="0066307B">
              <w:rPr>
                <w:rFonts w:eastAsia="Calibri"/>
                <w:szCs w:val="24"/>
              </w:rPr>
              <w:t>Priemonės  pavadinimas, vieta</w:t>
            </w:r>
          </w:p>
        </w:tc>
        <w:tc>
          <w:tcPr>
            <w:tcW w:w="7484" w:type="dxa"/>
          </w:tcPr>
          <w:p w14:paraId="472280F0" w14:textId="515CDBE1" w:rsidR="009C4BF3" w:rsidRPr="0066307B" w:rsidRDefault="003349C4" w:rsidP="001457A4">
            <w:pPr>
              <w:jc w:val="both"/>
              <w:rPr>
                <w:rFonts w:eastAsia="Calibri"/>
                <w:iCs/>
                <w:color w:val="auto"/>
                <w:szCs w:val="24"/>
              </w:rPr>
            </w:pPr>
            <w:r>
              <w:rPr>
                <w:rFonts w:eastAsia="Calibri"/>
                <w:iCs/>
                <w:color w:val="auto"/>
                <w:szCs w:val="24"/>
              </w:rPr>
              <w:t>Intensyvi krizių įveikimo pagalba</w:t>
            </w:r>
            <w:r w:rsidR="009C4BF3" w:rsidRPr="0066307B">
              <w:rPr>
                <w:rFonts w:eastAsia="Calibri"/>
                <w:iCs/>
                <w:color w:val="auto"/>
                <w:szCs w:val="24"/>
              </w:rPr>
              <w:t xml:space="preserve"> ilgą laiką nedirbantiems, socialinę paramą gaunantiems ir nemotyvuotiems asmenims, deklaravusiems gyvenamąją vietą </w:t>
            </w:r>
            <w:r w:rsidR="00C2604E">
              <w:rPr>
                <w:rFonts w:eastAsia="Calibri"/>
                <w:iCs/>
                <w:color w:val="auto"/>
                <w:szCs w:val="24"/>
              </w:rPr>
              <w:t>Panevėžio  mieste</w:t>
            </w:r>
            <w:r w:rsidR="009C4BF3" w:rsidRPr="0066307B">
              <w:rPr>
                <w:rFonts w:eastAsia="Calibri"/>
                <w:iCs/>
                <w:color w:val="auto"/>
                <w:szCs w:val="24"/>
              </w:rPr>
              <w:t xml:space="preserve">. </w:t>
            </w:r>
          </w:p>
          <w:p w14:paraId="11B94471" w14:textId="77777777" w:rsidR="009C4BF3" w:rsidRPr="0066307B" w:rsidRDefault="009C4BF3" w:rsidP="001457A4">
            <w:pPr>
              <w:jc w:val="both"/>
              <w:rPr>
                <w:rFonts w:eastAsia="Calibri"/>
                <w:iCs/>
                <w:color w:val="auto"/>
                <w:szCs w:val="24"/>
              </w:rPr>
            </w:pPr>
            <w:r w:rsidRPr="0066307B">
              <w:rPr>
                <w:rFonts w:eastAsia="Calibri"/>
                <w:iCs/>
                <w:color w:val="auto"/>
                <w:szCs w:val="24"/>
              </w:rPr>
              <w:t>Užsiėmimai organizuojami iš Europos Sąjungos struktūrinių fondų lėšų bendrai finansuojamo projekto Nr. 07.3.1-ESFA-V-401-06-0001 „Užimtumo skatinimo ir motyvavimo paslaugų nedirbantiems ir socialinę paramą gaunantiems asmenims modelis“ 1.4.1. fizinio rodiklio „Socialinės ir motyvavimo paslaugos“.</w:t>
            </w:r>
          </w:p>
          <w:p w14:paraId="0B8360F2" w14:textId="77777777" w:rsidR="009C4BF3" w:rsidRPr="0066307B" w:rsidRDefault="009C4BF3" w:rsidP="001457A4">
            <w:pPr>
              <w:tabs>
                <w:tab w:val="left" w:pos="214"/>
              </w:tabs>
              <w:jc w:val="both"/>
              <w:rPr>
                <w:rFonts w:eastAsia="Calibri"/>
                <w:color w:val="auto"/>
                <w:szCs w:val="24"/>
              </w:rPr>
            </w:pPr>
          </w:p>
        </w:tc>
      </w:tr>
      <w:tr w:rsidR="009C4BF3" w:rsidRPr="0066307B" w14:paraId="6D04C2D3" w14:textId="77777777" w:rsidTr="00E939FD">
        <w:trPr>
          <w:trHeight w:val="1269"/>
        </w:trPr>
        <w:tc>
          <w:tcPr>
            <w:tcW w:w="585" w:type="dxa"/>
          </w:tcPr>
          <w:p w14:paraId="68C9A6AC" w14:textId="77777777" w:rsidR="009C4BF3" w:rsidRPr="0062085F" w:rsidRDefault="009C4BF3" w:rsidP="00E939FD">
            <w:pPr>
              <w:rPr>
                <w:rFonts w:eastAsia="Calibri"/>
                <w:color w:val="auto"/>
                <w:szCs w:val="24"/>
              </w:rPr>
            </w:pPr>
            <w:r w:rsidRPr="0062085F">
              <w:rPr>
                <w:rFonts w:eastAsia="Calibri"/>
                <w:color w:val="auto"/>
                <w:szCs w:val="24"/>
              </w:rPr>
              <w:t>1.2.</w:t>
            </w:r>
          </w:p>
        </w:tc>
        <w:tc>
          <w:tcPr>
            <w:tcW w:w="1678" w:type="dxa"/>
          </w:tcPr>
          <w:p w14:paraId="1B0BF06D" w14:textId="154A1103" w:rsidR="009C4BF3" w:rsidRPr="0066307B" w:rsidRDefault="00A271FC" w:rsidP="001457A4">
            <w:pPr>
              <w:jc w:val="both"/>
              <w:rPr>
                <w:rFonts w:eastAsia="Calibri"/>
                <w:szCs w:val="24"/>
              </w:rPr>
            </w:pPr>
            <w:r>
              <w:rPr>
                <w:rFonts w:eastAsia="Calibri"/>
                <w:szCs w:val="24"/>
              </w:rPr>
              <w:t xml:space="preserve">Pirkėjo </w:t>
            </w:r>
          </w:p>
          <w:p w14:paraId="34133434" w14:textId="77777777" w:rsidR="009C4BF3" w:rsidRPr="0066307B" w:rsidRDefault="009C4BF3" w:rsidP="001457A4">
            <w:pPr>
              <w:jc w:val="both"/>
              <w:rPr>
                <w:rFonts w:eastAsia="Calibri"/>
                <w:szCs w:val="24"/>
              </w:rPr>
            </w:pPr>
            <w:r w:rsidRPr="0066307B">
              <w:rPr>
                <w:rFonts w:eastAsia="Calibri"/>
                <w:szCs w:val="24"/>
              </w:rPr>
              <w:t>pavadinimas, adresas</w:t>
            </w:r>
          </w:p>
        </w:tc>
        <w:tc>
          <w:tcPr>
            <w:tcW w:w="7484" w:type="dxa"/>
          </w:tcPr>
          <w:p w14:paraId="4D13372E" w14:textId="70543EBC" w:rsidR="00C2604E" w:rsidRPr="003F0024" w:rsidRDefault="00C2604E" w:rsidP="001457A4">
            <w:pPr>
              <w:widowControl w:val="0"/>
              <w:autoSpaceDE w:val="0"/>
              <w:autoSpaceDN w:val="0"/>
              <w:adjustRightInd w:val="0"/>
              <w:jc w:val="both"/>
              <w:rPr>
                <w:rFonts w:eastAsia="Calibri"/>
                <w:iCs/>
                <w:color w:val="auto"/>
                <w:szCs w:val="24"/>
              </w:rPr>
            </w:pPr>
            <w:r w:rsidRPr="003F0024">
              <w:rPr>
                <w:rFonts w:eastAsia="Calibri"/>
                <w:iCs/>
                <w:color w:val="auto"/>
                <w:szCs w:val="24"/>
              </w:rPr>
              <w:t xml:space="preserve">Panevėžio miesto </w:t>
            </w:r>
            <w:r w:rsidR="009C4BF3" w:rsidRPr="003F0024">
              <w:rPr>
                <w:rFonts w:eastAsia="Calibri"/>
                <w:iCs/>
                <w:color w:val="auto"/>
                <w:szCs w:val="24"/>
              </w:rPr>
              <w:t xml:space="preserve">savivaldybės administracija, kodas </w:t>
            </w:r>
            <w:r w:rsidRPr="003F0024">
              <w:rPr>
                <w:rFonts w:eastAsia="Calibri"/>
                <w:iCs/>
                <w:color w:val="auto"/>
                <w:szCs w:val="24"/>
              </w:rPr>
              <w:t>288724610</w:t>
            </w:r>
          </w:p>
          <w:p w14:paraId="5E5B80E6" w14:textId="41BB2532" w:rsidR="009C4BF3" w:rsidRPr="003F0024" w:rsidRDefault="00630302" w:rsidP="001457A4">
            <w:pPr>
              <w:widowControl w:val="0"/>
              <w:autoSpaceDE w:val="0"/>
              <w:autoSpaceDN w:val="0"/>
              <w:adjustRightInd w:val="0"/>
              <w:jc w:val="both"/>
              <w:rPr>
                <w:rFonts w:eastAsia="Calibri"/>
                <w:iCs/>
                <w:color w:val="auto"/>
                <w:szCs w:val="24"/>
              </w:rPr>
            </w:pPr>
            <w:r w:rsidRPr="003F0024">
              <w:rPr>
                <w:rFonts w:eastAsia="Calibri"/>
                <w:iCs/>
                <w:color w:val="auto"/>
                <w:szCs w:val="24"/>
              </w:rPr>
              <w:t>Laisvės</w:t>
            </w:r>
            <w:r w:rsidR="009C4BF3" w:rsidRPr="003F0024">
              <w:rPr>
                <w:rFonts w:eastAsia="Calibri"/>
                <w:iCs/>
                <w:color w:val="auto"/>
                <w:szCs w:val="24"/>
              </w:rPr>
              <w:t xml:space="preserve"> a.2</w:t>
            </w:r>
            <w:r w:rsidRPr="003F0024">
              <w:rPr>
                <w:rFonts w:eastAsia="Calibri"/>
                <w:iCs/>
                <w:color w:val="auto"/>
                <w:szCs w:val="24"/>
              </w:rPr>
              <w:t>0</w:t>
            </w:r>
            <w:r w:rsidR="009C4BF3" w:rsidRPr="003F0024">
              <w:rPr>
                <w:rFonts w:eastAsia="Calibri"/>
                <w:iCs/>
                <w:color w:val="auto"/>
                <w:szCs w:val="24"/>
              </w:rPr>
              <w:t>, LT-</w:t>
            </w:r>
            <w:r w:rsidR="00440B98" w:rsidRPr="003F0024">
              <w:rPr>
                <w:rFonts w:eastAsia="Calibri"/>
                <w:iCs/>
                <w:color w:val="auto"/>
                <w:szCs w:val="24"/>
              </w:rPr>
              <w:t>35200</w:t>
            </w:r>
            <w:r w:rsidR="009C4BF3" w:rsidRPr="003F0024">
              <w:rPr>
                <w:rFonts w:eastAsia="Calibri"/>
                <w:iCs/>
                <w:color w:val="auto"/>
                <w:szCs w:val="24"/>
              </w:rPr>
              <w:t xml:space="preserve"> </w:t>
            </w:r>
            <w:r w:rsidR="00440B98" w:rsidRPr="003F0024">
              <w:rPr>
                <w:rFonts w:eastAsia="Calibri"/>
                <w:iCs/>
                <w:color w:val="auto"/>
                <w:szCs w:val="24"/>
              </w:rPr>
              <w:t>Panevėžys</w:t>
            </w:r>
          </w:p>
          <w:p w14:paraId="776CD3CA" w14:textId="257E94EA" w:rsidR="009C4BF3" w:rsidRPr="003F0024" w:rsidRDefault="009C4BF3" w:rsidP="001457A4">
            <w:pPr>
              <w:widowControl w:val="0"/>
              <w:autoSpaceDE w:val="0"/>
              <w:autoSpaceDN w:val="0"/>
              <w:adjustRightInd w:val="0"/>
              <w:jc w:val="both"/>
              <w:rPr>
                <w:rFonts w:eastAsia="Calibri"/>
                <w:color w:val="auto"/>
                <w:szCs w:val="24"/>
              </w:rPr>
            </w:pPr>
            <w:r w:rsidRPr="003F0024">
              <w:rPr>
                <w:rFonts w:eastAsia="Calibri"/>
                <w:color w:val="auto"/>
                <w:szCs w:val="24"/>
              </w:rPr>
              <w:t xml:space="preserve">Kontaktinis asmuo – Nedirbančių asmenų atvejo vadybininkė </w:t>
            </w:r>
            <w:r w:rsidR="00440B98" w:rsidRPr="003F0024">
              <w:rPr>
                <w:rFonts w:eastAsia="Calibri"/>
                <w:color w:val="auto"/>
                <w:szCs w:val="24"/>
              </w:rPr>
              <w:t>Gitana Dargužienė</w:t>
            </w:r>
          </w:p>
          <w:p w14:paraId="2505DD3A" w14:textId="62E71C85" w:rsidR="009C4BF3" w:rsidRPr="003F0024" w:rsidRDefault="009C4BF3" w:rsidP="001457A4">
            <w:pPr>
              <w:widowControl w:val="0"/>
              <w:autoSpaceDE w:val="0"/>
              <w:autoSpaceDN w:val="0"/>
              <w:adjustRightInd w:val="0"/>
              <w:jc w:val="both"/>
              <w:rPr>
                <w:rFonts w:eastAsia="Calibri"/>
                <w:color w:val="auto"/>
                <w:szCs w:val="24"/>
                <w:lang w:val="en-US"/>
              </w:rPr>
            </w:pPr>
            <w:r w:rsidRPr="003F0024">
              <w:rPr>
                <w:rFonts w:eastAsia="Calibri"/>
                <w:color w:val="auto"/>
                <w:szCs w:val="24"/>
              </w:rPr>
              <w:t xml:space="preserve">Tel.: (8 45) </w:t>
            </w:r>
            <w:r w:rsidR="001C104E" w:rsidRPr="003F0024">
              <w:rPr>
                <w:rFonts w:eastAsia="Calibri"/>
                <w:color w:val="auto"/>
                <w:szCs w:val="24"/>
              </w:rPr>
              <w:t>504463</w:t>
            </w:r>
            <w:r w:rsidRPr="003F0024">
              <w:rPr>
                <w:rFonts w:eastAsia="Calibri"/>
                <w:color w:val="auto"/>
                <w:szCs w:val="24"/>
              </w:rPr>
              <w:t xml:space="preserve">; el. paštas: </w:t>
            </w:r>
            <w:proofErr w:type="spellStart"/>
            <w:r w:rsidR="001C104E" w:rsidRPr="003F0024">
              <w:rPr>
                <w:rFonts w:eastAsia="Calibri"/>
                <w:color w:val="auto"/>
                <w:szCs w:val="24"/>
              </w:rPr>
              <w:t>gitana.darguziene</w:t>
            </w:r>
            <w:proofErr w:type="spellEnd"/>
            <w:r w:rsidRPr="003F0024">
              <w:rPr>
                <w:rFonts w:eastAsia="Calibri"/>
                <w:color w:val="auto"/>
                <w:szCs w:val="24"/>
                <w:lang w:val="en-US"/>
              </w:rPr>
              <w:t>@</w:t>
            </w:r>
            <w:r w:rsidR="001C104E" w:rsidRPr="003F0024">
              <w:rPr>
                <w:rFonts w:eastAsia="Calibri"/>
                <w:color w:val="auto"/>
                <w:szCs w:val="24"/>
                <w:lang w:val="en-US"/>
              </w:rPr>
              <w:t>panevezys.lt</w:t>
            </w:r>
          </w:p>
        </w:tc>
      </w:tr>
      <w:tr w:rsidR="00AA2250" w:rsidRPr="0066307B" w14:paraId="60A7BCF2" w14:textId="77777777" w:rsidTr="0036769C">
        <w:trPr>
          <w:trHeight w:val="971"/>
        </w:trPr>
        <w:tc>
          <w:tcPr>
            <w:tcW w:w="585" w:type="dxa"/>
          </w:tcPr>
          <w:p w14:paraId="0EA1F60A" w14:textId="6CAED34A" w:rsidR="00AA2250" w:rsidRPr="00AA2250" w:rsidRDefault="0062085F" w:rsidP="00AA2250">
            <w:pPr>
              <w:rPr>
                <w:rFonts w:eastAsia="Calibri"/>
                <w:color w:val="FF0000"/>
                <w:szCs w:val="24"/>
              </w:rPr>
            </w:pPr>
            <w:r w:rsidRPr="006B25F9">
              <w:rPr>
                <w:rFonts w:eastAsia="Calibri"/>
                <w:color w:val="auto"/>
                <w:szCs w:val="24"/>
              </w:rPr>
              <w:t>1.3</w:t>
            </w:r>
          </w:p>
        </w:tc>
        <w:tc>
          <w:tcPr>
            <w:tcW w:w="1678" w:type="dxa"/>
          </w:tcPr>
          <w:p w14:paraId="76689334" w14:textId="31311D6C" w:rsidR="00AA2250" w:rsidRPr="0066307B" w:rsidRDefault="00AA2250" w:rsidP="001457A4">
            <w:pPr>
              <w:jc w:val="both"/>
              <w:rPr>
                <w:rFonts w:eastAsia="Calibri"/>
                <w:szCs w:val="24"/>
              </w:rPr>
            </w:pPr>
            <w:r w:rsidRPr="0066307B">
              <w:rPr>
                <w:rFonts w:eastAsia="Calibri"/>
                <w:szCs w:val="24"/>
              </w:rPr>
              <w:t xml:space="preserve"> </w:t>
            </w:r>
            <w:r>
              <w:rPr>
                <w:rFonts w:eastAsia="Calibri"/>
                <w:szCs w:val="24"/>
              </w:rPr>
              <w:t>Paslaugos tikslas</w:t>
            </w:r>
          </w:p>
        </w:tc>
        <w:tc>
          <w:tcPr>
            <w:tcW w:w="7484" w:type="dxa"/>
          </w:tcPr>
          <w:p w14:paraId="24E42D39" w14:textId="0019FC28" w:rsidR="00AA2250" w:rsidRDefault="0036769C" w:rsidP="001457A4">
            <w:pPr>
              <w:widowControl w:val="0"/>
              <w:autoSpaceDE w:val="0"/>
              <w:autoSpaceDN w:val="0"/>
              <w:adjustRightInd w:val="0"/>
              <w:jc w:val="both"/>
              <w:rPr>
                <w:rFonts w:eastAsia="Calibri"/>
                <w:iCs/>
                <w:color w:val="auto"/>
                <w:szCs w:val="24"/>
              </w:rPr>
            </w:pPr>
            <w:r>
              <w:t>Užkirsti kelią krizinių reakcijų užsitęsimui, sumažinti emocinę įtampą ir padėti žmonėms greičiau sugrįžti į įprastą gyvenimo ritmą, atgauti darbingumą</w:t>
            </w:r>
            <w:r w:rsidR="008D4FF0">
              <w:t>, suteikti palaikymą ir konsultacijas bei skatinti atkurti savarankiškumą</w:t>
            </w:r>
            <w:r w:rsidR="00C83C46">
              <w:t>, žmogaus asmenybės struktūrą</w:t>
            </w:r>
            <w:r w:rsidR="008D4FF0">
              <w:t>, prarastus socialinius ryšius su aplinka.</w:t>
            </w:r>
          </w:p>
        </w:tc>
      </w:tr>
      <w:tr w:rsidR="009C4BF3" w:rsidRPr="0066307B" w14:paraId="4CD9694D" w14:textId="77777777" w:rsidTr="00E939FD">
        <w:trPr>
          <w:trHeight w:val="860"/>
        </w:trPr>
        <w:tc>
          <w:tcPr>
            <w:tcW w:w="585" w:type="dxa"/>
          </w:tcPr>
          <w:p w14:paraId="6AB300CD" w14:textId="59175164" w:rsidR="009C4BF3" w:rsidRPr="0066307B" w:rsidRDefault="009C4BF3" w:rsidP="00E939FD">
            <w:pPr>
              <w:rPr>
                <w:rFonts w:eastAsia="Calibri"/>
                <w:szCs w:val="24"/>
              </w:rPr>
            </w:pPr>
            <w:r w:rsidRPr="0066307B">
              <w:rPr>
                <w:rFonts w:eastAsia="Calibri"/>
                <w:szCs w:val="24"/>
              </w:rPr>
              <w:t>1.</w:t>
            </w:r>
            <w:r w:rsidR="0062085F">
              <w:rPr>
                <w:rFonts w:eastAsia="Calibri"/>
                <w:szCs w:val="24"/>
              </w:rPr>
              <w:t>4</w:t>
            </w:r>
            <w:r w:rsidRPr="0066307B">
              <w:rPr>
                <w:rFonts w:eastAsia="Calibri"/>
                <w:szCs w:val="24"/>
              </w:rPr>
              <w:t>.</w:t>
            </w:r>
          </w:p>
        </w:tc>
        <w:tc>
          <w:tcPr>
            <w:tcW w:w="1678" w:type="dxa"/>
          </w:tcPr>
          <w:p w14:paraId="7032A4E4" w14:textId="74418A16" w:rsidR="009C4BF3" w:rsidRPr="0066307B" w:rsidRDefault="009C4BF3" w:rsidP="001457A4">
            <w:pPr>
              <w:jc w:val="both"/>
              <w:rPr>
                <w:rFonts w:eastAsia="Calibri"/>
                <w:szCs w:val="24"/>
              </w:rPr>
            </w:pPr>
            <w:r w:rsidRPr="0066307B">
              <w:rPr>
                <w:rFonts w:eastAsia="Calibri"/>
                <w:szCs w:val="24"/>
              </w:rPr>
              <w:t>Paslaugos kiekiai</w:t>
            </w:r>
            <w:r w:rsidR="00EB393F">
              <w:rPr>
                <w:rFonts w:eastAsia="Calibri"/>
                <w:szCs w:val="24"/>
              </w:rPr>
              <w:t>,</w:t>
            </w:r>
            <w:r w:rsidRPr="0066307B">
              <w:rPr>
                <w:rFonts w:eastAsia="Calibri"/>
                <w:szCs w:val="24"/>
              </w:rPr>
              <w:t xml:space="preserve"> apimtys</w:t>
            </w:r>
          </w:p>
        </w:tc>
        <w:tc>
          <w:tcPr>
            <w:tcW w:w="7484" w:type="dxa"/>
          </w:tcPr>
          <w:p w14:paraId="61ECB8A9" w14:textId="1E438C7F" w:rsidR="009C4BF3" w:rsidRPr="0066307B" w:rsidRDefault="009C4BF3" w:rsidP="001457A4">
            <w:pPr>
              <w:jc w:val="both"/>
              <w:rPr>
                <w:rFonts w:eastAsia="Calibri"/>
                <w:b/>
                <w:color w:val="auto"/>
                <w:szCs w:val="24"/>
              </w:rPr>
            </w:pPr>
            <w:r w:rsidRPr="0066307B">
              <w:rPr>
                <w:rFonts w:eastAsia="Calibri"/>
                <w:b/>
                <w:color w:val="auto"/>
                <w:szCs w:val="24"/>
              </w:rPr>
              <w:t xml:space="preserve">Bendra teikiamų paslaugų apimtis – </w:t>
            </w:r>
            <w:r w:rsidR="00035613">
              <w:rPr>
                <w:rFonts w:eastAsia="Calibri"/>
                <w:b/>
                <w:color w:val="auto"/>
                <w:szCs w:val="24"/>
              </w:rPr>
              <w:t>7</w:t>
            </w:r>
            <w:r w:rsidR="006E3A62">
              <w:rPr>
                <w:rFonts w:eastAsia="Calibri"/>
                <w:b/>
                <w:color w:val="auto"/>
                <w:szCs w:val="24"/>
              </w:rPr>
              <w:t>1</w:t>
            </w:r>
            <w:r w:rsidRPr="0066307B">
              <w:rPr>
                <w:rFonts w:eastAsia="Calibri"/>
                <w:b/>
                <w:color w:val="auto"/>
                <w:szCs w:val="24"/>
              </w:rPr>
              <w:t xml:space="preserve"> val. (nurodytas kiekis yra maksimalus, tačiau gali mažėti ne daugiau kaip 30 proc.): </w:t>
            </w:r>
          </w:p>
          <w:p w14:paraId="517512B8" w14:textId="15E6CA91" w:rsidR="009C4BF3" w:rsidRPr="0066307B" w:rsidRDefault="009C4BF3" w:rsidP="001457A4">
            <w:pPr>
              <w:jc w:val="both"/>
              <w:rPr>
                <w:rFonts w:eastAsia="Calibri"/>
                <w:b/>
                <w:color w:val="auto"/>
                <w:szCs w:val="24"/>
              </w:rPr>
            </w:pPr>
            <w:r w:rsidRPr="0066307B">
              <w:rPr>
                <w:rFonts w:eastAsia="Calibri"/>
                <w:b/>
                <w:color w:val="auto"/>
                <w:szCs w:val="24"/>
              </w:rPr>
              <w:t xml:space="preserve">Paslaugas turi gauti </w:t>
            </w:r>
            <w:r w:rsidR="001C104E">
              <w:rPr>
                <w:rFonts w:eastAsia="Calibri"/>
                <w:b/>
                <w:color w:val="auto"/>
                <w:szCs w:val="24"/>
              </w:rPr>
              <w:t xml:space="preserve">iki </w:t>
            </w:r>
            <w:r w:rsidR="0066113F">
              <w:rPr>
                <w:rFonts w:eastAsia="Calibri"/>
                <w:b/>
                <w:color w:val="auto"/>
                <w:szCs w:val="24"/>
              </w:rPr>
              <w:t>3</w:t>
            </w:r>
            <w:r w:rsidR="001C104E">
              <w:rPr>
                <w:rFonts w:eastAsia="Calibri"/>
                <w:b/>
                <w:color w:val="auto"/>
                <w:szCs w:val="24"/>
              </w:rPr>
              <w:t>0</w:t>
            </w:r>
            <w:r w:rsidRPr="0066307B">
              <w:rPr>
                <w:rFonts w:eastAsia="Calibri"/>
                <w:b/>
                <w:color w:val="auto"/>
                <w:szCs w:val="24"/>
              </w:rPr>
              <w:t xml:space="preserve"> Projekto dalyvių.</w:t>
            </w:r>
          </w:p>
          <w:p w14:paraId="135C0931" w14:textId="71718F13" w:rsidR="009C4BF3" w:rsidRPr="0066307B" w:rsidRDefault="009C4BF3" w:rsidP="001457A4">
            <w:pPr>
              <w:jc w:val="both"/>
              <w:rPr>
                <w:rFonts w:eastAsia="Calibri"/>
                <w:color w:val="auto"/>
                <w:sz w:val="22"/>
                <w:szCs w:val="22"/>
              </w:rPr>
            </w:pPr>
            <w:r w:rsidRPr="0066307B">
              <w:rPr>
                <w:rFonts w:eastAsia="Calibri"/>
                <w:b/>
                <w:color w:val="auto"/>
                <w:szCs w:val="24"/>
              </w:rPr>
              <w:t>Paslaugų įgyvendinimo terminas –iki 2022-12-</w:t>
            </w:r>
            <w:r w:rsidR="00DD7F09">
              <w:rPr>
                <w:rFonts w:eastAsia="Calibri"/>
                <w:b/>
                <w:color w:val="auto"/>
                <w:szCs w:val="24"/>
              </w:rPr>
              <w:t>23</w:t>
            </w:r>
            <w:r w:rsidRPr="0066307B">
              <w:rPr>
                <w:rFonts w:eastAsia="Calibri"/>
                <w:b/>
                <w:color w:val="auto"/>
                <w:szCs w:val="24"/>
              </w:rPr>
              <w:t>.</w:t>
            </w:r>
          </w:p>
        </w:tc>
      </w:tr>
      <w:tr w:rsidR="009C4BF3" w:rsidRPr="0066307B" w14:paraId="2FB6F6B6" w14:textId="77777777" w:rsidTr="00593D58">
        <w:trPr>
          <w:trHeight w:val="1682"/>
        </w:trPr>
        <w:tc>
          <w:tcPr>
            <w:tcW w:w="585" w:type="dxa"/>
          </w:tcPr>
          <w:p w14:paraId="4BA99A45" w14:textId="32B01086" w:rsidR="009C4BF3" w:rsidRPr="0066307B" w:rsidRDefault="009C4BF3" w:rsidP="00E939FD">
            <w:pPr>
              <w:rPr>
                <w:rFonts w:eastAsia="Calibri"/>
                <w:szCs w:val="24"/>
              </w:rPr>
            </w:pPr>
            <w:r w:rsidRPr="0066307B">
              <w:rPr>
                <w:rFonts w:eastAsia="Calibri"/>
                <w:szCs w:val="24"/>
              </w:rPr>
              <w:t>1.</w:t>
            </w:r>
            <w:r w:rsidR="0062085F">
              <w:rPr>
                <w:rFonts w:eastAsia="Calibri"/>
                <w:szCs w:val="24"/>
              </w:rPr>
              <w:t>5</w:t>
            </w:r>
            <w:r w:rsidRPr="0066307B">
              <w:rPr>
                <w:rFonts w:eastAsia="Calibri"/>
                <w:szCs w:val="24"/>
              </w:rPr>
              <w:t>.</w:t>
            </w:r>
          </w:p>
        </w:tc>
        <w:tc>
          <w:tcPr>
            <w:tcW w:w="1678" w:type="dxa"/>
          </w:tcPr>
          <w:p w14:paraId="4490271A" w14:textId="77777777" w:rsidR="009C4BF3" w:rsidRPr="0066307B" w:rsidRDefault="009C4BF3" w:rsidP="001457A4">
            <w:pPr>
              <w:jc w:val="both"/>
              <w:rPr>
                <w:rFonts w:eastAsia="Calibri"/>
                <w:szCs w:val="24"/>
              </w:rPr>
            </w:pPr>
            <w:r w:rsidRPr="0066307B">
              <w:rPr>
                <w:rFonts w:eastAsia="Calibri"/>
                <w:szCs w:val="24"/>
              </w:rPr>
              <w:t xml:space="preserve"> Perkamų paslaugų apibūdinimas</w:t>
            </w:r>
          </w:p>
        </w:tc>
        <w:tc>
          <w:tcPr>
            <w:tcW w:w="7484" w:type="dxa"/>
          </w:tcPr>
          <w:p w14:paraId="6938E8B5" w14:textId="3C8F5AD3" w:rsidR="009C4BF3" w:rsidRDefault="009C4BF3" w:rsidP="001457A4">
            <w:pPr>
              <w:jc w:val="both"/>
              <w:rPr>
                <w:rFonts w:eastAsia="Calibri"/>
                <w:color w:val="auto"/>
                <w:szCs w:val="24"/>
              </w:rPr>
            </w:pPr>
            <w:r w:rsidRPr="0066307B">
              <w:rPr>
                <w:rFonts w:eastAsia="Calibri"/>
                <w:color w:val="auto"/>
                <w:szCs w:val="24"/>
              </w:rPr>
              <w:t xml:space="preserve">Paslaugos teikimo laikas – </w:t>
            </w:r>
            <w:r w:rsidR="00240553">
              <w:rPr>
                <w:rFonts w:eastAsia="Calibri"/>
                <w:color w:val="auto"/>
                <w:szCs w:val="24"/>
              </w:rPr>
              <w:t>Panevėžio miesto</w:t>
            </w:r>
            <w:r w:rsidRPr="0066307B">
              <w:rPr>
                <w:rFonts w:eastAsia="Calibri"/>
                <w:color w:val="auto"/>
                <w:szCs w:val="24"/>
              </w:rPr>
              <w:t xml:space="preserve"> savivaldybės administracijos darbo dienomis, Perkančiosios organizacijos ir Tiekėjo sutartomis valandomis, kurios konkrečiam asmeniui ar asmenų grupei nustatomos individuliai, atsižvelgiant į jo/jų poreikius.</w:t>
            </w:r>
          </w:p>
          <w:p w14:paraId="474466E8" w14:textId="659F2D7E" w:rsidR="009C4BF3" w:rsidRPr="0066307B" w:rsidRDefault="009C4BF3" w:rsidP="001457A4">
            <w:pPr>
              <w:jc w:val="both"/>
              <w:rPr>
                <w:rFonts w:eastAsia="Calibri"/>
                <w:color w:val="auto"/>
                <w:szCs w:val="24"/>
              </w:rPr>
            </w:pPr>
            <w:r>
              <w:rPr>
                <w:rFonts w:eastAsia="Calibri"/>
                <w:color w:val="auto"/>
                <w:szCs w:val="24"/>
              </w:rPr>
              <w:t xml:space="preserve">Užsakymas pateikiamas telefonu arba el. paštu. </w:t>
            </w:r>
          </w:p>
          <w:p w14:paraId="262CB57D" w14:textId="406BAE3E" w:rsidR="009C4BF3" w:rsidRPr="0066307B" w:rsidRDefault="009C4BF3" w:rsidP="001457A4">
            <w:pPr>
              <w:jc w:val="both"/>
              <w:rPr>
                <w:rFonts w:eastAsia="Calibri"/>
                <w:color w:val="auto"/>
                <w:szCs w:val="24"/>
              </w:rPr>
            </w:pPr>
            <w:r w:rsidRPr="0066307B">
              <w:rPr>
                <w:rFonts w:eastAsia="Calibri"/>
                <w:color w:val="auto"/>
                <w:szCs w:val="24"/>
              </w:rPr>
              <w:t xml:space="preserve">Paslaugos sudėtis. Gali būti teikiamos šios </w:t>
            </w:r>
            <w:r w:rsidR="000A0782">
              <w:rPr>
                <w:rFonts w:eastAsia="Calibri"/>
                <w:color w:val="auto"/>
                <w:szCs w:val="24"/>
              </w:rPr>
              <w:t>intensyvios krizių įveikimo pagalbos</w:t>
            </w:r>
            <w:r w:rsidRPr="0066307B">
              <w:rPr>
                <w:rFonts w:eastAsia="Calibri"/>
                <w:color w:val="auto"/>
                <w:szCs w:val="24"/>
              </w:rPr>
              <w:t xml:space="preserve"> paslaugos:</w:t>
            </w:r>
          </w:p>
          <w:p w14:paraId="58D962CE" w14:textId="633BDC28" w:rsidR="000A0782" w:rsidRDefault="000A0782" w:rsidP="001457A4">
            <w:pPr>
              <w:jc w:val="both"/>
            </w:pPr>
            <w:r>
              <w:t xml:space="preserve">1. </w:t>
            </w:r>
            <w:r w:rsidR="000A3044">
              <w:t>informavimas, konsultavimas, tarpininkavimas ir atstovavimas tvarkant dokumentus įvairiose institucijose, padedant asmenims spręsti socialines (gyvenamosios vietos, darbo paieškos ir kt.), psichologines, sveikatos, ūkines bei buitines problemas, palaikant santykius su artimaisiais, sutvarkant dokumentus dėl socialinių išmokų mokėjimo ir pan.</w:t>
            </w:r>
            <w:r>
              <w:t>;</w:t>
            </w:r>
          </w:p>
          <w:p w14:paraId="7EA2A8D5" w14:textId="77777777" w:rsidR="000A0782" w:rsidRDefault="000A0782" w:rsidP="001457A4">
            <w:pPr>
              <w:jc w:val="both"/>
            </w:pPr>
            <w:r>
              <w:t>2. a</w:t>
            </w:r>
            <w:r w:rsidR="000A3044">
              <w:t>smeniui (šeimai) teikiama psichologinė pagalba,</w:t>
            </w:r>
            <w:r>
              <w:t xml:space="preserve"> esant poreikiui - kliento namuose</w:t>
            </w:r>
            <w:r w:rsidR="000A3044">
              <w:t xml:space="preserve"> minimaliai organizuojamos buitinės ir asmeninės higienos paslaugos (virtuvėlė, dušas, skalbimo paslaugos ir t. t.). </w:t>
            </w:r>
          </w:p>
          <w:p w14:paraId="495CC2C7" w14:textId="336EFF00" w:rsidR="00030880" w:rsidRDefault="000A0782" w:rsidP="001457A4">
            <w:pPr>
              <w:jc w:val="both"/>
            </w:pPr>
            <w:r>
              <w:t xml:space="preserve">3. </w:t>
            </w:r>
            <w:r w:rsidR="00607C09">
              <w:t>p</w:t>
            </w:r>
            <w:r w:rsidR="000A3044">
              <w:t>aslaugų gavėjams ugdomi kasdienio gyvenimo įgūdžiai, padedant tvarkyti pinigų apskaitą, apsiperkant, planuojant ir atliekant namų ruošos darbus, ugdomi tarpasmeninio bendravimo, darbiniai įgūdžiai, esant poreikiui organizuojamos sveikatos priežiūros paslaugos, laisvalaikis</w:t>
            </w:r>
            <w:r>
              <w:t>.</w:t>
            </w:r>
          </w:p>
          <w:p w14:paraId="31804E29" w14:textId="21AEB312" w:rsidR="00524746" w:rsidRDefault="00524746" w:rsidP="00524746">
            <w:pPr>
              <w:tabs>
                <w:tab w:val="left" w:pos="709"/>
              </w:tabs>
              <w:jc w:val="both"/>
              <w:rPr>
                <w:rFonts w:eastAsia="Calibri"/>
                <w:color w:val="auto"/>
                <w:szCs w:val="24"/>
              </w:rPr>
            </w:pPr>
            <w:r>
              <w:lastRenderedPageBreak/>
              <w:t xml:space="preserve">  </w:t>
            </w:r>
            <w:r w:rsidR="0020423C">
              <w:t>4.</w:t>
            </w:r>
            <w:r>
              <w:t xml:space="preserve"> identifikavimas ir </w:t>
            </w:r>
            <w:r>
              <w:rPr>
                <w:szCs w:val="24"/>
              </w:rPr>
              <w:t>paskatinimas asmenų  patiriančių riziką dėl alkoholio ar narkotinių medžiagų vartojimo, ar kitus asmenis (šeimos narius), kuriems įtariamas ar nustatytas žalingas psichoaktyviųjų medžiagų vartojimas arba priklausomybės sindromas, kreiptis į specializuotas priklausomybės ligų gydymo įstaigas.</w:t>
            </w:r>
          </w:p>
          <w:p w14:paraId="415AAF42" w14:textId="6D079E5E" w:rsidR="009C4BF3" w:rsidRPr="000A0782" w:rsidRDefault="000A0782" w:rsidP="001457A4">
            <w:pPr>
              <w:jc w:val="both"/>
              <w:rPr>
                <w:rFonts w:eastAsia="Calibri"/>
                <w:color w:val="auto"/>
              </w:rPr>
            </w:pPr>
            <w:r w:rsidRPr="00400FC8">
              <w:rPr>
                <w:rFonts w:eastAsia="Calibri"/>
                <w:color w:val="auto"/>
              </w:rPr>
              <w:t>Privaloma teikti ne mažiau nei 3 išvardintas paslaugas.</w:t>
            </w:r>
          </w:p>
          <w:p w14:paraId="59E2162B" w14:textId="2D61D482" w:rsidR="00607C09" w:rsidRPr="00625E77" w:rsidRDefault="00607C09" w:rsidP="00607C09">
            <w:pPr>
              <w:jc w:val="both"/>
              <w:rPr>
                <w:rFonts w:eastAsia="Calibri"/>
                <w:color w:val="auto"/>
              </w:rPr>
            </w:pPr>
            <w:r w:rsidRPr="00625E77">
              <w:rPr>
                <w:rFonts w:eastAsia="Calibri"/>
                <w:color w:val="auto"/>
              </w:rPr>
              <w:t xml:space="preserve">Intensyvios krizių įveikimo pagalbos paslaugos gali būti teikiamos </w:t>
            </w:r>
            <w:r w:rsidR="00A25AA7" w:rsidRPr="00400FC8">
              <w:rPr>
                <w:rFonts w:eastAsia="Calibri"/>
                <w:color w:val="auto"/>
              </w:rPr>
              <w:t xml:space="preserve">vieno užsiėmimo metu iki </w:t>
            </w:r>
            <w:r w:rsidR="00A25AA7">
              <w:rPr>
                <w:rFonts w:eastAsia="Calibri"/>
                <w:color w:val="auto"/>
              </w:rPr>
              <w:t>4</w:t>
            </w:r>
            <w:r w:rsidR="00A25AA7" w:rsidRPr="00400FC8">
              <w:rPr>
                <w:rFonts w:eastAsia="Calibri"/>
                <w:color w:val="auto"/>
              </w:rPr>
              <w:t xml:space="preserve"> asmenų. Į grupes rekomenduojama skirstyti asmenis pagal turimą socialinių įgūdžių lygį, negalios pobūdį ir kitus pasirinktus kriterijus. </w:t>
            </w:r>
          </w:p>
          <w:p w14:paraId="58C243FC" w14:textId="51795D51" w:rsidR="009C4BF3" w:rsidRPr="005D56DD" w:rsidRDefault="00607C09" w:rsidP="00607C09">
            <w:pPr>
              <w:jc w:val="both"/>
              <w:rPr>
                <w:rFonts w:eastAsia="Calibri"/>
                <w:color w:val="auto"/>
                <w:szCs w:val="24"/>
              </w:rPr>
            </w:pPr>
            <w:r w:rsidRPr="00400FC8">
              <w:rPr>
                <w:rFonts w:eastAsia="Calibri"/>
                <w:color w:val="auto"/>
              </w:rPr>
              <w:t xml:space="preserve">Už paslaugų teikimo vietą bei visas kitas išlaidas, susijusias su prekių ar paslaugų pirkimu (popierius, transporto </w:t>
            </w:r>
            <w:r>
              <w:rPr>
                <w:rFonts w:eastAsia="Calibri"/>
                <w:color w:val="auto"/>
              </w:rPr>
              <w:t>išlaidos, tarpinstitucinių užklausų mokesčiai</w:t>
            </w:r>
            <w:r w:rsidRPr="00400FC8">
              <w:rPr>
                <w:rFonts w:eastAsia="Calibri"/>
                <w:color w:val="auto"/>
              </w:rPr>
              <w:t>) atsakingas paslaugų teikėjas. Už medžiagas, reikalingas paslaugai suteikti – atsakingas paslaugų teikėjas.</w:t>
            </w:r>
          </w:p>
        </w:tc>
      </w:tr>
      <w:tr w:rsidR="009C4BF3" w:rsidRPr="0066307B" w14:paraId="045FBD0A" w14:textId="77777777" w:rsidTr="00E939FD">
        <w:trPr>
          <w:trHeight w:val="826"/>
        </w:trPr>
        <w:tc>
          <w:tcPr>
            <w:tcW w:w="585" w:type="dxa"/>
          </w:tcPr>
          <w:p w14:paraId="192367A1" w14:textId="0D6734CF" w:rsidR="009C4BF3" w:rsidRPr="0066307B" w:rsidRDefault="009C4BF3" w:rsidP="00E939FD">
            <w:pPr>
              <w:rPr>
                <w:rFonts w:eastAsia="Calibri"/>
                <w:szCs w:val="24"/>
              </w:rPr>
            </w:pPr>
            <w:r w:rsidRPr="0066307B">
              <w:rPr>
                <w:rFonts w:eastAsia="Calibri"/>
                <w:szCs w:val="24"/>
              </w:rPr>
              <w:lastRenderedPageBreak/>
              <w:t>1.</w:t>
            </w:r>
            <w:r w:rsidR="0062085F">
              <w:rPr>
                <w:rFonts w:eastAsia="Calibri"/>
                <w:szCs w:val="24"/>
              </w:rPr>
              <w:t>6</w:t>
            </w:r>
            <w:r w:rsidRPr="0066307B">
              <w:rPr>
                <w:rFonts w:eastAsia="Calibri"/>
                <w:szCs w:val="24"/>
              </w:rPr>
              <w:t>.</w:t>
            </w:r>
          </w:p>
        </w:tc>
        <w:tc>
          <w:tcPr>
            <w:tcW w:w="1678" w:type="dxa"/>
          </w:tcPr>
          <w:p w14:paraId="7E4B5836" w14:textId="77777777" w:rsidR="009C4BF3" w:rsidRPr="0066307B" w:rsidRDefault="009C4BF3" w:rsidP="001457A4">
            <w:pPr>
              <w:jc w:val="both"/>
              <w:rPr>
                <w:rFonts w:eastAsia="Calibri"/>
                <w:szCs w:val="24"/>
              </w:rPr>
            </w:pPr>
            <w:r w:rsidRPr="0066307B">
              <w:rPr>
                <w:rFonts w:eastAsia="Calibri"/>
                <w:szCs w:val="24"/>
              </w:rPr>
              <w:t>Kvalifikacijos reikalavimai</w:t>
            </w:r>
          </w:p>
        </w:tc>
        <w:tc>
          <w:tcPr>
            <w:tcW w:w="7484" w:type="dxa"/>
          </w:tcPr>
          <w:p w14:paraId="2B840FD2" w14:textId="77777777" w:rsidR="009C4BF3" w:rsidRPr="0066307B" w:rsidRDefault="009C4BF3" w:rsidP="001457A4">
            <w:pPr>
              <w:contextualSpacing/>
              <w:jc w:val="both"/>
              <w:rPr>
                <w:color w:val="auto"/>
                <w:sz w:val="20"/>
                <w:lang w:eastAsia="lt-LT"/>
              </w:rPr>
            </w:pPr>
            <w:r w:rsidRPr="0066307B">
              <w:rPr>
                <w:color w:val="auto"/>
                <w:szCs w:val="24"/>
                <w:lang w:eastAsia="lt-LT"/>
              </w:rPr>
              <w:t xml:space="preserve">Tiekėjas Perkančiajai organizacijai įsipareigoja, kad pirkimo sutartį vykdys tik tokią teisę turintys asmenys. </w:t>
            </w:r>
            <w:r w:rsidRPr="0066307B">
              <w:rPr>
                <w:iCs/>
                <w:color w:val="auto"/>
                <w:szCs w:val="24"/>
                <w:lang w:eastAsia="lt-LT"/>
              </w:rPr>
              <w:t xml:space="preserve">Tuo atveju, kai pasiūlymą teikia fizinis asmuo, jis, pirkimo laimėjimo atveju, </w:t>
            </w:r>
            <w:r w:rsidRPr="0066307B">
              <w:rPr>
                <w:rFonts w:eastAsia="Calibri"/>
                <w:color w:val="auto"/>
                <w:szCs w:val="24"/>
                <w:lang w:eastAsia="lt-LT"/>
              </w:rPr>
              <w:t>užsiėmimų dienomis</w:t>
            </w:r>
            <w:r w:rsidRPr="0066307B">
              <w:rPr>
                <w:iCs/>
                <w:color w:val="auto"/>
                <w:szCs w:val="24"/>
                <w:lang w:eastAsia="lt-LT"/>
              </w:rPr>
              <w:t xml:space="preserve"> privalės registruoti individualią veiklą ar įsigyti verslo liudijimą, jeigu teisės aktai leidžia atitinkamą veikla vykdyti tokiu pagrindu.</w:t>
            </w:r>
          </w:p>
        </w:tc>
      </w:tr>
      <w:tr w:rsidR="009C4BF3" w:rsidRPr="0066307B" w14:paraId="2C7A0498" w14:textId="77777777" w:rsidTr="00E939FD">
        <w:trPr>
          <w:trHeight w:val="510"/>
        </w:trPr>
        <w:tc>
          <w:tcPr>
            <w:tcW w:w="9747" w:type="dxa"/>
            <w:gridSpan w:val="3"/>
          </w:tcPr>
          <w:p w14:paraId="67E3E2A0" w14:textId="77777777" w:rsidR="009C4BF3" w:rsidRPr="0066307B" w:rsidRDefault="009C4BF3" w:rsidP="001457A4">
            <w:pPr>
              <w:jc w:val="both"/>
              <w:rPr>
                <w:rFonts w:eastAsia="Calibri"/>
                <w:b/>
                <w:szCs w:val="24"/>
              </w:rPr>
            </w:pPr>
            <w:r w:rsidRPr="0066307B">
              <w:rPr>
                <w:rFonts w:eastAsia="Calibri"/>
                <w:b/>
                <w:szCs w:val="24"/>
              </w:rPr>
              <w:t>2. Pagrindiniai reikalavimai paslaugų vykdymui:</w:t>
            </w:r>
          </w:p>
        </w:tc>
      </w:tr>
      <w:tr w:rsidR="000525BF" w:rsidRPr="0066307B" w14:paraId="7283946A" w14:textId="77777777" w:rsidTr="00E939FD">
        <w:tc>
          <w:tcPr>
            <w:tcW w:w="585" w:type="dxa"/>
          </w:tcPr>
          <w:p w14:paraId="600F0758" w14:textId="3F05B216" w:rsidR="000525BF" w:rsidRPr="0066307B" w:rsidRDefault="000525BF" w:rsidP="000525BF">
            <w:pPr>
              <w:rPr>
                <w:rFonts w:eastAsia="Calibri"/>
                <w:szCs w:val="24"/>
              </w:rPr>
            </w:pPr>
            <w:r>
              <w:rPr>
                <w:rFonts w:eastAsia="Calibri"/>
                <w:szCs w:val="24"/>
              </w:rPr>
              <w:t>2.1.</w:t>
            </w:r>
          </w:p>
        </w:tc>
        <w:tc>
          <w:tcPr>
            <w:tcW w:w="1678" w:type="dxa"/>
          </w:tcPr>
          <w:p w14:paraId="3B99A9CA" w14:textId="55917E40" w:rsidR="000525BF" w:rsidRPr="0066307B" w:rsidRDefault="000525BF" w:rsidP="001457A4">
            <w:pPr>
              <w:jc w:val="both"/>
              <w:rPr>
                <w:rFonts w:eastAsia="Calibri"/>
                <w:szCs w:val="24"/>
              </w:rPr>
            </w:pPr>
            <w:r>
              <w:rPr>
                <w:rFonts w:eastAsia="Calibri"/>
                <w:szCs w:val="24"/>
              </w:rPr>
              <w:t xml:space="preserve"> Paslaugos paskirtis</w:t>
            </w:r>
          </w:p>
        </w:tc>
        <w:tc>
          <w:tcPr>
            <w:tcW w:w="7484" w:type="dxa"/>
          </w:tcPr>
          <w:p w14:paraId="0057FA18" w14:textId="77777777" w:rsidR="00660B20" w:rsidRDefault="00660B20" w:rsidP="00660B20">
            <w:pPr>
              <w:spacing w:before="220" w:after="120" w:line="260" w:lineRule="exact"/>
              <w:ind w:right="-46"/>
              <w:jc w:val="both"/>
              <w:rPr>
                <w:rFonts w:eastAsia="Calibri"/>
                <w:color w:val="auto"/>
                <w:szCs w:val="24"/>
                <w:lang w:eastAsia="lt-LT"/>
              </w:rPr>
            </w:pPr>
            <w:r>
              <w:rPr>
                <w:rFonts w:eastAsia="Calibri"/>
                <w:color w:val="auto"/>
                <w:szCs w:val="24"/>
                <w:lang w:eastAsia="lt-LT"/>
              </w:rPr>
              <w:t>Paslauga skiriama asmenims, kurie yra nedirbę 12 mėn. ir ilgiau, gauna socialinę paramą ir yra vyresni nei 30 m.</w:t>
            </w:r>
          </w:p>
          <w:p w14:paraId="32BC07CA" w14:textId="77777777" w:rsidR="000525BF" w:rsidRPr="0066307B" w:rsidRDefault="000525BF" w:rsidP="001457A4">
            <w:pPr>
              <w:jc w:val="both"/>
              <w:rPr>
                <w:rFonts w:eastAsia="Calibri"/>
                <w:color w:val="auto"/>
                <w:szCs w:val="24"/>
              </w:rPr>
            </w:pPr>
          </w:p>
        </w:tc>
      </w:tr>
      <w:tr w:rsidR="009C4BF3" w:rsidRPr="0066307B" w14:paraId="4EA4623C" w14:textId="77777777" w:rsidTr="00E939FD">
        <w:tc>
          <w:tcPr>
            <w:tcW w:w="585" w:type="dxa"/>
          </w:tcPr>
          <w:p w14:paraId="3CE1A403" w14:textId="06E9DE6B" w:rsidR="009C4BF3" w:rsidRPr="0066307B" w:rsidRDefault="009C4BF3" w:rsidP="00E939FD">
            <w:pPr>
              <w:rPr>
                <w:rFonts w:eastAsia="Calibri"/>
                <w:szCs w:val="24"/>
              </w:rPr>
            </w:pPr>
            <w:r w:rsidRPr="0066307B">
              <w:rPr>
                <w:rFonts w:eastAsia="Calibri"/>
                <w:szCs w:val="24"/>
              </w:rPr>
              <w:t>2.</w:t>
            </w:r>
            <w:r w:rsidR="00AA2250">
              <w:rPr>
                <w:rFonts w:eastAsia="Calibri"/>
                <w:szCs w:val="24"/>
              </w:rPr>
              <w:t>2</w:t>
            </w:r>
            <w:r w:rsidRPr="0066307B">
              <w:rPr>
                <w:rFonts w:eastAsia="Calibri"/>
                <w:szCs w:val="24"/>
              </w:rPr>
              <w:t>.</w:t>
            </w:r>
          </w:p>
        </w:tc>
        <w:tc>
          <w:tcPr>
            <w:tcW w:w="1678" w:type="dxa"/>
          </w:tcPr>
          <w:p w14:paraId="375DEA85" w14:textId="77777777" w:rsidR="009C4BF3" w:rsidRPr="0066307B" w:rsidRDefault="009C4BF3" w:rsidP="001457A4">
            <w:pPr>
              <w:jc w:val="both"/>
              <w:rPr>
                <w:rFonts w:eastAsia="Calibri"/>
                <w:szCs w:val="24"/>
              </w:rPr>
            </w:pPr>
            <w:r w:rsidRPr="0066307B">
              <w:rPr>
                <w:rFonts w:eastAsia="Calibri"/>
                <w:color w:val="auto"/>
                <w:szCs w:val="24"/>
              </w:rPr>
              <w:t>Paslaugų teikimo procedūros</w:t>
            </w:r>
          </w:p>
        </w:tc>
        <w:tc>
          <w:tcPr>
            <w:tcW w:w="7484" w:type="dxa"/>
          </w:tcPr>
          <w:p w14:paraId="5F38A49A" w14:textId="77777777" w:rsidR="00963A5D" w:rsidRPr="0066307B" w:rsidRDefault="00963A5D" w:rsidP="00963A5D">
            <w:pPr>
              <w:spacing w:before="220" w:after="120" w:line="260" w:lineRule="exact"/>
              <w:ind w:left="76" w:right="-46"/>
              <w:contextualSpacing/>
              <w:jc w:val="both"/>
              <w:rPr>
                <w:rFonts w:eastAsia="Calibri"/>
                <w:color w:val="auto"/>
                <w:szCs w:val="24"/>
              </w:rPr>
            </w:pPr>
            <w:r w:rsidRPr="0066307B">
              <w:rPr>
                <w:rFonts w:eastAsia="Calibri"/>
                <w:color w:val="auto"/>
                <w:szCs w:val="24"/>
              </w:rPr>
              <w:t xml:space="preserve">Paslaugų teikimo vieta – </w:t>
            </w:r>
            <w:r>
              <w:rPr>
                <w:rFonts w:eastAsia="Calibri"/>
                <w:color w:val="auto"/>
                <w:szCs w:val="24"/>
              </w:rPr>
              <w:t>Panevėžio miesto savivaldybės teritorija.</w:t>
            </w:r>
            <w:r w:rsidRPr="0066307B">
              <w:rPr>
                <w:rFonts w:eastAsia="Calibri"/>
                <w:color w:val="auto"/>
                <w:szCs w:val="24"/>
              </w:rPr>
              <w:t xml:space="preserve"> Užsiėmimai vyksta pagal su Perkančiąja organizacija suderintą užsiėmimų tvarkaraštį. Užsiėmimų tvarkaraštis turi būti suderintas ne vėliau kaip prieš 5 dienas iki užsiėmimų pradžios.</w:t>
            </w:r>
          </w:p>
          <w:p w14:paraId="1B0F7FB0" w14:textId="77777777" w:rsidR="00963A5D" w:rsidRPr="0066307B" w:rsidRDefault="00963A5D" w:rsidP="00963A5D">
            <w:pPr>
              <w:numPr>
                <w:ilvl w:val="0"/>
                <w:numId w:val="1"/>
              </w:numPr>
              <w:spacing w:before="220" w:after="120" w:line="260" w:lineRule="exact"/>
              <w:ind w:right="-46"/>
              <w:contextualSpacing/>
              <w:jc w:val="both"/>
              <w:rPr>
                <w:rFonts w:eastAsia="Calibri"/>
                <w:color w:val="auto"/>
                <w:szCs w:val="24"/>
              </w:rPr>
            </w:pPr>
            <w:r>
              <w:rPr>
                <w:rFonts w:eastAsia="Calibri"/>
                <w:color w:val="auto"/>
                <w:szCs w:val="24"/>
              </w:rPr>
              <w:t xml:space="preserve">Dalyvius į užsiėmimus kviečia ir dalyvių sąrašą Tiekėjui pateikia Perkančioji organizacija. </w:t>
            </w:r>
            <w:r w:rsidRPr="0066307B">
              <w:rPr>
                <w:rFonts w:eastAsia="Calibri"/>
                <w:color w:val="auto"/>
                <w:szCs w:val="24"/>
              </w:rPr>
              <w:t>Dalyvių lankomumą žymi Tiekėjas. Po užsiėmimų paslaugų teikėjas Perkančiajai organizacijai turi pateikti dalyvių sąrašus su parašais.</w:t>
            </w:r>
          </w:p>
          <w:p w14:paraId="750EAA33" w14:textId="3CA25150" w:rsidR="009C4BF3" w:rsidRPr="0066307B" w:rsidRDefault="00963A5D" w:rsidP="00963A5D">
            <w:pPr>
              <w:numPr>
                <w:ilvl w:val="0"/>
                <w:numId w:val="1"/>
              </w:numPr>
              <w:spacing w:before="220" w:after="120" w:line="260" w:lineRule="exact"/>
              <w:ind w:right="-46"/>
              <w:contextualSpacing/>
              <w:jc w:val="both"/>
              <w:rPr>
                <w:rFonts w:eastAsia="Calibri"/>
                <w:color w:val="auto"/>
                <w:szCs w:val="24"/>
              </w:rPr>
            </w:pPr>
            <w:r w:rsidRPr="0066307B">
              <w:rPr>
                <w:rFonts w:eastAsia="Calibri"/>
                <w:color w:val="auto"/>
                <w:szCs w:val="24"/>
              </w:rPr>
              <w:t>Siūlomas valandos įkainis. Apmokama pagal faktiškai išdirbtas valandas.</w:t>
            </w:r>
          </w:p>
        </w:tc>
      </w:tr>
      <w:tr w:rsidR="001B00A7" w:rsidRPr="0066307B" w14:paraId="68E7B039" w14:textId="77777777" w:rsidTr="00E939FD">
        <w:tc>
          <w:tcPr>
            <w:tcW w:w="585" w:type="dxa"/>
          </w:tcPr>
          <w:p w14:paraId="586E138E" w14:textId="4A9CD0B4" w:rsidR="001B00A7" w:rsidRPr="0066307B" w:rsidRDefault="0062085F" w:rsidP="00E939FD">
            <w:pPr>
              <w:rPr>
                <w:rFonts w:eastAsia="Calibri"/>
                <w:szCs w:val="24"/>
              </w:rPr>
            </w:pPr>
            <w:r>
              <w:rPr>
                <w:rFonts w:eastAsia="Calibri"/>
                <w:szCs w:val="24"/>
              </w:rPr>
              <w:t>2.3</w:t>
            </w:r>
          </w:p>
        </w:tc>
        <w:tc>
          <w:tcPr>
            <w:tcW w:w="1678" w:type="dxa"/>
          </w:tcPr>
          <w:p w14:paraId="11F1117F" w14:textId="2C6473CF" w:rsidR="001B00A7" w:rsidRPr="0066307B" w:rsidRDefault="001B00A7" w:rsidP="001457A4">
            <w:pPr>
              <w:jc w:val="both"/>
              <w:rPr>
                <w:rFonts w:eastAsia="Calibri"/>
                <w:color w:val="auto"/>
                <w:szCs w:val="24"/>
              </w:rPr>
            </w:pPr>
            <w:r>
              <w:rPr>
                <w:rFonts w:eastAsia="Calibri"/>
                <w:szCs w:val="24"/>
              </w:rPr>
              <w:t>Paslaugų</w:t>
            </w:r>
            <w:r w:rsidRPr="00B70728">
              <w:rPr>
                <w:rFonts w:eastAsia="Calibri"/>
                <w:szCs w:val="24"/>
              </w:rPr>
              <w:t xml:space="preserve"> organizavimo būdas</w:t>
            </w:r>
          </w:p>
        </w:tc>
        <w:tc>
          <w:tcPr>
            <w:tcW w:w="7484" w:type="dxa"/>
          </w:tcPr>
          <w:p w14:paraId="5EA5D655" w14:textId="0CF2178E" w:rsidR="001B00A7" w:rsidRPr="00B70728" w:rsidRDefault="001B00A7" w:rsidP="001457A4">
            <w:pPr>
              <w:pStyle w:val="Sraopastraipa"/>
              <w:numPr>
                <w:ilvl w:val="0"/>
                <w:numId w:val="1"/>
              </w:numPr>
              <w:spacing w:before="220" w:after="120" w:line="260" w:lineRule="exact"/>
              <w:ind w:right="-46"/>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Pr="00B70728">
              <w:rPr>
                <w:rFonts w:ascii="Times New Roman" w:eastAsia="Calibri" w:hAnsi="Times New Roman" w:cs="Times New Roman"/>
                <w:sz w:val="24"/>
                <w:szCs w:val="24"/>
              </w:rPr>
              <w:t>iesioginis (esa</w:t>
            </w:r>
            <w:r w:rsidR="003D2275">
              <w:rPr>
                <w:rFonts w:ascii="Times New Roman" w:eastAsia="Calibri" w:hAnsi="Times New Roman" w:cs="Times New Roman"/>
                <w:sz w:val="24"/>
                <w:szCs w:val="24"/>
              </w:rPr>
              <w:t>n</w:t>
            </w:r>
            <w:r w:rsidRPr="00B70728">
              <w:rPr>
                <w:rFonts w:ascii="Times New Roman" w:eastAsia="Calibri" w:hAnsi="Times New Roman" w:cs="Times New Roman"/>
                <w:sz w:val="24"/>
                <w:szCs w:val="24"/>
              </w:rPr>
              <w:t xml:space="preserve">t sudėtingai </w:t>
            </w:r>
            <w:proofErr w:type="spellStart"/>
            <w:r w:rsidRPr="00B70728">
              <w:rPr>
                <w:rFonts w:ascii="Times New Roman" w:eastAsia="Calibri" w:hAnsi="Times New Roman" w:cs="Times New Roman"/>
                <w:sz w:val="24"/>
                <w:szCs w:val="24"/>
              </w:rPr>
              <w:t>pandeminei</w:t>
            </w:r>
            <w:proofErr w:type="spellEnd"/>
            <w:r w:rsidRPr="00B70728">
              <w:rPr>
                <w:rFonts w:ascii="Times New Roman" w:eastAsia="Calibri" w:hAnsi="Times New Roman" w:cs="Times New Roman"/>
                <w:sz w:val="24"/>
                <w:szCs w:val="24"/>
              </w:rPr>
              <w:t xml:space="preserve"> situacijai galimas ir nuotolinis būdas).</w:t>
            </w:r>
          </w:p>
          <w:p w14:paraId="6838DF9E" w14:textId="77777777" w:rsidR="001B00A7" w:rsidRPr="0066307B" w:rsidRDefault="001B00A7" w:rsidP="001457A4">
            <w:pPr>
              <w:numPr>
                <w:ilvl w:val="0"/>
                <w:numId w:val="1"/>
              </w:numPr>
              <w:spacing w:before="220" w:after="120" w:line="260" w:lineRule="exact"/>
              <w:ind w:right="-46"/>
              <w:contextualSpacing/>
              <w:jc w:val="both"/>
              <w:rPr>
                <w:rFonts w:eastAsia="Calibri"/>
                <w:color w:val="auto"/>
                <w:szCs w:val="24"/>
              </w:rPr>
            </w:pPr>
          </w:p>
        </w:tc>
      </w:tr>
    </w:tbl>
    <w:p w14:paraId="13596D71" w14:textId="77777777" w:rsidR="009C4BF3" w:rsidRPr="0066307B" w:rsidRDefault="009C4BF3" w:rsidP="009C4BF3">
      <w:pPr>
        <w:rPr>
          <w:rFonts w:eastAsia="Calibri"/>
          <w:color w:val="auto"/>
          <w:szCs w:val="24"/>
        </w:rPr>
      </w:pPr>
    </w:p>
    <w:p w14:paraId="68C85320" w14:textId="608E3D1C" w:rsidR="009C4BF3" w:rsidRPr="0066307B" w:rsidRDefault="008316CE" w:rsidP="009C4BF3">
      <w:pPr>
        <w:spacing w:before="100" w:beforeAutospacing="1" w:after="100" w:afterAutospacing="1"/>
        <w:ind w:firstLine="480"/>
        <w:jc w:val="both"/>
        <w:rPr>
          <w:iCs/>
          <w:color w:val="auto"/>
          <w:szCs w:val="24"/>
          <w:lang w:eastAsia="lt-LT"/>
        </w:rPr>
      </w:pPr>
      <w:r>
        <w:rPr>
          <w:rFonts w:eastAsia="Calibri"/>
          <w:color w:val="auto"/>
          <w:szCs w:val="24"/>
        </w:rPr>
        <w:t>Gitana Dargužienė</w:t>
      </w:r>
      <w:r w:rsidR="009C4BF3" w:rsidRPr="0066307B">
        <w:rPr>
          <w:rFonts w:eastAsia="Calibri"/>
          <w:color w:val="auto"/>
          <w:szCs w:val="24"/>
        </w:rPr>
        <w:t xml:space="preserve">, tel. (8 45) </w:t>
      </w:r>
      <w:r>
        <w:rPr>
          <w:rFonts w:eastAsia="Calibri"/>
          <w:szCs w:val="24"/>
        </w:rPr>
        <w:t>504463</w:t>
      </w:r>
      <w:r w:rsidR="009C4BF3" w:rsidRPr="0066307B">
        <w:rPr>
          <w:rFonts w:eastAsia="Calibri"/>
          <w:color w:val="auto"/>
          <w:szCs w:val="24"/>
        </w:rPr>
        <w:t xml:space="preserve">, el. p. </w:t>
      </w:r>
      <w:hyperlink r:id="rId5" w:history="1">
        <w:r w:rsidR="0062085F" w:rsidRPr="00D64751">
          <w:rPr>
            <w:rStyle w:val="Hipersaitas"/>
            <w:rFonts w:eastAsia="Calibri"/>
            <w:szCs w:val="24"/>
          </w:rPr>
          <w:t>gitana.darguziene</w:t>
        </w:r>
        <w:r w:rsidR="0062085F" w:rsidRPr="00D64751">
          <w:rPr>
            <w:rStyle w:val="Hipersaitas"/>
            <w:rFonts w:eastAsia="Calibri"/>
            <w:szCs w:val="24"/>
            <w:lang w:val="en-US"/>
          </w:rPr>
          <w:t>@panevezys.lt</w:t>
        </w:r>
      </w:hyperlink>
    </w:p>
    <w:p w14:paraId="5EC99CF5" w14:textId="77777777" w:rsidR="00151FD9" w:rsidRDefault="00151FD9"/>
    <w:sectPr w:rsidR="00151FD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87CD6"/>
    <w:multiLevelType w:val="hybridMultilevel"/>
    <w:tmpl w:val="A4609962"/>
    <w:lvl w:ilvl="0" w:tplc="43AA5DD8">
      <w:start w:val="1"/>
      <w:numFmt w:val="decimal"/>
      <w:lvlText w:val="%1."/>
      <w:lvlJc w:val="left"/>
      <w:pPr>
        <w:ind w:left="76" w:hanging="360"/>
      </w:pPr>
      <w:rPr>
        <w:rFonts w:hint="default"/>
      </w:rPr>
    </w:lvl>
    <w:lvl w:ilvl="1" w:tplc="04270019" w:tentative="1">
      <w:start w:val="1"/>
      <w:numFmt w:val="lowerLetter"/>
      <w:lvlText w:val="%2."/>
      <w:lvlJc w:val="left"/>
      <w:pPr>
        <w:ind w:left="796" w:hanging="360"/>
      </w:pPr>
    </w:lvl>
    <w:lvl w:ilvl="2" w:tplc="0427001B" w:tentative="1">
      <w:start w:val="1"/>
      <w:numFmt w:val="lowerRoman"/>
      <w:lvlText w:val="%3."/>
      <w:lvlJc w:val="right"/>
      <w:pPr>
        <w:ind w:left="1516" w:hanging="180"/>
      </w:pPr>
    </w:lvl>
    <w:lvl w:ilvl="3" w:tplc="0427000F" w:tentative="1">
      <w:start w:val="1"/>
      <w:numFmt w:val="decimal"/>
      <w:lvlText w:val="%4."/>
      <w:lvlJc w:val="left"/>
      <w:pPr>
        <w:ind w:left="2236" w:hanging="360"/>
      </w:pPr>
    </w:lvl>
    <w:lvl w:ilvl="4" w:tplc="04270019" w:tentative="1">
      <w:start w:val="1"/>
      <w:numFmt w:val="lowerLetter"/>
      <w:lvlText w:val="%5."/>
      <w:lvlJc w:val="left"/>
      <w:pPr>
        <w:ind w:left="2956" w:hanging="360"/>
      </w:pPr>
    </w:lvl>
    <w:lvl w:ilvl="5" w:tplc="0427001B" w:tentative="1">
      <w:start w:val="1"/>
      <w:numFmt w:val="lowerRoman"/>
      <w:lvlText w:val="%6."/>
      <w:lvlJc w:val="right"/>
      <w:pPr>
        <w:ind w:left="3676" w:hanging="180"/>
      </w:pPr>
    </w:lvl>
    <w:lvl w:ilvl="6" w:tplc="0427000F" w:tentative="1">
      <w:start w:val="1"/>
      <w:numFmt w:val="decimal"/>
      <w:lvlText w:val="%7."/>
      <w:lvlJc w:val="left"/>
      <w:pPr>
        <w:ind w:left="4396" w:hanging="360"/>
      </w:pPr>
    </w:lvl>
    <w:lvl w:ilvl="7" w:tplc="04270019" w:tentative="1">
      <w:start w:val="1"/>
      <w:numFmt w:val="lowerLetter"/>
      <w:lvlText w:val="%8."/>
      <w:lvlJc w:val="left"/>
      <w:pPr>
        <w:ind w:left="5116" w:hanging="360"/>
      </w:pPr>
    </w:lvl>
    <w:lvl w:ilvl="8" w:tplc="0427001B" w:tentative="1">
      <w:start w:val="1"/>
      <w:numFmt w:val="lowerRoman"/>
      <w:lvlText w:val="%9."/>
      <w:lvlJc w:val="right"/>
      <w:pPr>
        <w:ind w:left="5836" w:hanging="180"/>
      </w:pPr>
    </w:lvl>
  </w:abstractNum>
  <w:abstractNum w:abstractNumId="1" w15:restartNumberingAfterBreak="0">
    <w:nsid w:val="6D8304F0"/>
    <w:multiLevelType w:val="hybridMultilevel"/>
    <w:tmpl w:val="A4609962"/>
    <w:lvl w:ilvl="0" w:tplc="43AA5DD8">
      <w:start w:val="1"/>
      <w:numFmt w:val="decimal"/>
      <w:lvlText w:val="%1."/>
      <w:lvlJc w:val="left"/>
      <w:pPr>
        <w:ind w:left="76" w:hanging="360"/>
      </w:pPr>
      <w:rPr>
        <w:rFonts w:hint="default"/>
      </w:rPr>
    </w:lvl>
    <w:lvl w:ilvl="1" w:tplc="04270019" w:tentative="1">
      <w:start w:val="1"/>
      <w:numFmt w:val="lowerLetter"/>
      <w:lvlText w:val="%2."/>
      <w:lvlJc w:val="left"/>
      <w:pPr>
        <w:ind w:left="796" w:hanging="360"/>
      </w:pPr>
    </w:lvl>
    <w:lvl w:ilvl="2" w:tplc="0427001B" w:tentative="1">
      <w:start w:val="1"/>
      <w:numFmt w:val="lowerRoman"/>
      <w:lvlText w:val="%3."/>
      <w:lvlJc w:val="right"/>
      <w:pPr>
        <w:ind w:left="1516" w:hanging="180"/>
      </w:pPr>
    </w:lvl>
    <w:lvl w:ilvl="3" w:tplc="0427000F" w:tentative="1">
      <w:start w:val="1"/>
      <w:numFmt w:val="decimal"/>
      <w:lvlText w:val="%4."/>
      <w:lvlJc w:val="left"/>
      <w:pPr>
        <w:ind w:left="2236" w:hanging="360"/>
      </w:pPr>
    </w:lvl>
    <w:lvl w:ilvl="4" w:tplc="04270019" w:tentative="1">
      <w:start w:val="1"/>
      <w:numFmt w:val="lowerLetter"/>
      <w:lvlText w:val="%5."/>
      <w:lvlJc w:val="left"/>
      <w:pPr>
        <w:ind w:left="2956" w:hanging="360"/>
      </w:pPr>
    </w:lvl>
    <w:lvl w:ilvl="5" w:tplc="0427001B" w:tentative="1">
      <w:start w:val="1"/>
      <w:numFmt w:val="lowerRoman"/>
      <w:lvlText w:val="%6."/>
      <w:lvlJc w:val="right"/>
      <w:pPr>
        <w:ind w:left="3676" w:hanging="180"/>
      </w:pPr>
    </w:lvl>
    <w:lvl w:ilvl="6" w:tplc="0427000F" w:tentative="1">
      <w:start w:val="1"/>
      <w:numFmt w:val="decimal"/>
      <w:lvlText w:val="%7."/>
      <w:lvlJc w:val="left"/>
      <w:pPr>
        <w:ind w:left="4396" w:hanging="360"/>
      </w:pPr>
    </w:lvl>
    <w:lvl w:ilvl="7" w:tplc="04270019" w:tentative="1">
      <w:start w:val="1"/>
      <w:numFmt w:val="lowerLetter"/>
      <w:lvlText w:val="%8."/>
      <w:lvlJc w:val="left"/>
      <w:pPr>
        <w:ind w:left="5116" w:hanging="360"/>
      </w:pPr>
    </w:lvl>
    <w:lvl w:ilvl="8" w:tplc="0427001B" w:tentative="1">
      <w:start w:val="1"/>
      <w:numFmt w:val="lowerRoman"/>
      <w:lvlText w:val="%9."/>
      <w:lvlJc w:val="right"/>
      <w:pPr>
        <w:ind w:left="5836" w:hanging="180"/>
      </w:pPr>
    </w:lvl>
  </w:abstractNum>
  <w:num w:numId="1" w16cid:durableId="1860662334">
    <w:abstractNumId w:val="1"/>
  </w:num>
  <w:num w:numId="2" w16cid:durableId="635447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BF3"/>
    <w:rsid w:val="00030880"/>
    <w:rsid w:val="00035613"/>
    <w:rsid w:val="000525BF"/>
    <w:rsid w:val="000A0782"/>
    <w:rsid w:val="000A3044"/>
    <w:rsid w:val="00131537"/>
    <w:rsid w:val="001457A4"/>
    <w:rsid w:val="00151FD9"/>
    <w:rsid w:val="001908C0"/>
    <w:rsid w:val="001B00A7"/>
    <w:rsid w:val="001C104E"/>
    <w:rsid w:val="001F7074"/>
    <w:rsid w:val="0020423C"/>
    <w:rsid w:val="00237634"/>
    <w:rsid w:val="00240553"/>
    <w:rsid w:val="003349C4"/>
    <w:rsid w:val="0036769C"/>
    <w:rsid w:val="003D2275"/>
    <w:rsid w:val="003D5963"/>
    <w:rsid w:val="003F0024"/>
    <w:rsid w:val="00440B98"/>
    <w:rsid w:val="004B5463"/>
    <w:rsid w:val="00524746"/>
    <w:rsid w:val="00527F5B"/>
    <w:rsid w:val="00593D58"/>
    <w:rsid w:val="005A2193"/>
    <w:rsid w:val="005B4599"/>
    <w:rsid w:val="005D56DD"/>
    <w:rsid w:val="00607C09"/>
    <w:rsid w:val="0062085F"/>
    <w:rsid w:val="00625E77"/>
    <w:rsid w:val="00630302"/>
    <w:rsid w:val="00660B20"/>
    <w:rsid w:val="0066113F"/>
    <w:rsid w:val="006B25F9"/>
    <w:rsid w:val="006E3A62"/>
    <w:rsid w:val="007D5AB2"/>
    <w:rsid w:val="008316CE"/>
    <w:rsid w:val="008D4FF0"/>
    <w:rsid w:val="00963A5D"/>
    <w:rsid w:val="009C4BF3"/>
    <w:rsid w:val="00A25AA7"/>
    <w:rsid w:val="00A271FC"/>
    <w:rsid w:val="00AA2250"/>
    <w:rsid w:val="00B87AC5"/>
    <w:rsid w:val="00BB2617"/>
    <w:rsid w:val="00BC4D61"/>
    <w:rsid w:val="00BF3573"/>
    <w:rsid w:val="00C07AF6"/>
    <w:rsid w:val="00C2604E"/>
    <w:rsid w:val="00C83C46"/>
    <w:rsid w:val="00D02E19"/>
    <w:rsid w:val="00D3088E"/>
    <w:rsid w:val="00D47842"/>
    <w:rsid w:val="00DD7F09"/>
    <w:rsid w:val="00EB393F"/>
    <w:rsid w:val="00EC79CF"/>
    <w:rsid w:val="00EF365E"/>
    <w:rsid w:val="00EF435D"/>
    <w:rsid w:val="00F767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149F7"/>
  <w15:chartTrackingRefBased/>
  <w15:docId w15:val="{469AE335-83E6-478B-9175-0C4253BD3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4BF3"/>
    <w:pPr>
      <w:spacing w:after="0" w:line="240" w:lineRule="auto"/>
    </w:pPr>
    <w:rPr>
      <w:rFonts w:ascii="Times New Roman" w:eastAsia="Times New Roman" w:hAnsi="Times New Roman" w:cs="Times New Roman"/>
      <w:color w:val="000000"/>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F7074"/>
    <w:pPr>
      <w:spacing w:after="160" w:line="259" w:lineRule="auto"/>
      <w:ind w:left="720"/>
      <w:contextualSpacing/>
    </w:pPr>
    <w:rPr>
      <w:rFonts w:asciiTheme="minorHAnsi" w:eastAsiaTheme="minorHAnsi" w:hAnsiTheme="minorHAnsi" w:cstheme="minorBidi"/>
      <w:color w:val="auto"/>
      <w:sz w:val="22"/>
      <w:szCs w:val="22"/>
    </w:rPr>
  </w:style>
  <w:style w:type="character" w:styleId="Hipersaitas">
    <w:name w:val="Hyperlink"/>
    <w:basedOn w:val="Numatytasispastraiposriftas"/>
    <w:uiPriority w:val="99"/>
    <w:unhideWhenUsed/>
    <w:rsid w:val="008316CE"/>
    <w:rPr>
      <w:color w:val="0563C1" w:themeColor="hyperlink"/>
      <w:u w:val="single"/>
    </w:rPr>
  </w:style>
  <w:style w:type="character" w:styleId="Neapdorotaspaminjimas">
    <w:name w:val="Unresolved Mention"/>
    <w:basedOn w:val="Numatytasispastraiposriftas"/>
    <w:uiPriority w:val="99"/>
    <w:semiHidden/>
    <w:unhideWhenUsed/>
    <w:rsid w:val="008316CE"/>
    <w:rPr>
      <w:color w:val="605E5C"/>
      <w:shd w:val="clear" w:color="auto" w:fill="E1DFDD"/>
    </w:rPr>
  </w:style>
  <w:style w:type="character" w:styleId="Emfaz">
    <w:name w:val="Emphasis"/>
    <w:basedOn w:val="Numatytasispastraiposriftas"/>
    <w:uiPriority w:val="20"/>
    <w:qFormat/>
    <w:rsid w:val="003676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962767">
      <w:bodyDiv w:val="1"/>
      <w:marLeft w:val="0"/>
      <w:marRight w:val="0"/>
      <w:marTop w:val="0"/>
      <w:marBottom w:val="0"/>
      <w:divBdr>
        <w:top w:val="none" w:sz="0" w:space="0" w:color="auto"/>
        <w:left w:val="none" w:sz="0" w:space="0" w:color="auto"/>
        <w:bottom w:val="none" w:sz="0" w:space="0" w:color="auto"/>
        <w:right w:val="none" w:sz="0" w:space="0" w:color="auto"/>
      </w:divBdr>
    </w:div>
    <w:div w:id="184878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itana.darguziene@panevezy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3214</Words>
  <Characters>1832</Characters>
  <Application>Microsoft Office Word</Application>
  <DocSecurity>4</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L.Sobolevskyte</dc:creator>
  <cp:keywords/>
  <dc:description/>
  <cp:lastModifiedBy>Eglė Mickevičienė</cp:lastModifiedBy>
  <cp:revision>2</cp:revision>
  <cp:lastPrinted>2022-10-28T10:00:00Z</cp:lastPrinted>
  <dcterms:created xsi:type="dcterms:W3CDTF">2022-10-28T10:00:00Z</dcterms:created>
  <dcterms:modified xsi:type="dcterms:W3CDTF">2022-10-28T10:00:00Z</dcterms:modified>
</cp:coreProperties>
</file>