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FC8FC" w14:textId="0C007E64" w:rsidR="00FD55E5" w:rsidRPr="00AF728C" w:rsidRDefault="00F962E7" w:rsidP="00653740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FD55E5" w:rsidRPr="00AF728C">
        <w:rPr>
          <w:rFonts w:ascii="Times New Roman" w:hAnsi="Times New Roman" w:cs="Times New Roman"/>
        </w:rPr>
        <w:t>TSD-</w:t>
      </w:r>
      <w:r w:rsidR="00653740" w:rsidRPr="00653740">
        <w:rPr>
          <w:rFonts w:ascii="Times New Roman" w:hAnsi="Times New Roman" w:cs="Times New Roman"/>
        </w:rPr>
        <w:t>558</w:t>
      </w:r>
      <w:r w:rsidR="00FD55E5" w:rsidRPr="00AF728C">
        <w:rPr>
          <w:rFonts w:ascii="Times New Roman" w:hAnsi="Times New Roman" w:cs="Times New Roman"/>
        </w:rPr>
        <w:t xml:space="preserve">, </w:t>
      </w:r>
      <w:r w:rsidR="00F91EF0" w:rsidRPr="00AF728C">
        <w:rPr>
          <w:rFonts w:ascii="Times New Roman" w:hAnsi="Times New Roman" w:cs="Times New Roman"/>
        </w:rPr>
        <w:t>VPP</w:t>
      </w:r>
      <w:r w:rsidR="008C73DD" w:rsidRPr="00AF728C">
        <w:rPr>
          <w:rFonts w:ascii="Times New Roman" w:hAnsi="Times New Roman" w:cs="Times New Roman"/>
        </w:rPr>
        <w:t>-7896</w:t>
      </w:r>
    </w:p>
    <w:p w14:paraId="54DA5508" w14:textId="7246F5CD" w:rsidR="00FD55E5" w:rsidRPr="00AF728C" w:rsidRDefault="00FD55E5" w:rsidP="0056481D">
      <w:pPr>
        <w:spacing w:after="0" w:line="240" w:lineRule="auto"/>
        <w:rPr>
          <w:rFonts w:ascii="Times New Roman" w:hAnsi="Times New Roman" w:cs="Times New Roman"/>
        </w:rPr>
      </w:pPr>
    </w:p>
    <w:p w14:paraId="188B8AAE" w14:textId="77777777" w:rsidR="00612681" w:rsidRPr="00AF728C" w:rsidRDefault="00F91EF0" w:rsidP="001A2C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728C">
        <w:rPr>
          <w:rFonts w:ascii="Times New Roman" w:hAnsi="Times New Roman" w:cs="Times New Roman"/>
          <w:b/>
        </w:rPr>
        <w:t xml:space="preserve">Fiksacinių plokštelių įdubusios krūtinės ląstos korekcijai </w:t>
      </w:r>
      <w:r w:rsidR="00A2469B" w:rsidRPr="00AF728C">
        <w:rPr>
          <w:rFonts w:ascii="Times New Roman" w:hAnsi="Times New Roman" w:cs="Times New Roman"/>
          <w:b/>
        </w:rPr>
        <w:t>techninė specifikacija</w:t>
      </w:r>
      <w:r w:rsidR="00943361" w:rsidRPr="00AF728C">
        <w:rPr>
          <w:rFonts w:ascii="Times New Roman" w:hAnsi="Times New Roman" w:cs="Times New Roman"/>
          <w:b/>
        </w:rPr>
        <w:t xml:space="preserve"> </w:t>
      </w:r>
    </w:p>
    <w:p w14:paraId="411C9FD8" w14:textId="048427E3" w:rsidR="00A2469B" w:rsidRDefault="00612681" w:rsidP="005648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728C">
        <w:rPr>
          <w:rFonts w:ascii="Times New Roman" w:hAnsi="Times New Roman" w:cs="Times New Roman"/>
          <w:b/>
        </w:rPr>
        <w:t>(</w:t>
      </w:r>
      <w:r w:rsidRPr="00AF728C">
        <w:rPr>
          <w:rFonts w:ascii="Times New Roman" w:hAnsi="Times New Roman" w:cs="Times New Roman"/>
        </w:rPr>
        <w:t>orientacinis kiekis - 65 kompl</w:t>
      </w:r>
      <w:r w:rsidRPr="00AF728C">
        <w:rPr>
          <w:rFonts w:ascii="Times New Roman" w:hAnsi="Times New Roman" w:cs="Times New Roman"/>
          <w:b/>
        </w:rPr>
        <w:t>.)</w:t>
      </w:r>
    </w:p>
    <w:p w14:paraId="5CFADF91" w14:textId="77777777" w:rsidR="00F962E7" w:rsidRPr="0056481D" w:rsidRDefault="00F962E7" w:rsidP="005648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4820"/>
        <w:gridCol w:w="2976"/>
      </w:tblGrid>
      <w:tr w:rsidR="00F91EF0" w:rsidRPr="00AF728C" w14:paraId="68D4F86E" w14:textId="77777777" w:rsidTr="008C3262">
        <w:trPr>
          <w:trHeight w:val="7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CE835" w14:textId="77777777" w:rsidR="00910D5D" w:rsidRPr="00AF728C" w:rsidRDefault="00910D5D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F728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Eil.</w:t>
            </w:r>
          </w:p>
          <w:p w14:paraId="0FD4D85A" w14:textId="77777777" w:rsidR="00910D5D" w:rsidRPr="00AF728C" w:rsidRDefault="00910D5D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F728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Nr.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CB6C8" w14:textId="77777777" w:rsidR="00910D5D" w:rsidRPr="00AF728C" w:rsidRDefault="00910D5D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F728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Pavadinimas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D0F72" w14:textId="77777777" w:rsidR="00910D5D" w:rsidRPr="00AF728C" w:rsidRDefault="001A2C20" w:rsidP="0094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F728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Reikalaujami parametrai ir reikalaujamos parametrų reikšmės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63465" w14:textId="77777777" w:rsidR="00910D5D" w:rsidRPr="00AF728C" w:rsidRDefault="001A2C20" w:rsidP="009B1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F728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Siūlomi parametrai ir siūlomos parametrų reikšmės</w:t>
            </w:r>
          </w:p>
        </w:tc>
      </w:tr>
      <w:tr w:rsidR="006455DB" w:rsidRPr="00AF728C" w14:paraId="01CB09B6" w14:textId="77777777" w:rsidTr="00F235C1">
        <w:trPr>
          <w:trHeight w:val="7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AABCB4" w14:textId="39A87E08" w:rsidR="006455DB" w:rsidRPr="00AF728C" w:rsidRDefault="006455DB" w:rsidP="0064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F728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1628D2" w14:textId="2412428A" w:rsidR="006455DB" w:rsidRPr="00AF728C" w:rsidRDefault="006455DB" w:rsidP="006455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F728C">
              <w:rPr>
                <w:rFonts w:ascii="Times New Roman" w:eastAsia="Times New Roman" w:hAnsi="Times New Roman" w:cs="Times New Roman"/>
                <w:bCs/>
                <w:lang w:eastAsia="lt-LT"/>
              </w:rPr>
              <w:t>Komplektacija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EC294" w14:textId="70C62C03" w:rsidR="006455DB" w:rsidRPr="00AF728C" w:rsidRDefault="006455DB" w:rsidP="006455DB">
            <w:pPr>
              <w:numPr>
                <w:ilvl w:val="0"/>
                <w:numId w:val="5"/>
              </w:numPr>
              <w:spacing w:after="0" w:line="240" w:lineRule="auto"/>
              <w:ind w:left="178" w:hanging="178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F728C">
              <w:rPr>
                <w:rFonts w:ascii="Times New Roman" w:eastAsia="Times New Roman" w:hAnsi="Times New Roman" w:cs="Times New Roman"/>
                <w:lang w:eastAsia="lt-LT"/>
              </w:rPr>
              <w:t xml:space="preserve">Fiksacinė plokštelė </w:t>
            </w:r>
            <w:r w:rsidRPr="00AF728C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– </w:t>
            </w:r>
            <w:r w:rsidRPr="00AF728C">
              <w:rPr>
                <w:rFonts w:ascii="Times New Roman" w:eastAsia="Times New Roman" w:hAnsi="Times New Roman" w:cs="Times New Roman"/>
                <w:lang w:eastAsia="lt-LT"/>
              </w:rPr>
              <w:t>1 vnt;</w:t>
            </w:r>
          </w:p>
          <w:p w14:paraId="098B6FDA" w14:textId="1F2BB4C8" w:rsidR="006455DB" w:rsidRPr="00AF728C" w:rsidRDefault="006455DB" w:rsidP="006455DB">
            <w:pPr>
              <w:numPr>
                <w:ilvl w:val="0"/>
                <w:numId w:val="5"/>
              </w:numPr>
              <w:spacing w:after="0" w:line="240" w:lineRule="auto"/>
              <w:ind w:left="178" w:hanging="178"/>
              <w:contextualSpacing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AF728C">
              <w:rPr>
                <w:rFonts w:ascii="Times New Roman" w:eastAsia="Times New Roman" w:hAnsi="Times New Roman" w:cs="Times New Roman"/>
                <w:bCs/>
                <w:lang w:eastAsia="lt-LT"/>
              </w:rPr>
              <w:t>Stabilizatorius – 1 vnt;</w:t>
            </w:r>
          </w:p>
          <w:p w14:paraId="5028DB8D" w14:textId="5BE171B0" w:rsidR="006455DB" w:rsidRPr="00AF728C" w:rsidRDefault="006455DB" w:rsidP="006455DB">
            <w:pPr>
              <w:spacing w:after="0" w:line="240" w:lineRule="auto"/>
              <w:ind w:left="36" w:hanging="36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F728C">
              <w:rPr>
                <w:rFonts w:ascii="Times New Roman" w:eastAsia="Times New Roman" w:hAnsi="Times New Roman" w:cs="Times New Roman"/>
                <w:bCs/>
                <w:lang w:eastAsia="lt-LT"/>
              </w:rPr>
              <w:t>3. Užrakinamas sraigtas stabilizatoriui fiksuoti –   1 vnt.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1962D3" w14:textId="77777777" w:rsidR="006455DB" w:rsidRPr="00AF728C" w:rsidRDefault="006455DB" w:rsidP="006455DB">
            <w:pPr>
              <w:numPr>
                <w:ilvl w:val="0"/>
                <w:numId w:val="5"/>
              </w:numPr>
              <w:spacing w:after="0" w:line="240" w:lineRule="auto"/>
              <w:ind w:left="178" w:hanging="178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F728C">
              <w:rPr>
                <w:rFonts w:ascii="Times New Roman" w:eastAsia="Times New Roman" w:hAnsi="Times New Roman" w:cs="Times New Roman"/>
                <w:lang w:eastAsia="lt-LT"/>
              </w:rPr>
              <w:t xml:space="preserve">Fiksacinė plokštelė </w:t>
            </w:r>
            <w:r w:rsidRPr="00AF728C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– </w:t>
            </w:r>
            <w:r w:rsidRPr="00AF728C">
              <w:rPr>
                <w:rFonts w:ascii="Times New Roman" w:eastAsia="Times New Roman" w:hAnsi="Times New Roman" w:cs="Times New Roman"/>
                <w:lang w:eastAsia="lt-LT"/>
              </w:rPr>
              <w:t>1 vnt;</w:t>
            </w:r>
          </w:p>
          <w:p w14:paraId="19F11FD5" w14:textId="77777777" w:rsidR="006455DB" w:rsidRPr="00AF728C" w:rsidRDefault="006455DB" w:rsidP="006455DB">
            <w:pPr>
              <w:numPr>
                <w:ilvl w:val="0"/>
                <w:numId w:val="5"/>
              </w:numPr>
              <w:spacing w:after="0" w:line="240" w:lineRule="auto"/>
              <w:ind w:left="178" w:hanging="178"/>
              <w:contextualSpacing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AF728C">
              <w:rPr>
                <w:rFonts w:ascii="Times New Roman" w:eastAsia="Times New Roman" w:hAnsi="Times New Roman" w:cs="Times New Roman"/>
                <w:bCs/>
                <w:lang w:eastAsia="lt-LT"/>
              </w:rPr>
              <w:t>Stabilizatorius – 1 vnt;</w:t>
            </w:r>
          </w:p>
          <w:p w14:paraId="4A7B9334" w14:textId="525EE66D" w:rsidR="006455DB" w:rsidRPr="00AF728C" w:rsidRDefault="006455DB" w:rsidP="0064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F728C">
              <w:rPr>
                <w:rFonts w:ascii="Times New Roman" w:eastAsia="Times New Roman" w:hAnsi="Times New Roman" w:cs="Times New Roman"/>
                <w:bCs/>
                <w:lang w:eastAsia="lt-LT"/>
              </w:rPr>
              <w:t>3. Užrakinamas sraigtas stabilizatoriui fiksuoti –   1 vnt.</w:t>
            </w:r>
          </w:p>
        </w:tc>
      </w:tr>
      <w:tr w:rsidR="006455DB" w:rsidRPr="00AF728C" w14:paraId="1B311211" w14:textId="77777777" w:rsidTr="00DB325E">
        <w:trPr>
          <w:trHeight w:val="7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D4B89D3" w14:textId="378118A9" w:rsidR="006455DB" w:rsidRPr="00AF728C" w:rsidRDefault="006455DB" w:rsidP="0064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F728C">
              <w:rPr>
                <w:rFonts w:ascii="Times New Roman" w:eastAsia="Times New Roman" w:hAnsi="Times New Roman" w:cs="Times New Roman"/>
                <w:bCs/>
                <w:lang w:eastAsia="lt-LT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332C6" w14:textId="4BE86771" w:rsidR="006455DB" w:rsidRPr="00AF728C" w:rsidRDefault="006455DB" w:rsidP="006455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Fiksacinė plokštelė</w:t>
            </w:r>
            <w:r w:rsidRPr="00AF728C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C15F2A" w14:textId="77777777" w:rsidR="006455DB" w:rsidRPr="00AF728C" w:rsidRDefault="006455DB" w:rsidP="006455DB">
            <w:pPr>
              <w:pStyle w:val="NoSpacing"/>
              <w:numPr>
                <w:ilvl w:val="0"/>
                <w:numId w:val="6"/>
              </w:numPr>
              <w:ind w:left="178" w:hanging="178"/>
              <w:rPr>
                <w:rFonts w:ascii="Times New Roman" w:hAnsi="Times New Roman"/>
                <w:bCs/>
                <w:lang w:eastAsia="lt-LT"/>
              </w:rPr>
            </w:pPr>
            <w:r w:rsidRPr="00AF728C">
              <w:rPr>
                <w:rFonts w:ascii="Times New Roman" w:hAnsi="Times New Roman"/>
                <w:lang w:eastAsia="lt-LT"/>
              </w:rPr>
              <w:t>Skirta įdubusios krūtinės ląstos korekcijoms;</w:t>
            </w:r>
          </w:p>
          <w:p w14:paraId="3B6CA686" w14:textId="77777777" w:rsidR="006455DB" w:rsidRPr="00AF728C" w:rsidRDefault="006455DB" w:rsidP="006455DB">
            <w:pPr>
              <w:pStyle w:val="NoSpacing"/>
              <w:numPr>
                <w:ilvl w:val="0"/>
                <w:numId w:val="6"/>
              </w:numPr>
              <w:ind w:left="178" w:hanging="178"/>
              <w:rPr>
                <w:rFonts w:ascii="Times New Roman" w:hAnsi="Times New Roman"/>
                <w:bCs/>
                <w:lang w:eastAsia="lt-LT"/>
              </w:rPr>
            </w:pPr>
            <w:r w:rsidRPr="00AF728C">
              <w:rPr>
                <w:rFonts w:ascii="Times New Roman" w:hAnsi="Times New Roman"/>
                <w:lang w:eastAsia="lt-LT"/>
              </w:rPr>
              <w:t>Vienkartinio naudojimo;</w:t>
            </w:r>
          </w:p>
          <w:p w14:paraId="523D3B78" w14:textId="77777777" w:rsidR="006455DB" w:rsidRPr="00AF728C" w:rsidRDefault="006455DB" w:rsidP="006455DB">
            <w:pPr>
              <w:pStyle w:val="NoSpacing"/>
              <w:numPr>
                <w:ilvl w:val="0"/>
                <w:numId w:val="6"/>
              </w:numPr>
              <w:ind w:left="178" w:hanging="178"/>
              <w:rPr>
                <w:rFonts w:ascii="Times New Roman" w:hAnsi="Times New Roman"/>
                <w:bCs/>
                <w:lang w:eastAsia="lt-LT"/>
              </w:rPr>
            </w:pPr>
            <w:r w:rsidRPr="00AF728C">
              <w:rPr>
                <w:rFonts w:ascii="Times New Roman" w:hAnsi="Times New Roman"/>
                <w:lang w:eastAsia="lt-LT"/>
              </w:rPr>
              <w:t>Metalinė;</w:t>
            </w:r>
          </w:p>
          <w:p w14:paraId="121F4DCD" w14:textId="77777777" w:rsidR="006455DB" w:rsidRPr="00AF728C" w:rsidRDefault="006455DB" w:rsidP="006455DB">
            <w:pPr>
              <w:pStyle w:val="NoSpacing"/>
              <w:numPr>
                <w:ilvl w:val="0"/>
                <w:numId w:val="6"/>
              </w:numPr>
              <w:ind w:left="178" w:hanging="178"/>
              <w:rPr>
                <w:rFonts w:ascii="Times New Roman" w:hAnsi="Times New Roman"/>
                <w:bCs/>
                <w:lang w:eastAsia="lt-LT"/>
              </w:rPr>
            </w:pPr>
            <w:r w:rsidRPr="00AF728C">
              <w:rPr>
                <w:rFonts w:ascii="Times New Roman" w:hAnsi="Times New Roman"/>
                <w:lang w:eastAsia="lt-LT"/>
              </w:rPr>
              <w:t>Tiesi, abu galai suapvalinti;</w:t>
            </w:r>
          </w:p>
          <w:p w14:paraId="55F877D4" w14:textId="21934A8F" w:rsidR="006455DB" w:rsidRPr="00AF728C" w:rsidRDefault="006455DB" w:rsidP="006455DB">
            <w:pPr>
              <w:pStyle w:val="NoSpacing"/>
              <w:rPr>
                <w:rFonts w:ascii="Times New Roman" w:hAnsi="Times New Roman"/>
                <w:bCs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5. Plokštelė iš abiejų pusių</w:t>
            </w:r>
            <w:r w:rsidRPr="00AF728C">
              <w:rPr>
                <w:rFonts w:ascii="Times New Roman" w:hAnsi="Times New Roman"/>
                <w:lang w:eastAsia="lt-LT"/>
              </w:rPr>
              <w:t xml:space="preserve"> per visą </w:t>
            </w:r>
            <w:r>
              <w:rPr>
                <w:rFonts w:ascii="Times New Roman" w:hAnsi="Times New Roman"/>
                <w:lang w:eastAsia="lt-LT"/>
              </w:rPr>
              <w:t>ilgį su pusapvalėmis įkirtomis</w:t>
            </w:r>
            <w:r w:rsidRPr="00AF728C">
              <w:rPr>
                <w:rFonts w:ascii="Times New Roman" w:hAnsi="Times New Roman"/>
                <w:lang w:eastAsia="lt-LT"/>
              </w:rPr>
              <w:t xml:space="preserve"> atraumatiniu kraštu </w:t>
            </w:r>
            <w:r w:rsidRPr="00AF728C">
              <w:rPr>
                <w:rFonts w:ascii="Times New Roman" w:hAnsi="Times New Roman"/>
                <w:lang w:eastAsia="lt-LT"/>
              </w:rPr>
              <w:br/>
              <w:t xml:space="preserve">(t. y. kraštas lygus), </w:t>
            </w:r>
            <w:r>
              <w:rPr>
                <w:rFonts w:ascii="Times New Roman" w:hAnsi="Times New Roman"/>
                <w:lang w:eastAsia="lt-LT"/>
              </w:rPr>
              <w:t>abiejuose galuose po vieną 5±1</w:t>
            </w:r>
            <w:r w:rsidRPr="00AF728C">
              <w:rPr>
                <w:rFonts w:ascii="Times New Roman" w:hAnsi="Times New Roman"/>
                <w:lang w:eastAsia="lt-LT"/>
              </w:rPr>
              <w:t> mm kiaurymę stabilizatoriui fiksuoti užrakinamu sraigtu ir plokštelei įvesti/ištraukti;</w:t>
            </w:r>
          </w:p>
          <w:p w14:paraId="3819EF5C" w14:textId="15B56596" w:rsidR="006455DB" w:rsidRPr="00AF728C" w:rsidRDefault="006455DB" w:rsidP="006455DB">
            <w:pPr>
              <w:pStyle w:val="NoSpacing"/>
              <w:rPr>
                <w:rFonts w:ascii="Times New Roman" w:hAnsi="Times New Roman"/>
                <w:bCs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6. Plokštelė</w:t>
            </w:r>
            <w:r w:rsidRPr="00AF728C">
              <w:rPr>
                <w:rFonts w:ascii="Times New Roman" w:hAnsi="Times New Roman"/>
                <w:lang w:eastAsia="lt-LT"/>
              </w:rPr>
              <w:t xml:space="preserve"> abiejuose galuose fi</w:t>
            </w:r>
            <w:r>
              <w:rPr>
                <w:rFonts w:ascii="Times New Roman" w:hAnsi="Times New Roman"/>
                <w:lang w:eastAsia="lt-LT"/>
              </w:rPr>
              <w:t>ksuojama dešinės/kairės pusių (</w:t>
            </w:r>
            <w:r w:rsidRPr="00AF728C">
              <w:rPr>
                <w:rFonts w:ascii="Times New Roman" w:hAnsi="Times New Roman"/>
                <w:lang w:eastAsia="lt-LT"/>
              </w:rPr>
              <w:t>2×4×8)±0,5 mm dydžio stabilizatoriu ir sraigtu, užrakinančiu stabilizatorių plokštelėje;</w:t>
            </w:r>
          </w:p>
          <w:p w14:paraId="3DEFCEF0" w14:textId="5F237639" w:rsidR="006455DB" w:rsidRPr="00993AC2" w:rsidRDefault="006455DB" w:rsidP="006455DB">
            <w:pPr>
              <w:pStyle w:val="NoSpacing"/>
              <w:rPr>
                <w:rFonts w:ascii="Times New Roman" w:hAnsi="Times New Roman"/>
                <w:b/>
                <w:bCs/>
                <w:noProof/>
                <w:color w:val="FF0000"/>
                <w:lang w:eastAsia="lt-LT"/>
              </w:rPr>
            </w:pPr>
            <w:r w:rsidRPr="00AF728C">
              <w:rPr>
                <w:rFonts w:ascii="Times New Roman" w:hAnsi="Times New Roman"/>
                <w:lang w:eastAsia="lt-LT"/>
              </w:rPr>
              <w:t xml:space="preserve">7. Fiksacinės plokštelės ilgis pasirenkamas iš ne mažiau kaip 13 skirtingų ilgių: </w:t>
            </w:r>
            <w:r w:rsidRPr="00AF728C">
              <w:rPr>
                <w:rFonts w:ascii="Times New Roman" w:hAnsi="Times New Roman"/>
                <w:noProof/>
                <w:lang w:eastAsia="lt-LT"/>
              </w:rPr>
              <w:t>178±3 mm, 203±3 mm, 229±3 mm, 254±3 mm, 279±3 mm, 305±3mm, 330±3 mm, 356±3 mm</w:t>
            </w:r>
            <w:r>
              <w:rPr>
                <w:rFonts w:ascii="Times New Roman" w:hAnsi="Times New Roman"/>
                <w:noProof/>
                <w:lang w:eastAsia="lt-LT"/>
              </w:rPr>
              <w:t>, 381±3 mm, 406±3 mm, 432±3 mm.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8F7EAD" w14:textId="77777777" w:rsidR="006455DB" w:rsidRPr="00AF728C" w:rsidRDefault="006455DB" w:rsidP="006455DB">
            <w:pPr>
              <w:pStyle w:val="NoSpacing"/>
              <w:numPr>
                <w:ilvl w:val="0"/>
                <w:numId w:val="6"/>
              </w:numPr>
              <w:ind w:left="178" w:hanging="178"/>
              <w:rPr>
                <w:rFonts w:ascii="Times New Roman" w:hAnsi="Times New Roman"/>
                <w:bCs/>
                <w:lang w:eastAsia="lt-LT"/>
              </w:rPr>
            </w:pPr>
            <w:r w:rsidRPr="00AF728C">
              <w:rPr>
                <w:rFonts w:ascii="Times New Roman" w:hAnsi="Times New Roman"/>
                <w:lang w:eastAsia="lt-LT"/>
              </w:rPr>
              <w:t>Skirta įdubusios krūtinės ląstos korekcijoms;</w:t>
            </w:r>
          </w:p>
          <w:p w14:paraId="3EFBB1C7" w14:textId="77777777" w:rsidR="006455DB" w:rsidRPr="00AF728C" w:rsidRDefault="006455DB" w:rsidP="006455DB">
            <w:pPr>
              <w:pStyle w:val="NoSpacing"/>
              <w:numPr>
                <w:ilvl w:val="0"/>
                <w:numId w:val="6"/>
              </w:numPr>
              <w:ind w:left="178" w:hanging="178"/>
              <w:rPr>
                <w:rFonts w:ascii="Times New Roman" w:hAnsi="Times New Roman"/>
                <w:bCs/>
                <w:lang w:eastAsia="lt-LT"/>
              </w:rPr>
            </w:pPr>
            <w:r w:rsidRPr="00AF728C">
              <w:rPr>
                <w:rFonts w:ascii="Times New Roman" w:hAnsi="Times New Roman"/>
                <w:lang w:eastAsia="lt-LT"/>
              </w:rPr>
              <w:t>Vienkartinio naudojimo;</w:t>
            </w:r>
          </w:p>
          <w:p w14:paraId="58DFEDBE" w14:textId="77777777" w:rsidR="006455DB" w:rsidRPr="00AF728C" w:rsidRDefault="006455DB" w:rsidP="006455DB">
            <w:pPr>
              <w:pStyle w:val="NoSpacing"/>
              <w:numPr>
                <w:ilvl w:val="0"/>
                <w:numId w:val="6"/>
              </w:numPr>
              <w:ind w:left="178" w:hanging="178"/>
              <w:rPr>
                <w:rFonts w:ascii="Times New Roman" w:hAnsi="Times New Roman"/>
                <w:bCs/>
                <w:lang w:eastAsia="lt-LT"/>
              </w:rPr>
            </w:pPr>
            <w:r w:rsidRPr="00AF728C">
              <w:rPr>
                <w:rFonts w:ascii="Times New Roman" w:hAnsi="Times New Roman"/>
                <w:lang w:eastAsia="lt-LT"/>
              </w:rPr>
              <w:t>Metalinė;</w:t>
            </w:r>
          </w:p>
          <w:p w14:paraId="21B072AF" w14:textId="77777777" w:rsidR="006455DB" w:rsidRPr="00AF728C" w:rsidRDefault="006455DB" w:rsidP="006455DB">
            <w:pPr>
              <w:pStyle w:val="NoSpacing"/>
              <w:numPr>
                <w:ilvl w:val="0"/>
                <w:numId w:val="6"/>
              </w:numPr>
              <w:ind w:left="178" w:hanging="178"/>
              <w:rPr>
                <w:rFonts w:ascii="Times New Roman" w:hAnsi="Times New Roman"/>
                <w:bCs/>
                <w:lang w:eastAsia="lt-LT"/>
              </w:rPr>
            </w:pPr>
            <w:r w:rsidRPr="00AF728C">
              <w:rPr>
                <w:rFonts w:ascii="Times New Roman" w:hAnsi="Times New Roman"/>
                <w:lang w:eastAsia="lt-LT"/>
              </w:rPr>
              <w:t>Tiesi, abu galai suapvalinti;</w:t>
            </w:r>
          </w:p>
          <w:p w14:paraId="092C6331" w14:textId="60C4E20D" w:rsidR="006455DB" w:rsidRPr="00AF728C" w:rsidRDefault="006455DB" w:rsidP="006455DB">
            <w:pPr>
              <w:pStyle w:val="NoSpacing"/>
              <w:rPr>
                <w:rFonts w:ascii="Times New Roman" w:hAnsi="Times New Roman"/>
                <w:bCs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5. Plokštelė iš abiejų pusių</w:t>
            </w:r>
            <w:r w:rsidRPr="00AF728C">
              <w:rPr>
                <w:rFonts w:ascii="Times New Roman" w:hAnsi="Times New Roman"/>
                <w:lang w:eastAsia="lt-LT"/>
              </w:rPr>
              <w:t xml:space="preserve"> per visą </w:t>
            </w:r>
            <w:r>
              <w:rPr>
                <w:rFonts w:ascii="Times New Roman" w:hAnsi="Times New Roman"/>
                <w:lang w:eastAsia="lt-LT"/>
              </w:rPr>
              <w:t>ilgį su pusapvalėmis įkirtomis</w:t>
            </w:r>
            <w:r w:rsidRPr="00AF728C">
              <w:rPr>
                <w:rFonts w:ascii="Times New Roman" w:hAnsi="Times New Roman"/>
                <w:lang w:eastAsia="lt-LT"/>
              </w:rPr>
              <w:t xml:space="preserve"> atraumatiniu kraštu </w:t>
            </w:r>
            <w:r w:rsidRPr="00AF728C">
              <w:rPr>
                <w:rFonts w:ascii="Times New Roman" w:hAnsi="Times New Roman"/>
                <w:lang w:eastAsia="lt-LT"/>
              </w:rPr>
              <w:br/>
              <w:t xml:space="preserve">(t. y. kraštas lygus), </w:t>
            </w:r>
            <w:r>
              <w:rPr>
                <w:rFonts w:ascii="Times New Roman" w:hAnsi="Times New Roman"/>
                <w:lang w:eastAsia="lt-LT"/>
              </w:rPr>
              <w:t>abiejuose galuose po vieną 5</w:t>
            </w:r>
            <w:r w:rsidR="00836B58">
              <w:rPr>
                <w:rFonts w:ascii="Times New Roman" w:hAnsi="Times New Roman"/>
                <w:lang w:eastAsia="lt-LT"/>
              </w:rPr>
              <w:t xml:space="preserve"> </w:t>
            </w:r>
            <w:r w:rsidRPr="00AF728C">
              <w:rPr>
                <w:rFonts w:ascii="Times New Roman" w:hAnsi="Times New Roman"/>
                <w:lang w:eastAsia="lt-LT"/>
              </w:rPr>
              <w:t>mm kiaurymę stabilizatoriui fiksuoti užrakinamu sraigtu ir plokštelei įvesti/ištraukti;</w:t>
            </w:r>
          </w:p>
          <w:p w14:paraId="06E60A73" w14:textId="7A0B6677" w:rsidR="006455DB" w:rsidRPr="00AF728C" w:rsidRDefault="006455DB" w:rsidP="006455DB">
            <w:pPr>
              <w:pStyle w:val="NoSpacing"/>
              <w:rPr>
                <w:rFonts w:ascii="Times New Roman" w:hAnsi="Times New Roman"/>
                <w:bCs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6. Plokštelė</w:t>
            </w:r>
            <w:r w:rsidRPr="00AF728C">
              <w:rPr>
                <w:rFonts w:ascii="Times New Roman" w:hAnsi="Times New Roman"/>
                <w:lang w:eastAsia="lt-LT"/>
              </w:rPr>
              <w:t xml:space="preserve"> abiejuose galuose fi</w:t>
            </w:r>
            <w:r>
              <w:rPr>
                <w:rFonts w:ascii="Times New Roman" w:hAnsi="Times New Roman"/>
                <w:lang w:eastAsia="lt-LT"/>
              </w:rPr>
              <w:t>ksuojama dešinės/kairės pusių (</w:t>
            </w:r>
            <w:r w:rsidRPr="00AF728C">
              <w:rPr>
                <w:rFonts w:ascii="Times New Roman" w:hAnsi="Times New Roman"/>
                <w:lang w:eastAsia="lt-LT"/>
              </w:rPr>
              <w:t>2×4×8)mm dydžio stabilizatoriu ir sraigtu, užrakinančiu stabilizatorių plokštelėje;</w:t>
            </w:r>
          </w:p>
          <w:p w14:paraId="33E2B471" w14:textId="18658E51" w:rsidR="006455DB" w:rsidRPr="00AF728C" w:rsidRDefault="006455DB" w:rsidP="006455DB">
            <w:pPr>
              <w:spacing w:after="0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F728C">
              <w:rPr>
                <w:rFonts w:ascii="Times New Roman" w:hAnsi="Times New Roman"/>
                <w:lang w:eastAsia="lt-LT"/>
              </w:rPr>
              <w:t xml:space="preserve">7. Fiksacinės plokštelės ilgis pasirenkamas iš ne mažiau kaip 13 skirtingų ilgių: </w:t>
            </w:r>
            <w:r w:rsidRPr="00AF728C">
              <w:rPr>
                <w:rFonts w:ascii="Times New Roman" w:hAnsi="Times New Roman"/>
                <w:noProof/>
                <w:lang w:eastAsia="lt-LT"/>
              </w:rPr>
              <w:t>178mm, 203mm, 229mm, 254mm, 279mm, 305mm, 330mm, 356mm</w:t>
            </w:r>
            <w:r>
              <w:rPr>
                <w:rFonts w:ascii="Times New Roman" w:hAnsi="Times New Roman"/>
                <w:noProof/>
                <w:lang w:eastAsia="lt-LT"/>
              </w:rPr>
              <w:t>, 381mm, 406mm, 432mm</w:t>
            </w:r>
            <w:r w:rsidR="00C63820">
              <w:rPr>
                <w:rFonts w:ascii="Times New Roman" w:hAnsi="Times New Roman"/>
                <w:noProof/>
                <w:lang w:eastAsia="lt-LT"/>
              </w:rPr>
              <w:t>, 458 mm, 483 mm.</w:t>
            </w:r>
          </w:p>
        </w:tc>
      </w:tr>
      <w:tr w:rsidR="006455DB" w:rsidRPr="00AF728C" w14:paraId="550AC329" w14:textId="77777777" w:rsidTr="00C10A0F">
        <w:trPr>
          <w:trHeight w:val="7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B0335DC" w14:textId="43DB9A56" w:rsidR="006455DB" w:rsidRPr="00AF728C" w:rsidRDefault="006455DB" w:rsidP="0064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F728C">
              <w:rPr>
                <w:rFonts w:ascii="Times New Roman" w:eastAsia="Times New Roman" w:hAnsi="Times New Roman" w:cs="Times New Roman"/>
                <w:bCs/>
                <w:lang w:eastAsia="lt-LT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63B72" w14:textId="4AE9C2F8" w:rsidR="006455DB" w:rsidRPr="00AF728C" w:rsidRDefault="006455DB" w:rsidP="006455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F728C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Stabilizatorius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0F5F8" w14:textId="77777777" w:rsidR="006455DB" w:rsidRPr="00B062FD" w:rsidRDefault="006455DB" w:rsidP="006455DB">
            <w:pPr>
              <w:spacing w:after="0"/>
              <w:ind w:left="36" w:hanging="36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B062FD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1. Tinka fiksuoti fiksacinei plokštelei iš abiejų pusių; </w:t>
            </w:r>
          </w:p>
          <w:p w14:paraId="3C936E70" w14:textId="2FBF88A1" w:rsidR="006455DB" w:rsidRPr="00AF728C" w:rsidRDefault="006455DB" w:rsidP="006455DB">
            <w:pPr>
              <w:spacing w:after="0"/>
              <w:ind w:left="36" w:hanging="36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2. Dešinės/kairės pusių (</w:t>
            </w:r>
            <w:r w:rsidRPr="00B062FD">
              <w:rPr>
                <w:rFonts w:ascii="Times New Roman" w:eastAsia="Times New Roman" w:hAnsi="Times New Roman" w:cs="Times New Roman"/>
                <w:bCs/>
                <w:lang w:eastAsia="lt-LT"/>
              </w:rPr>
              <w:t>2x4x8)±0,5 mm, po dvi pailgas kiaurymes iš abiejų pusių (viso 4 kiaurymės), ir vieną apvalią rakinamą, kurioje stabilizatorius fiksuojamas prie plokštelės fiksaciniu užrakinamu sraigtu;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E2DA16" w14:textId="77777777" w:rsidR="006455DB" w:rsidRPr="00B062FD" w:rsidRDefault="006455DB" w:rsidP="006455DB">
            <w:pPr>
              <w:spacing w:after="0"/>
              <w:ind w:left="36" w:hanging="36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B062FD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1. Tinka fiksuoti fiksacinei plokštelei iš abiejų pusių; </w:t>
            </w:r>
          </w:p>
          <w:p w14:paraId="7F00996C" w14:textId="2846A569" w:rsidR="006455DB" w:rsidRPr="00AF728C" w:rsidRDefault="006455DB" w:rsidP="006455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2. Dešinės/kairės pusių (</w:t>
            </w:r>
            <w:r w:rsidRPr="00B062FD">
              <w:rPr>
                <w:rFonts w:ascii="Times New Roman" w:eastAsia="Times New Roman" w:hAnsi="Times New Roman" w:cs="Times New Roman"/>
                <w:bCs/>
                <w:lang w:eastAsia="lt-LT"/>
              </w:rPr>
              <w:t>2x4x8)mm, po dvi pailgas kiaurymes iš abiejų pusių (viso 4 kiaurymės), ir vieną apvalią rakinamą, kurioje stabilizatorius fiksuojamas prie plokštelės fiksaciniu užrakinamu sraigtu;</w:t>
            </w:r>
          </w:p>
        </w:tc>
      </w:tr>
      <w:tr w:rsidR="006455DB" w:rsidRPr="00AF728C" w14:paraId="28B8C81A" w14:textId="77777777" w:rsidTr="008C3262">
        <w:trPr>
          <w:trHeight w:val="7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9598DF" w14:textId="3387E3AC" w:rsidR="006455DB" w:rsidRPr="00AF728C" w:rsidRDefault="006455DB" w:rsidP="0064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1.3.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168158" w14:textId="1B7B842E" w:rsidR="006455DB" w:rsidRPr="00AF728C" w:rsidRDefault="006455DB" w:rsidP="006455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</w:pPr>
            <w:r w:rsidRPr="000F6073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Užrakinamas sraigtas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D011B" w14:textId="0C6EE167" w:rsidR="006455DB" w:rsidRPr="00B062FD" w:rsidRDefault="006455DB" w:rsidP="006455DB">
            <w:pPr>
              <w:spacing w:after="0"/>
              <w:ind w:left="36" w:hanging="36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0F6073">
              <w:rPr>
                <w:rFonts w:ascii="Times New Roman" w:eastAsia="Times New Roman" w:hAnsi="Times New Roman" w:cs="Times New Roman"/>
                <w:bCs/>
                <w:lang w:eastAsia="lt-LT"/>
              </w:rPr>
              <w:t>Užrakinamas sraigtas stabilizatoriui fiksuoti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0577A" w14:textId="15CA1FDF" w:rsidR="006455DB" w:rsidRPr="00AF728C" w:rsidRDefault="006455DB" w:rsidP="006455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6455DB">
              <w:rPr>
                <w:rFonts w:ascii="Times New Roman" w:eastAsia="Times New Roman" w:hAnsi="Times New Roman" w:cs="Times New Roman"/>
                <w:bCs/>
                <w:lang w:eastAsia="lt-LT"/>
              </w:rPr>
              <w:t>Užrakinamas sraigtas stabilizatoriui fiksuoti</w:t>
            </w:r>
          </w:p>
        </w:tc>
      </w:tr>
      <w:tr w:rsidR="006455DB" w:rsidRPr="00AF728C" w14:paraId="506D2739" w14:textId="77777777" w:rsidTr="008C3262">
        <w:trPr>
          <w:trHeight w:val="4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5F9AC7" w14:textId="7AB1B775" w:rsidR="006455DB" w:rsidRPr="00AF728C" w:rsidRDefault="006455DB" w:rsidP="006455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C1BD88" w14:textId="427CD508" w:rsidR="006455DB" w:rsidRPr="00AF728C" w:rsidRDefault="006455DB" w:rsidP="006455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Žymėjimas CE ženklu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90B9D7" w14:textId="588797FB" w:rsidR="006455DB" w:rsidRPr="00AF728C" w:rsidRDefault="006455DB" w:rsidP="006455DB">
            <w:pPr>
              <w:spacing w:after="0"/>
              <w:rPr>
                <w:rFonts w:ascii="Times New Roman" w:eastAsia="Calibri" w:hAnsi="Times New Roman" w:cs="Times New Roman"/>
                <w:noProof/>
              </w:rPr>
            </w:pPr>
            <w:r w:rsidRPr="000F6073">
              <w:rPr>
                <w:rFonts w:ascii="Times New Roman" w:eastAsia="Calibri" w:hAnsi="Times New Roman" w:cs="Times New Roman"/>
                <w:noProof/>
              </w:rPr>
              <w:t>Būtinas (</w:t>
            </w:r>
            <w:r w:rsidRPr="000F6073">
              <w:rPr>
                <w:rFonts w:ascii="Times New Roman" w:eastAsia="Calibri" w:hAnsi="Times New Roman" w:cs="Times New Roman"/>
                <w:i/>
                <w:noProof/>
              </w:rPr>
              <w:t>kartu su pasiūlymu konkursui privaloma pateikti galiojančio CE sertifikato arba EB atitikties deklaracijos kopiją</w:t>
            </w:r>
            <w:r w:rsidRPr="000F6073">
              <w:rPr>
                <w:rFonts w:ascii="Times New Roman" w:eastAsia="Calibri" w:hAnsi="Times New Roman" w:cs="Times New Roman"/>
                <w:noProof/>
              </w:rPr>
              <w:t>).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61FC1" w14:textId="45D79721" w:rsidR="006455DB" w:rsidRPr="00084CCC" w:rsidRDefault="00836B58" w:rsidP="006455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CE </w:t>
            </w:r>
          </w:p>
        </w:tc>
      </w:tr>
    </w:tbl>
    <w:p w14:paraId="348DA503" w14:textId="7BC2DDC5" w:rsidR="00F43C49" w:rsidRPr="00AF728C" w:rsidRDefault="00F43C49" w:rsidP="0056481D">
      <w:pPr>
        <w:spacing w:before="60" w:after="60"/>
        <w:rPr>
          <w:rFonts w:ascii="Times New Roman" w:hAnsi="Times New Roman" w:cs="Times New Roman"/>
          <w:b/>
          <w:color w:val="FF0000"/>
        </w:rPr>
      </w:pPr>
    </w:p>
    <w:p w14:paraId="73D0409A" w14:textId="77777777" w:rsidR="00910D5D" w:rsidRPr="00AF728C" w:rsidRDefault="00A2469B" w:rsidP="00924040">
      <w:pPr>
        <w:spacing w:before="60" w:after="60"/>
        <w:ind w:hanging="284"/>
        <w:rPr>
          <w:rFonts w:ascii="Times New Roman" w:hAnsi="Times New Roman" w:cs="Times New Roman"/>
          <w:b/>
        </w:rPr>
      </w:pPr>
      <w:r w:rsidRPr="00AF728C">
        <w:rPr>
          <w:rFonts w:ascii="Times New Roman" w:hAnsi="Times New Roman" w:cs="Times New Roman"/>
          <w:b/>
        </w:rPr>
        <w:lastRenderedPageBreak/>
        <w:t>Pa</w:t>
      </w:r>
      <w:r w:rsidR="00910D5D" w:rsidRPr="00AF728C">
        <w:rPr>
          <w:rFonts w:ascii="Times New Roman" w:hAnsi="Times New Roman" w:cs="Times New Roman"/>
          <w:b/>
        </w:rPr>
        <w:t>pildomi reikalavimai:</w:t>
      </w:r>
    </w:p>
    <w:p w14:paraId="174B4D1B" w14:textId="77777777" w:rsidR="00910D5D" w:rsidRPr="00AF728C" w:rsidRDefault="00A2469B" w:rsidP="00924040">
      <w:pPr>
        <w:pStyle w:val="ListParagraph"/>
        <w:numPr>
          <w:ilvl w:val="0"/>
          <w:numId w:val="2"/>
        </w:numPr>
        <w:spacing w:after="0"/>
        <w:ind w:left="0" w:right="140" w:hanging="284"/>
        <w:jc w:val="both"/>
        <w:rPr>
          <w:rFonts w:ascii="Times New Roman" w:hAnsi="Times New Roman" w:cs="Times New Roman"/>
        </w:rPr>
      </w:pPr>
      <w:r w:rsidRPr="00AF728C">
        <w:rPr>
          <w:rFonts w:ascii="Times New Roman" w:hAnsi="Times New Roman" w:cs="Times New Roman"/>
        </w:rPr>
        <w:t>Fiksacinių p</w:t>
      </w:r>
      <w:r w:rsidR="00910D5D" w:rsidRPr="00AF728C">
        <w:rPr>
          <w:rFonts w:ascii="Times New Roman" w:hAnsi="Times New Roman" w:cs="Times New Roman"/>
        </w:rPr>
        <w:t>lokštelių ka</w:t>
      </w:r>
      <w:r w:rsidRPr="00AF728C">
        <w:rPr>
          <w:rFonts w:ascii="Times New Roman" w:hAnsi="Times New Roman" w:cs="Times New Roman"/>
        </w:rPr>
        <w:t>ina, nepriklausomai nuo jų dydžių</w:t>
      </w:r>
      <w:r w:rsidR="00910D5D" w:rsidRPr="00AF728C">
        <w:rPr>
          <w:rFonts w:ascii="Times New Roman" w:hAnsi="Times New Roman" w:cs="Times New Roman"/>
        </w:rPr>
        <w:t>, turi būti vienoda.</w:t>
      </w:r>
    </w:p>
    <w:p w14:paraId="459BAADC" w14:textId="77777777" w:rsidR="000D1557" w:rsidRPr="00AF728C" w:rsidRDefault="00715421" w:rsidP="00924040">
      <w:pPr>
        <w:pStyle w:val="ListParagraph"/>
        <w:numPr>
          <w:ilvl w:val="0"/>
          <w:numId w:val="2"/>
        </w:numPr>
        <w:spacing w:after="0"/>
        <w:ind w:left="0" w:right="140" w:hanging="284"/>
        <w:jc w:val="both"/>
        <w:rPr>
          <w:rFonts w:ascii="Times New Roman" w:hAnsi="Times New Roman" w:cs="Times New Roman"/>
        </w:rPr>
      </w:pPr>
      <w:r w:rsidRPr="00AF728C">
        <w:rPr>
          <w:rFonts w:ascii="Times New Roman" w:hAnsi="Times New Roman" w:cs="Times New Roman"/>
        </w:rPr>
        <w:t>Būtina kartu su pasiūlymu pateikti originalų gamintojo katalogą, kuriame yra aprašyt</w:t>
      </w:r>
      <w:r w:rsidR="00A2469B" w:rsidRPr="00AF728C">
        <w:rPr>
          <w:rFonts w:ascii="Times New Roman" w:hAnsi="Times New Roman" w:cs="Times New Roman"/>
        </w:rPr>
        <w:t>os</w:t>
      </w:r>
      <w:r w:rsidRPr="00AF728C">
        <w:rPr>
          <w:rFonts w:ascii="Times New Roman" w:hAnsi="Times New Roman" w:cs="Times New Roman"/>
        </w:rPr>
        <w:t xml:space="preserve"> konkursui siūlom</w:t>
      </w:r>
      <w:r w:rsidR="00A2469B" w:rsidRPr="00AF728C">
        <w:rPr>
          <w:rFonts w:ascii="Times New Roman" w:hAnsi="Times New Roman" w:cs="Times New Roman"/>
        </w:rPr>
        <w:t>os fiksacinės plokštelės</w:t>
      </w:r>
      <w:r w:rsidRPr="00AF728C">
        <w:rPr>
          <w:rFonts w:ascii="Times New Roman" w:hAnsi="Times New Roman" w:cs="Times New Roman"/>
        </w:rPr>
        <w:t>.</w:t>
      </w:r>
      <w:r w:rsidR="000D1557" w:rsidRPr="00AF728C">
        <w:rPr>
          <w:rFonts w:ascii="Times New Roman" w:hAnsi="Times New Roman" w:cs="Times New Roman"/>
        </w:rPr>
        <w:t xml:space="preserve"> Bus vertinama tik tiekėjo pasiūlyta originaliame gamintojo kataloge nurodyta produkcija (nurodant prekių kodus). Tiekėjo pasiūlymai su gamintojo įsipareigojimu pagaminti fiksacines plokšteles pagal poreikį nebus priimami ir nebus vertinami.</w:t>
      </w:r>
    </w:p>
    <w:p w14:paraId="2FAC873D" w14:textId="5F500391" w:rsidR="00D74CF8" w:rsidRPr="00AF728C" w:rsidRDefault="00715421" w:rsidP="00CC5FBA">
      <w:pPr>
        <w:pStyle w:val="ListParagraph"/>
        <w:numPr>
          <w:ilvl w:val="0"/>
          <w:numId w:val="2"/>
        </w:numPr>
        <w:spacing w:after="0"/>
        <w:ind w:left="0" w:right="140" w:hanging="284"/>
        <w:jc w:val="both"/>
        <w:rPr>
          <w:rFonts w:ascii="Times New Roman" w:hAnsi="Times New Roman" w:cs="Times New Roman"/>
        </w:rPr>
      </w:pPr>
      <w:r w:rsidRPr="00AF728C">
        <w:rPr>
          <w:rFonts w:ascii="Times New Roman" w:hAnsi="Times New Roman" w:cs="Times New Roman"/>
        </w:rPr>
        <w:t xml:space="preserve">Viešojo pirkimo komisijai pareikalavus, </w:t>
      </w:r>
      <w:r w:rsidR="00642FC6" w:rsidRPr="00AF728C">
        <w:rPr>
          <w:rFonts w:ascii="Times New Roman" w:hAnsi="Times New Roman" w:cs="Times New Roman"/>
        </w:rPr>
        <w:t xml:space="preserve">įvertinimui </w:t>
      </w:r>
      <w:r w:rsidRPr="00AF728C">
        <w:rPr>
          <w:rFonts w:ascii="Times New Roman" w:hAnsi="Times New Roman" w:cs="Times New Roman"/>
        </w:rPr>
        <w:t xml:space="preserve">turi būti </w:t>
      </w:r>
      <w:r w:rsidR="00CC5FBA" w:rsidRPr="00AF728C">
        <w:rPr>
          <w:rFonts w:ascii="Times New Roman" w:hAnsi="Times New Roman" w:cs="Times New Roman"/>
        </w:rPr>
        <w:t>pateikti siūlomų prekių pavyzdžiai</w:t>
      </w:r>
      <w:r w:rsidRPr="00AF728C">
        <w:rPr>
          <w:rFonts w:ascii="Times New Roman" w:hAnsi="Times New Roman" w:cs="Times New Roman"/>
        </w:rPr>
        <w:t xml:space="preserve"> originalioje gamintojo pakuotėje</w:t>
      </w:r>
      <w:r w:rsidR="00642FC6" w:rsidRPr="00AF728C">
        <w:rPr>
          <w:rFonts w:ascii="Times New Roman" w:hAnsi="Times New Roman" w:cs="Times New Roman"/>
        </w:rPr>
        <w:t>.</w:t>
      </w:r>
    </w:p>
    <w:p w14:paraId="08CD0A80" w14:textId="13B83F8D" w:rsidR="00C4261D" w:rsidRPr="00AF728C" w:rsidRDefault="00715421" w:rsidP="00D74CF8">
      <w:pPr>
        <w:pStyle w:val="ListParagraph"/>
        <w:numPr>
          <w:ilvl w:val="0"/>
          <w:numId w:val="2"/>
        </w:numPr>
        <w:spacing w:after="0"/>
        <w:ind w:left="0" w:right="140" w:hanging="284"/>
        <w:jc w:val="both"/>
        <w:rPr>
          <w:rFonts w:ascii="Times New Roman" w:hAnsi="Times New Roman" w:cs="Times New Roman"/>
        </w:rPr>
      </w:pPr>
      <w:r w:rsidRPr="00AF728C">
        <w:rPr>
          <w:rFonts w:ascii="Times New Roman" w:hAnsi="Times New Roman" w:cs="Times New Roman"/>
        </w:rPr>
        <w:t>Gavęs fiksacinių plokštelių užsakymą, tiekėj</w:t>
      </w:r>
      <w:r w:rsidR="00A17D87" w:rsidRPr="00AF728C">
        <w:rPr>
          <w:rFonts w:ascii="Times New Roman" w:hAnsi="Times New Roman" w:cs="Times New Roman"/>
        </w:rPr>
        <w:t>as privalo ne vėliau kaip per 14</w:t>
      </w:r>
      <w:r w:rsidRPr="00AF728C">
        <w:rPr>
          <w:rFonts w:ascii="Times New Roman" w:hAnsi="Times New Roman" w:cs="Times New Roman"/>
        </w:rPr>
        <w:t xml:space="preserve"> kalendorinių dienų pateikti gydymo įstaigai </w:t>
      </w:r>
      <w:r w:rsidR="00D74CF8" w:rsidRPr="00AF728C">
        <w:rPr>
          <w:rFonts w:ascii="Times New Roman" w:hAnsi="Times New Roman" w:cs="Times New Roman"/>
        </w:rPr>
        <w:t>šių implantų naudojimui skirtus</w:t>
      </w:r>
      <w:r w:rsidRPr="00AF728C">
        <w:rPr>
          <w:rFonts w:ascii="Times New Roman" w:hAnsi="Times New Roman" w:cs="Times New Roman"/>
        </w:rPr>
        <w:t xml:space="preserve"> instrumentus, sudėtus gamintojo numatytuose metaliniuose, sterilizavimui pritaikytuose konteineriuose</w:t>
      </w:r>
      <w:r w:rsidR="000D1557" w:rsidRPr="00AF728C">
        <w:rPr>
          <w:rFonts w:ascii="Times New Roman" w:hAnsi="Times New Roman" w:cs="Times New Roman"/>
        </w:rPr>
        <w:t xml:space="preserve"> </w:t>
      </w:r>
      <w:r w:rsidR="00A17D87" w:rsidRPr="00AF728C">
        <w:rPr>
          <w:rFonts w:ascii="Times New Roman" w:eastAsia="Times New Roman" w:hAnsi="Times New Roman" w:cs="Times New Roman"/>
          <w:b/>
        </w:rPr>
        <w:t>arba</w:t>
      </w:r>
      <w:r w:rsidR="00A17D87" w:rsidRPr="00AF728C">
        <w:rPr>
          <w:rFonts w:ascii="Times New Roman" w:eastAsia="Times New Roman" w:hAnsi="Times New Roman" w:cs="Times New Roman"/>
        </w:rPr>
        <w:t xml:space="preserve"> implantai turi būti suderinami su gamintojo MedXpert GmbH  instrumentais turimais Vaikų chirurgijos klinikos operacinėje </w:t>
      </w:r>
      <w:r w:rsidR="000D1557" w:rsidRPr="00AF728C">
        <w:rPr>
          <w:rFonts w:ascii="Times New Roman" w:hAnsi="Times New Roman" w:cs="Times New Roman"/>
          <w:b/>
          <w:i/>
        </w:rPr>
        <w:t>(</w:t>
      </w:r>
      <w:r w:rsidR="00A17D87" w:rsidRPr="00AF728C">
        <w:rPr>
          <w:rFonts w:ascii="Times New Roman" w:hAnsi="Times New Roman" w:cs="Times New Roman"/>
          <w:b/>
          <w:i/>
        </w:rPr>
        <w:t>būtinas atitinkamas tiekėjo patvirtinimas</w:t>
      </w:r>
      <w:r w:rsidR="000D1557" w:rsidRPr="00AF728C">
        <w:rPr>
          <w:rFonts w:ascii="Times New Roman" w:hAnsi="Times New Roman" w:cs="Times New Roman"/>
          <w:b/>
          <w:i/>
        </w:rPr>
        <w:t>)</w:t>
      </w:r>
      <w:r w:rsidRPr="00AF728C">
        <w:rPr>
          <w:rFonts w:ascii="Times New Roman" w:hAnsi="Times New Roman" w:cs="Times New Roman"/>
          <w:b/>
        </w:rPr>
        <w:t>.</w:t>
      </w:r>
      <w:r w:rsidRPr="00AF728C">
        <w:rPr>
          <w:rFonts w:ascii="Times New Roman" w:hAnsi="Times New Roman" w:cs="Times New Roman"/>
        </w:rPr>
        <w:t xml:space="preserve"> </w:t>
      </w:r>
    </w:p>
    <w:p w14:paraId="75230B84" w14:textId="723D8CAE" w:rsidR="00A17D87" w:rsidRPr="00EF7261" w:rsidRDefault="00715421" w:rsidP="00C4261D">
      <w:pPr>
        <w:pStyle w:val="ListParagraph"/>
        <w:numPr>
          <w:ilvl w:val="0"/>
          <w:numId w:val="2"/>
        </w:numPr>
        <w:spacing w:after="0"/>
        <w:ind w:left="0" w:right="140" w:hanging="284"/>
        <w:jc w:val="both"/>
        <w:rPr>
          <w:rFonts w:ascii="Times New Roman" w:hAnsi="Times New Roman" w:cs="Times New Roman"/>
          <w:i/>
        </w:rPr>
      </w:pPr>
      <w:r w:rsidRPr="00AF728C">
        <w:rPr>
          <w:rFonts w:ascii="Times New Roman" w:hAnsi="Times New Roman" w:cs="Times New Roman"/>
        </w:rPr>
        <w:t>Tiekėjas savo lėšomis praveda operacinės medicinos personalo apmokymą - supažindina su pateiktų fiksacinių plokštelių bei darbui su jomis skirtų instrumentų naudojimo ypatumais</w:t>
      </w:r>
      <w:r w:rsidR="000D1557" w:rsidRPr="00AF728C">
        <w:rPr>
          <w:rFonts w:ascii="Times New Roman" w:hAnsi="Times New Roman" w:cs="Times New Roman"/>
        </w:rPr>
        <w:t xml:space="preserve"> </w:t>
      </w:r>
      <w:r w:rsidR="00A17D87" w:rsidRPr="00AF728C">
        <w:rPr>
          <w:rFonts w:ascii="Times New Roman" w:hAnsi="Times New Roman" w:cs="Times New Roman"/>
        </w:rPr>
        <w:t>(</w:t>
      </w:r>
      <w:r w:rsidR="00A17D87" w:rsidRPr="00AF728C">
        <w:rPr>
          <w:rFonts w:ascii="Times New Roman" w:hAnsi="Times New Roman" w:cs="Times New Roman"/>
          <w:b/>
          <w:i/>
        </w:rPr>
        <w:t>būtinas atitinkamas tiekėjo patvirtinimas</w:t>
      </w:r>
      <w:r w:rsidR="00A17D87" w:rsidRPr="00EF7261">
        <w:rPr>
          <w:rFonts w:ascii="Times New Roman" w:hAnsi="Times New Roman" w:cs="Times New Roman"/>
          <w:i/>
        </w:rPr>
        <w:t>)</w:t>
      </w:r>
      <w:r w:rsidR="00EF7261" w:rsidRPr="00EF7261">
        <w:rPr>
          <w:rFonts w:ascii="Times New Roman" w:hAnsi="Times New Roman" w:cs="Times New Roman"/>
          <w:i/>
        </w:rPr>
        <w:t>.</w:t>
      </w:r>
    </w:p>
    <w:p w14:paraId="72E87B13" w14:textId="4F2D3817" w:rsidR="009020C2" w:rsidRDefault="00C4261D" w:rsidP="00943361">
      <w:pPr>
        <w:pStyle w:val="ListParagraph"/>
        <w:numPr>
          <w:ilvl w:val="0"/>
          <w:numId w:val="2"/>
        </w:numPr>
        <w:spacing w:after="0"/>
        <w:ind w:left="0" w:right="140" w:hanging="284"/>
        <w:jc w:val="both"/>
        <w:rPr>
          <w:rFonts w:ascii="Times New Roman" w:hAnsi="Times New Roman" w:cs="Times New Roman"/>
        </w:rPr>
      </w:pPr>
      <w:r w:rsidRPr="00AF728C">
        <w:rPr>
          <w:rFonts w:ascii="Times New Roman" w:hAnsi="Times New Roman" w:cs="Times New Roman"/>
        </w:rPr>
        <w:t>Atsiimant laikinam naudojimui pateiktus instrumentų rinkinius, pagrindiniai specialūs instrumentai, kurie yra reikalingi implantų išėmimui, gydymo įstaigai paliekami neribotam laikui (pavyzdžiui, perduodami paramos būdu).</w:t>
      </w:r>
    </w:p>
    <w:p w14:paraId="16F7262D" w14:textId="540E3D9A" w:rsidR="00353C88" w:rsidRDefault="00353C88" w:rsidP="00353C88">
      <w:pPr>
        <w:spacing w:after="0"/>
        <w:ind w:right="140"/>
        <w:jc w:val="both"/>
        <w:rPr>
          <w:rFonts w:ascii="Times New Roman" w:hAnsi="Times New Roman" w:cs="Times New Roman"/>
        </w:rPr>
      </w:pPr>
    </w:p>
    <w:p w14:paraId="415E2060" w14:textId="37A4D147" w:rsidR="00653740" w:rsidRDefault="00653740" w:rsidP="00353C88">
      <w:pPr>
        <w:spacing w:after="0"/>
        <w:ind w:right="140"/>
        <w:jc w:val="both"/>
        <w:rPr>
          <w:rFonts w:ascii="Times New Roman" w:hAnsi="Times New Roman" w:cs="Times New Roman"/>
        </w:rPr>
      </w:pPr>
    </w:p>
    <w:p w14:paraId="48FD61DD" w14:textId="77777777" w:rsidR="00653740" w:rsidRPr="00353C88" w:rsidRDefault="00653740" w:rsidP="00353C88">
      <w:pPr>
        <w:spacing w:after="0"/>
        <w:ind w:right="140"/>
        <w:jc w:val="both"/>
        <w:rPr>
          <w:rFonts w:ascii="Times New Roman" w:hAnsi="Times New Roman" w:cs="Times New Roman"/>
        </w:rPr>
      </w:pPr>
    </w:p>
    <w:sectPr w:rsidR="00653740" w:rsidRPr="00353C88" w:rsidSect="00C4261D">
      <w:footerReference w:type="default" r:id="rId11"/>
      <w:pgSz w:w="11906" w:h="16838"/>
      <w:pgMar w:top="709" w:right="567" w:bottom="567" w:left="1701" w:header="283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3E784" w14:textId="77777777" w:rsidR="0009153F" w:rsidRDefault="0009153F" w:rsidP="000D1557">
      <w:pPr>
        <w:spacing w:after="0" w:line="240" w:lineRule="auto"/>
      </w:pPr>
      <w:r>
        <w:separator/>
      </w:r>
    </w:p>
  </w:endnote>
  <w:endnote w:type="continuationSeparator" w:id="0">
    <w:p w14:paraId="190D25C8" w14:textId="77777777" w:rsidR="0009153F" w:rsidRDefault="0009153F" w:rsidP="000D1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7919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B39375" w14:textId="783BB798" w:rsidR="000D1557" w:rsidRDefault="000E34E6">
        <w:pPr>
          <w:pStyle w:val="Footer"/>
          <w:jc w:val="right"/>
        </w:pPr>
        <w:r>
          <w:fldChar w:fldCharType="begin"/>
        </w:r>
        <w:r w:rsidR="000D1557">
          <w:instrText xml:space="preserve"> PAGE   \* MERGEFORMAT </w:instrText>
        </w:r>
        <w:r>
          <w:fldChar w:fldCharType="separate"/>
        </w:r>
        <w:r w:rsidR="00DA2E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2CF493" w14:textId="77777777" w:rsidR="000D1557" w:rsidRDefault="000D1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B3A10" w14:textId="77777777" w:rsidR="0009153F" w:rsidRDefault="0009153F" w:rsidP="000D1557">
      <w:pPr>
        <w:spacing w:after="0" w:line="240" w:lineRule="auto"/>
      </w:pPr>
      <w:r>
        <w:separator/>
      </w:r>
    </w:p>
  </w:footnote>
  <w:footnote w:type="continuationSeparator" w:id="0">
    <w:p w14:paraId="6FB333C0" w14:textId="77777777" w:rsidR="0009153F" w:rsidRDefault="0009153F" w:rsidP="000D1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2E2"/>
    <w:multiLevelType w:val="hybridMultilevel"/>
    <w:tmpl w:val="3BB883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6FDC"/>
    <w:multiLevelType w:val="hybridMultilevel"/>
    <w:tmpl w:val="25B628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313E"/>
    <w:multiLevelType w:val="hybridMultilevel"/>
    <w:tmpl w:val="2878F010"/>
    <w:lvl w:ilvl="0" w:tplc="F4060B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53742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D31E37"/>
    <w:multiLevelType w:val="hybridMultilevel"/>
    <w:tmpl w:val="6DDE59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16659"/>
    <w:multiLevelType w:val="hybridMultilevel"/>
    <w:tmpl w:val="9FD2B08C"/>
    <w:lvl w:ilvl="0" w:tplc="978412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5D"/>
    <w:rsid w:val="00017250"/>
    <w:rsid w:val="00047558"/>
    <w:rsid w:val="00054118"/>
    <w:rsid w:val="00072133"/>
    <w:rsid w:val="0008305F"/>
    <w:rsid w:val="00084CCC"/>
    <w:rsid w:val="00087C92"/>
    <w:rsid w:val="0009153F"/>
    <w:rsid w:val="00093B85"/>
    <w:rsid w:val="000953BA"/>
    <w:rsid w:val="00097FF6"/>
    <w:rsid w:val="000B77C1"/>
    <w:rsid w:val="000D1557"/>
    <w:rsid w:val="000D61DB"/>
    <w:rsid w:val="000E0819"/>
    <w:rsid w:val="000E34E6"/>
    <w:rsid w:val="000F131C"/>
    <w:rsid w:val="000F6073"/>
    <w:rsid w:val="0010368F"/>
    <w:rsid w:val="0011081C"/>
    <w:rsid w:val="001126A6"/>
    <w:rsid w:val="00126562"/>
    <w:rsid w:val="00132980"/>
    <w:rsid w:val="0013302A"/>
    <w:rsid w:val="00155F5D"/>
    <w:rsid w:val="001870B9"/>
    <w:rsid w:val="001A2C20"/>
    <w:rsid w:val="001A6163"/>
    <w:rsid w:val="001B15D6"/>
    <w:rsid w:val="001C4F99"/>
    <w:rsid w:val="001E29D6"/>
    <w:rsid w:val="001F49A8"/>
    <w:rsid w:val="00232730"/>
    <w:rsid w:val="002434F4"/>
    <w:rsid w:val="0025134D"/>
    <w:rsid w:val="00286D58"/>
    <w:rsid w:val="002A3209"/>
    <w:rsid w:val="002B4157"/>
    <w:rsid w:val="002B79F1"/>
    <w:rsid w:val="002C4AB9"/>
    <w:rsid w:val="002D32A7"/>
    <w:rsid w:val="00321151"/>
    <w:rsid w:val="00326BFE"/>
    <w:rsid w:val="00333C3B"/>
    <w:rsid w:val="003524BD"/>
    <w:rsid w:val="00353C88"/>
    <w:rsid w:val="00365239"/>
    <w:rsid w:val="00365852"/>
    <w:rsid w:val="00386194"/>
    <w:rsid w:val="00390E34"/>
    <w:rsid w:val="003959E0"/>
    <w:rsid w:val="003A021B"/>
    <w:rsid w:val="003A0560"/>
    <w:rsid w:val="003B7464"/>
    <w:rsid w:val="003E4A41"/>
    <w:rsid w:val="00427412"/>
    <w:rsid w:val="004345E5"/>
    <w:rsid w:val="004451EF"/>
    <w:rsid w:val="00457E4B"/>
    <w:rsid w:val="0046749E"/>
    <w:rsid w:val="00490266"/>
    <w:rsid w:val="004A0F4C"/>
    <w:rsid w:val="004E426B"/>
    <w:rsid w:val="004F119E"/>
    <w:rsid w:val="005254B3"/>
    <w:rsid w:val="0056481D"/>
    <w:rsid w:val="0057225D"/>
    <w:rsid w:val="0058004F"/>
    <w:rsid w:val="005821B4"/>
    <w:rsid w:val="00584299"/>
    <w:rsid w:val="005B0B8D"/>
    <w:rsid w:val="005C2F9E"/>
    <w:rsid w:val="005C7238"/>
    <w:rsid w:val="005F2594"/>
    <w:rsid w:val="00612681"/>
    <w:rsid w:val="00621E9A"/>
    <w:rsid w:val="006337FA"/>
    <w:rsid w:val="00642FC6"/>
    <w:rsid w:val="00643C2B"/>
    <w:rsid w:val="006455DB"/>
    <w:rsid w:val="00653740"/>
    <w:rsid w:val="006647D2"/>
    <w:rsid w:val="006771C8"/>
    <w:rsid w:val="006B52FD"/>
    <w:rsid w:val="006D7202"/>
    <w:rsid w:val="007000EF"/>
    <w:rsid w:val="00703F33"/>
    <w:rsid w:val="0070783B"/>
    <w:rsid w:val="00715421"/>
    <w:rsid w:val="00715980"/>
    <w:rsid w:val="00783C47"/>
    <w:rsid w:val="00784B1A"/>
    <w:rsid w:val="007D7849"/>
    <w:rsid w:val="00804543"/>
    <w:rsid w:val="00814CFD"/>
    <w:rsid w:val="00836B58"/>
    <w:rsid w:val="008515F0"/>
    <w:rsid w:val="00870716"/>
    <w:rsid w:val="00871C1B"/>
    <w:rsid w:val="00885239"/>
    <w:rsid w:val="00894D2D"/>
    <w:rsid w:val="008957E0"/>
    <w:rsid w:val="008C1EB2"/>
    <w:rsid w:val="008C3262"/>
    <w:rsid w:val="008C73DD"/>
    <w:rsid w:val="008D2B93"/>
    <w:rsid w:val="008E3C6C"/>
    <w:rsid w:val="009020C2"/>
    <w:rsid w:val="00910D5D"/>
    <w:rsid w:val="00923265"/>
    <w:rsid w:val="00924040"/>
    <w:rsid w:val="00926273"/>
    <w:rsid w:val="009317EB"/>
    <w:rsid w:val="0093381A"/>
    <w:rsid w:val="009378A7"/>
    <w:rsid w:val="00943361"/>
    <w:rsid w:val="00954252"/>
    <w:rsid w:val="0096427F"/>
    <w:rsid w:val="009815F4"/>
    <w:rsid w:val="00982A47"/>
    <w:rsid w:val="009909BA"/>
    <w:rsid w:val="00993AC2"/>
    <w:rsid w:val="009969C6"/>
    <w:rsid w:val="009A42CD"/>
    <w:rsid w:val="009B1B32"/>
    <w:rsid w:val="009C36E2"/>
    <w:rsid w:val="009F0581"/>
    <w:rsid w:val="009F550D"/>
    <w:rsid w:val="00A04829"/>
    <w:rsid w:val="00A04974"/>
    <w:rsid w:val="00A17D87"/>
    <w:rsid w:val="00A2469B"/>
    <w:rsid w:val="00A35FDA"/>
    <w:rsid w:val="00A46458"/>
    <w:rsid w:val="00A90FC0"/>
    <w:rsid w:val="00AB44FA"/>
    <w:rsid w:val="00AC1A38"/>
    <w:rsid w:val="00AE6ACC"/>
    <w:rsid w:val="00AF1DFD"/>
    <w:rsid w:val="00AF728C"/>
    <w:rsid w:val="00B02CB6"/>
    <w:rsid w:val="00B062FD"/>
    <w:rsid w:val="00B20C2B"/>
    <w:rsid w:val="00BA0175"/>
    <w:rsid w:val="00BC0B99"/>
    <w:rsid w:val="00BC5224"/>
    <w:rsid w:val="00C14903"/>
    <w:rsid w:val="00C15731"/>
    <w:rsid w:val="00C4261D"/>
    <w:rsid w:val="00C454DC"/>
    <w:rsid w:val="00C4718E"/>
    <w:rsid w:val="00C603E9"/>
    <w:rsid w:val="00C63820"/>
    <w:rsid w:val="00C85880"/>
    <w:rsid w:val="00C9340E"/>
    <w:rsid w:val="00CA3B53"/>
    <w:rsid w:val="00CA745A"/>
    <w:rsid w:val="00CB3B50"/>
    <w:rsid w:val="00CC5FBA"/>
    <w:rsid w:val="00CD3CFA"/>
    <w:rsid w:val="00CD41F1"/>
    <w:rsid w:val="00CF200F"/>
    <w:rsid w:val="00CF4AE2"/>
    <w:rsid w:val="00D03F47"/>
    <w:rsid w:val="00D17B3B"/>
    <w:rsid w:val="00D2485A"/>
    <w:rsid w:val="00D24B09"/>
    <w:rsid w:val="00D372F2"/>
    <w:rsid w:val="00D50764"/>
    <w:rsid w:val="00D74CF8"/>
    <w:rsid w:val="00DA1ECB"/>
    <w:rsid w:val="00DA2EBC"/>
    <w:rsid w:val="00DC4CEC"/>
    <w:rsid w:val="00DC70D8"/>
    <w:rsid w:val="00DD11C6"/>
    <w:rsid w:val="00DE51CE"/>
    <w:rsid w:val="00E266F3"/>
    <w:rsid w:val="00EB0609"/>
    <w:rsid w:val="00EC6BB9"/>
    <w:rsid w:val="00EC70AD"/>
    <w:rsid w:val="00EE6945"/>
    <w:rsid w:val="00EE6B00"/>
    <w:rsid w:val="00EF193F"/>
    <w:rsid w:val="00EF7261"/>
    <w:rsid w:val="00F13759"/>
    <w:rsid w:val="00F345A6"/>
    <w:rsid w:val="00F43C49"/>
    <w:rsid w:val="00F53D6F"/>
    <w:rsid w:val="00F622A4"/>
    <w:rsid w:val="00F66EBB"/>
    <w:rsid w:val="00F876A6"/>
    <w:rsid w:val="00F87930"/>
    <w:rsid w:val="00F91EF0"/>
    <w:rsid w:val="00F962E7"/>
    <w:rsid w:val="00FC2E31"/>
    <w:rsid w:val="00FD1214"/>
    <w:rsid w:val="00FD418C"/>
    <w:rsid w:val="00FD55E5"/>
    <w:rsid w:val="00FE3124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65646"/>
  <w15:docId w15:val="{983F266F-4220-47A7-962B-ABD69D5B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D5D"/>
    <w:pPr>
      <w:ind w:left="720"/>
      <w:contextualSpacing/>
    </w:pPr>
  </w:style>
  <w:style w:type="paragraph" w:customStyle="1" w:styleId="Default">
    <w:name w:val="Default"/>
    <w:rsid w:val="00A246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15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557"/>
  </w:style>
  <w:style w:type="paragraph" w:styleId="Footer">
    <w:name w:val="footer"/>
    <w:basedOn w:val="Normal"/>
    <w:link w:val="FooterChar"/>
    <w:uiPriority w:val="99"/>
    <w:unhideWhenUsed/>
    <w:rsid w:val="000D15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557"/>
  </w:style>
  <w:style w:type="paragraph" w:styleId="BalloonText">
    <w:name w:val="Balloon Text"/>
    <w:basedOn w:val="Normal"/>
    <w:link w:val="BalloonTextChar"/>
    <w:uiPriority w:val="99"/>
    <w:semiHidden/>
    <w:unhideWhenUsed/>
    <w:rsid w:val="00FD4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18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F728C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53740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6537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08DFD-15FD-4641-BD8B-C79C72572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4D2B3D-6A57-4EB8-A894-C4107E10B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79B458-F208-41CA-B957-7C343C78BA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D653A8-74C8-4D00-8C94-CF3BD8BE7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2755</Words>
  <Characters>1571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Žvirblytė</dc:creator>
  <cp:lastModifiedBy>Neringa Peleckienė</cp:lastModifiedBy>
  <cp:revision>2</cp:revision>
  <cp:lastPrinted>2025-05-27T10:36:00Z</cp:lastPrinted>
  <dcterms:created xsi:type="dcterms:W3CDTF">2025-09-22T11:58:00Z</dcterms:created>
  <dcterms:modified xsi:type="dcterms:W3CDTF">2025-09-22T11:58:00Z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