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A1F1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CF28BD7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FEBA984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54286119" w14:textId="77777777" w:rsidR="00EF01D7" w:rsidRDefault="00EF01D7" w:rsidP="00EF01D7">
      <w:pPr>
        <w:rPr>
          <w:rFonts w:ascii="Times New Roman" w:hAnsi="Times New Roman" w:cs="Times New Roman"/>
        </w:rPr>
      </w:pPr>
    </w:p>
    <w:p w14:paraId="348E5119" w14:textId="77777777" w:rsidR="0054047E" w:rsidRDefault="0054047E" w:rsidP="004A0745">
      <w:pPr>
        <w:rPr>
          <w:rFonts w:ascii="Times New Roman" w:hAnsi="Times New Roman" w:cs="Times New Roman"/>
        </w:rPr>
      </w:pPr>
    </w:p>
    <w:p w14:paraId="1155502C" w14:textId="77777777" w:rsidR="004A0745" w:rsidRDefault="004A0745" w:rsidP="004A0745">
      <w:pPr>
        <w:rPr>
          <w:rFonts w:ascii="Times New Roman" w:hAnsi="Times New Roman" w:cs="Times New Roman"/>
        </w:rPr>
      </w:pPr>
    </w:p>
    <w:p w14:paraId="4C34890E" w14:textId="38D63E5C" w:rsidR="0054047E" w:rsidRPr="0054047E" w:rsidRDefault="0054047E" w:rsidP="005404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Susitarimo</w:t>
      </w:r>
      <w:r w:rsidRPr="0054047E">
        <w:rPr>
          <w:rFonts w:ascii="Times New Roman" w:hAnsi="Times New Roman" w:cs="Times New Roman"/>
        </w:rPr>
        <w:t xml:space="preserve"> 1 priedas</w:t>
      </w:r>
    </w:p>
    <w:p w14:paraId="167AC9B0" w14:textId="77777777" w:rsidR="0054047E" w:rsidRDefault="0054047E" w:rsidP="0054047E">
      <w:pPr>
        <w:rPr>
          <w:rFonts w:cs="Arial Unicode MS"/>
          <w:lang w:eastAsia="x-none" w:bidi="lo-LA"/>
        </w:rPr>
      </w:pPr>
    </w:p>
    <w:p w14:paraId="7F98121E" w14:textId="49D59084" w:rsidR="0054047E" w:rsidRDefault="0054047E" w:rsidP="0054047E">
      <w:pPr>
        <w:jc w:val="center"/>
        <w:rPr>
          <w:rFonts w:ascii="Times New Roman" w:hAnsi="Times New Roman" w:cs="Times New Roman"/>
          <w:b/>
          <w:caps/>
        </w:rPr>
      </w:pPr>
      <w:r w:rsidRPr="0054047E">
        <w:rPr>
          <w:rFonts w:ascii="Times New Roman" w:hAnsi="Times New Roman" w:cs="Times New Roman"/>
          <w:b/>
          <w:caps/>
        </w:rPr>
        <w:t>Įkainotos veiklos sąrašas</w:t>
      </w:r>
      <w:r w:rsidR="00C7029C">
        <w:rPr>
          <w:rFonts w:ascii="Times New Roman" w:hAnsi="Times New Roman" w:cs="Times New Roman"/>
          <w:b/>
          <w:caps/>
        </w:rPr>
        <w:t xml:space="preserve"> </w:t>
      </w:r>
      <w:r w:rsidR="00C7029C" w:rsidRPr="00C7029C">
        <w:rPr>
          <w:rFonts w:ascii="Times New Roman" w:hAnsi="Times New Roman" w:cs="Times New Roman"/>
          <w:b/>
          <w:caps/>
        </w:rPr>
        <w:t>pagal perskaičiuotą Darbų kainą</w:t>
      </w:r>
    </w:p>
    <w:p w14:paraId="241FD492" w14:textId="77777777" w:rsidR="00C7029C" w:rsidRDefault="00C7029C" w:rsidP="0054047E">
      <w:pPr>
        <w:jc w:val="center"/>
        <w:rPr>
          <w:rFonts w:ascii="Times New Roman" w:hAnsi="Times New Roman" w:cs="Times New Roman"/>
          <w:b/>
          <w:caps/>
        </w:rPr>
      </w:pPr>
    </w:p>
    <w:p w14:paraId="7574EC6E" w14:textId="77777777" w:rsidR="00C7029C" w:rsidRPr="00C7029C" w:rsidRDefault="00C7029C" w:rsidP="00C7029C">
      <w:pPr>
        <w:tabs>
          <w:tab w:val="left" w:pos="8080"/>
        </w:tabs>
        <w:jc w:val="center"/>
        <w:rPr>
          <w:rFonts w:ascii="Times New Roman" w:hAnsi="Times New Roman" w:cs="Times New Roman"/>
          <w:b/>
        </w:rPr>
      </w:pPr>
      <w:r w:rsidRPr="00C7029C">
        <w:rPr>
          <w:rFonts w:ascii="Times New Roman" w:hAnsi="Times New Roman" w:cs="Times New Roman"/>
          <w:b/>
        </w:rPr>
        <w:t xml:space="preserve">Panevėžio miesto Bendrijų gatvės kapitalinio remonto darbai  </w:t>
      </w:r>
    </w:p>
    <w:tbl>
      <w:tblPr>
        <w:tblpPr w:leftFromText="180" w:rightFromText="180" w:vertAnchor="text" w:horzAnchor="margin" w:tblpY="16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3231"/>
        <w:gridCol w:w="1447"/>
        <w:gridCol w:w="1418"/>
      </w:tblGrid>
      <w:tr w:rsidR="00C7029C" w:rsidRPr="00C7029C" w14:paraId="24694EFB" w14:textId="77777777" w:rsidTr="00FB352A">
        <w:tc>
          <w:tcPr>
            <w:tcW w:w="704" w:type="dxa"/>
            <w:vAlign w:val="center"/>
          </w:tcPr>
          <w:p w14:paraId="219F3F0F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693" w:type="dxa"/>
            <w:vAlign w:val="center"/>
          </w:tcPr>
          <w:p w14:paraId="7542E91B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Darbų veiklos (etapo) pavadinimas</w:t>
            </w:r>
          </w:p>
          <w:p w14:paraId="22F595AA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Align w:val="center"/>
          </w:tcPr>
          <w:p w14:paraId="427B611E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Pastabos</w:t>
            </w:r>
          </w:p>
          <w:p w14:paraId="124984E2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7" w:type="dxa"/>
            <w:vAlign w:val="center"/>
          </w:tcPr>
          <w:p w14:paraId="297B826F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Bendra darbo apimtis </w:t>
            </w:r>
          </w:p>
          <w:p w14:paraId="024795E0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14:paraId="0F4D52AC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Darbo (etapo) kaina, (Eur) </w:t>
            </w:r>
          </w:p>
        </w:tc>
      </w:tr>
      <w:tr w:rsidR="008C3F8F" w:rsidRPr="00C7029C" w14:paraId="5FA202B3" w14:textId="77777777" w:rsidTr="00FB352A">
        <w:tc>
          <w:tcPr>
            <w:tcW w:w="704" w:type="dxa"/>
          </w:tcPr>
          <w:p w14:paraId="7707AA07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</w:t>
            </w:r>
          </w:p>
          <w:p w14:paraId="7C12CD3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58C9B8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Elektros tinklai (gatvės apšvietimas) ir kt. (Elektrotechnikos dalis (I etapas))</w:t>
            </w:r>
          </w:p>
        </w:tc>
        <w:tc>
          <w:tcPr>
            <w:tcW w:w="3231" w:type="dxa"/>
          </w:tcPr>
          <w:p w14:paraId="013F7DFA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7BD0831C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0942B838" w14:textId="09090907" w:rsidR="008C3F8F" w:rsidRPr="007928AE" w:rsidRDefault="008C3F8F" w:rsidP="007928AE">
            <w:pPr>
              <w:jc w:val="right"/>
              <w:rPr>
                <w:rFonts w:ascii="Times New Roman" w:hAnsi="Times New Roman" w:cs="Times New Roman"/>
              </w:rPr>
            </w:pPr>
            <w:r w:rsidRPr="007928AE">
              <w:rPr>
                <w:rFonts w:ascii="Times New Roman" w:hAnsi="Times New Roman" w:cs="Times New Roman"/>
              </w:rPr>
              <w:t>64 340,22</w:t>
            </w:r>
          </w:p>
        </w:tc>
      </w:tr>
      <w:tr w:rsidR="008C3F8F" w:rsidRPr="00C7029C" w14:paraId="7042B6A3" w14:textId="77777777" w:rsidTr="00FB352A">
        <w:tc>
          <w:tcPr>
            <w:tcW w:w="704" w:type="dxa"/>
          </w:tcPr>
          <w:p w14:paraId="654E7C5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F061F35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Gatvės kapitalinio remonto darbai ir kt. </w:t>
            </w:r>
          </w:p>
          <w:p w14:paraId="78E7EDCC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(Susisiekimo dalis (II etapas))</w:t>
            </w:r>
          </w:p>
          <w:p w14:paraId="749A9821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</w:tcPr>
          <w:p w14:paraId="69CB0EEA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2E081AA0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07F22A05" w14:textId="3AABF5CF" w:rsidR="008C3F8F" w:rsidRPr="007928AE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  <w:r w:rsidRPr="007928AE">
              <w:rPr>
                <w:rFonts w:ascii="Times New Roman" w:hAnsi="Times New Roman" w:cs="Times New Roman"/>
              </w:rPr>
              <w:t>487 075,72</w:t>
            </w:r>
          </w:p>
        </w:tc>
      </w:tr>
      <w:tr w:rsidR="008C3F8F" w:rsidRPr="00C7029C" w14:paraId="2391391B" w14:textId="77777777" w:rsidTr="00FB352A">
        <w:tc>
          <w:tcPr>
            <w:tcW w:w="704" w:type="dxa"/>
          </w:tcPr>
          <w:p w14:paraId="4A658D97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3</w:t>
            </w:r>
          </w:p>
          <w:p w14:paraId="34F5B5CB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4C01B7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bookmarkStart w:id="0" w:name="_Hlk121110864"/>
            <w:r w:rsidRPr="00C7029C">
              <w:rPr>
                <w:rFonts w:ascii="Times New Roman" w:hAnsi="Times New Roman" w:cs="Times New Roman"/>
              </w:rPr>
              <w:t>Lietaus nuotekų tinklų statyba ir kt.</w:t>
            </w:r>
          </w:p>
          <w:p w14:paraId="6BEAA291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(Vandentiekio ir nuotekų šalinimo dalis (II etapas))</w:t>
            </w:r>
            <w:bookmarkEnd w:id="0"/>
          </w:p>
        </w:tc>
        <w:tc>
          <w:tcPr>
            <w:tcW w:w="3231" w:type="dxa"/>
          </w:tcPr>
          <w:p w14:paraId="236B93C2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71102F5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2D64C73D" w14:textId="7917D0CD" w:rsidR="004F04C0" w:rsidRDefault="004F04C0" w:rsidP="008C3F8F">
            <w:pPr>
              <w:jc w:val="right"/>
              <w:rPr>
                <w:rFonts w:ascii="Times New Roman" w:hAnsi="Times New Roman" w:cs="Times New Roman"/>
              </w:rPr>
            </w:pPr>
            <w:r w:rsidRPr="004F04C0">
              <w:rPr>
                <w:rFonts w:ascii="Times New Roman" w:hAnsi="Times New Roman" w:cs="Times New Roman"/>
              </w:rPr>
              <w:t>222</w:t>
            </w:r>
            <w:r w:rsidR="003B2E49">
              <w:rPr>
                <w:rFonts w:ascii="Times New Roman" w:hAnsi="Times New Roman" w:cs="Times New Roman"/>
              </w:rPr>
              <w:t> 454,77</w:t>
            </w:r>
          </w:p>
          <w:p w14:paraId="14F55A2D" w14:textId="21B25138" w:rsidR="008C3F8F" w:rsidRPr="007928AE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C3F8F" w:rsidRPr="00C7029C" w14:paraId="5DC20396" w14:textId="77777777" w:rsidTr="00FB352A">
        <w:tc>
          <w:tcPr>
            <w:tcW w:w="704" w:type="dxa"/>
          </w:tcPr>
          <w:p w14:paraId="1548829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19C6ED7E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Statinių kadastrinių matavimų bylų parengimas </w:t>
            </w:r>
          </w:p>
        </w:tc>
        <w:tc>
          <w:tcPr>
            <w:tcW w:w="3231" w:type="dxa"/>
          </w:tcPr>
          <w:p w14:paraId="7F91C04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29C">
              <w:rPr>
                <w:rFonts w:ascii="Times New Roman" w:hAnsi="Times New Roman" w:cs="Times New Roman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158B5FC2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1EE54CDA" w14:textId="4C7E36FF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9C">
              <w:rPr>
                <w:rFonts w:ascii="Times New Roman" w:hAnsi="Times New Roman" w:cs="Times New Roman"/>
              </w:rPr>
              <w:t>376,30</w:t>
            </w:r>
          </w:p>
        </w:tc>
      </w:tr>
      <w:tr w:rsidR="008C3F8F" w:rsidRPr="00C7029C" w14:paraId="52787041" w14:textId="77777777" w:rsidTr="00FB352A">
        <w:tc>
          <w:tcPr>
            <w:tcW w:w="704" w:type="dxa"/>
          </w:tcPr>
          <w:p w14:paraId="77107AC3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4E4292E9" w14:textId="7E4C89ED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Suma (be PVM):</w:t>
            </w:r>
          </w:p>
        </w:tc>
        <w:tc>
          <w:tcPr>
            <w:tcW w:w="1447" w:type="dxa"/>
          </w:tcPr>
          <w:p w14:paraId="6B0AC916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D14608" w14:textId="1388EBDF" w:rsidR="008C3F8F" w:rsidRPr="00C7029C" w:rsidRDefault="003B2E49" w:rsidP="004F04C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B2E49">
              <w:rPr>
                <w:rFonts w:ascii="Times New Roman" w:hAnsi="Times New Roman" w:cs="Times New Roman"/>
                <w:b/>
              </w:rPr>
              <w:t>777 247,01</w:t>
            </w:r>
          </w:p>
        </w:tc>
      </w:tr>
      <w:tr w:rsidR="008C3F8F" w:rsidRPr="00C7029C" w14:paraId="7435AED1" w14:textId="77777777" w:rsidTr="00FB352A">
        <w:tc>
          <w:tcPr>
            <w:tcW w:w="704" w:type="dxa"/>
          </w:tcPr>
          <w:p w14:paraId="7177552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0A0B0726" w14:textId="11DD5D1A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PVM [%] suma:</w:t>
            </w:r>
          </w:p>
        </w:tc>
        <w:tc>
          <w:tcPr>
            <w:tcW w:w="1447" w:type="dxa"/>
          </w:tcPr>
          <w:p w14:paraId="641DFD04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D8075D7" w14:textId="7DD353F3" w:rsidR="008C3F8F" w:rsidRPr="00C7029C" w:rsidRDefault="003B2E49" w:rsidP="004F04C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B2E49">
              <w:rPr>
                <w:rFonts w:ascii="Times New Roman" w:hAnsi="Times New Roman" w:cs="Times New Roman"/>
                <w:b/>
              </w:rPr>
              <w:t>163 221,87</w:t>
            </w:r>
          </w:p>
        </w:tc>
      </w:tr>
      <w:tr w:rsidR="008C3F8F" w:rsidRPr="00C7029C" w14:paraId="5BE117CF" w14:textId="77777777" w:rsidTr="00FB352A">
        <w:tc>
          <w:tcPr>
            <w:tcW w:w="704" w:type="dxa"/>
          </w:tcPr>
          <w:p w14:paraId="4A806F8D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3C445628" w14:textId="3F2D01AC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Bendra suma:</w:t>
            </w:r>
          </w:p>
        </w:tc>
        <w:tc>
          <w:tcPr>
            <w:tcW w:w="1447" w:type="dxa"/>
          </w:tcPr>
          <w:p w14:paraId="24A9FF85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BC53A1" w14:textId="5287E5F3" w:rsidR="008C3F8F" w:rsidRPr="004F04C0" w:rsidRDefault="004F04C0" w:rsidP="004F04C0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4F04C0">
              <w:rPr>
                <w:rFonts w:ascii="Times New Roman" w:hAnsi="Times New Roman" w:cs="Times New Roman"/>
                <w:b/>
                <w:color w:val="000000"/>
              </w:rPr>
              <w:t>940</w:t>
            </w:r>
            <w:r w:rsidR="003B2E49">
              <w:rPr>
                <w:rFonts w:ascii="Times New Roman" w:hAnsi="Times New Roman" w:cs="Times New Roman"/>
                <w:b/>
                <w:color w:val="000000"/>
              </w:rPr>
              <w:t> 468,88</w:t>
            </w:r>
          </w:p>
        </w:tc>
      </w:tr>
    </w:tbl>
    <w:p w14:paraId="2F0524F8" w14:textId="1D184AAB" w:rsidR="00DC0A8B" w:rsidRPr="00C7029C" w:rsidRDefault="00C7029C" w:rsidP="00C7029C">
      <w:pPr>
        <w:tabs>
          <w:tab w:val="left" w:pos="8080"/>
        </w:tabs>
        <w:ind w:firstLine="709"/>
        <w:jc w:val="both"/>
        <w:rPr>
          <w:rFonts w:ascii="Times New Roman" w:hAnsi="Times New Roman" w:cs="Times New Roman"/>
          <w:b/>
        </w:rPr>
      </w:pPr>
      <w:r w:rsidRPr="00C7029C">
        <w:rPr>
          <w:rFonts w:ascii="Times New Roman" w:hAnsi="Times New Roman" w:cs="Times New Roman"/>
          <w:lang w:val="en-GB"/>
        </w:rPr>
        <w:t xml:space="preserve">* </w:t>
      </w:r>
      <w:r w:rsidRPr="00C7029C">
        <w:rPr>
          <w:rFonts w:ascii="Times New Roman" w:hAnsi="Times New Roman" w:cs="Times New Roman"/>
        </w:rPr>
        <w:t xml:space="preserve">- komplektas, tai visi Darbai reikalingi įvykdyti „Panevėžio miesto Bendrijų gatvės kapitalinio remonto </w:t>
      </w:r>
      <w:proofErr w:type="gramStart"/>
      <w:r w:rsidRPr="00C7029C">
        <w:rPr>
          <w:rFonts w:ascii="Times New Roman" w:hAnsi="Times New Roman" w:cs="Times New Roman"/>
        </w:rPr>
        <w:t>darbai“ pagal</w:t>
      </w:r>
      <w:proofErr w:type="gramEnd"/>
      <w:r w:rsidRPr="00C7029C">
        <w:rPr>
          <w:rFonts w:ascii="Times New Roman" w:hAnsi="Times New Roman" w:cs="Times New Roman"/>
        </w:rPr>
        <w:t xml:space="preserve"> Panevėžio miesto Bendrijų gatvės kapitalinio remonto ir lietaus nuotekų tinklų naujos statybos techninį darbo projektą Darbų veiklą (etapą), kad būtų pasirašyti / patvirtinti / užregistruoti statinių statybos užbaigimo dokumentai.</w:t>
      </w:r>
    </w:p>
    <w:p w14:paraId="1D87334F" w14:textId="47F5361F" w:rsidR="0054047E" w:rsidRPr="0054047E" w:rsidRDefault="0054047E" w:rsidP="0054047E">
      <w:pPr>
        <w:jc w:val="both"/>
        <w:rPr>
          <w:rFonts w:ascii="Times New Roman" w:hAnsi="Times New Roman" w:cs="Times New Roman"/>
        </w:rPr>
      </w:pPr>
    </w:p>
    <w:p w14:paraId="6B3C5DC1" w14:textId="77777777" w:rsidR="00470028" w:rsidRDefault="00470028" w:rsidP="0054047E">
      <w:pPr>
        <w:jc w:val="both"/>
        <w:rPr>
          <w:rFonts w:ascii="Times New Roman" w:hAnsi="Times New Roman" w:cs="Times New Roman"/>
        </w:rPr>
      </w:pPr>
    </w:p>
    <w:p w14:paraId="44D269C6" w14:textId="77777777" w:rsidR="00470028" w:rsidRPr="0054047E" w:rsidRDefault="00470028" w:rsidP="0054047E">
      <w:pPr>
        <w:jc w:val="both"/>
        <w:rPr>
          <w:rFonts w:ascii="Times New Roman" w:hAnsi="Times New Roman" w:cs="Times New Roman"/>
        </w:rPr>
      </w:pPr>
    </w:p>
    <w:p w14:paraId="4A37E994" w14:textId="5084C3FE" w:rsidR="0054047E" w:rsidRPr="0054047E" w:rsidRDefault="0054047E" w:rsidP="0054047E">
      <w:pPr>
        <w:ind w:left="174"/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 xml:space="preserve">Generalinis direktorius Rolandas </w:t>
      </w:r>
      <w:proofErr w:type="spellStart"/>
      <w:r w:rsidR="00C7029C">
        <w:rPr>
          <w:rFonts w:ascii="Times New Roman" w:hAnsi="Times New Roman" w:cs="Times New Roman"/>
        </w:rPr>
        <w:t>Zabilevičius</w:t>
      </w:r>
      <w:proofErr w:type="spellEnd"/>
    </w:p>
    <w:p w14:paraId="5E08AEED" w14:textId="77777777" w:rsidR="0054047E" w:rsidRPr="0054047E" w:rsidRDefault="0054047E" w:rsidP="0054047E">
      <w:pPr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>___________________________________________</w:t>
      </w:r>
    </w:p>
    <w:p w14:paraId="0E2BA3FA" w14:textId="77777777" w:rsidR="0054047E" w:rsidRPr="0054047E" w:rsidRDefault="0054047E" w:rsidP="0054047E">
      <w:pPr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>(Rangovo arba jo įgalioto asmens vardas, pavardė, parašas)</w:t>
      </w:r>
    </w:p>
    <w:p w14:paraId="3B3E542F" w14:textId="77777777" w:rsidR="0054047E" w:rsidRPr="0054047E" w:rsidRDefault="0054047E" w:rsidP="0054047E">
      <w:pPr>
        <w:rPr>
          <w:rFonts w:ascii="Times New Roman" w:hAnsi="Times New Roman" w:cs="Times New Roman"/>
          <w:lang w:eastAsia="x-none" w:bidi="lo-LA"/>
        </w:rPr>
      </w:pPr>
    </w:p>
    <w:p w14:paraId="69938DE1" w14:textId="5C1D5CF8" w:rsidR="000F1BE5" w:rsidRPr="0054047E" w:rsidRDefault="000F1BE5" w:rsidP="007A6583">
      <w:pPr>
        <w:tabs>
          <w:tab w:val="left" w:pos="5103"/>
        </w:tabs>
        <w:suppressAutoHyphens/>
        <w:textAlignment w:val="baseline"/>
        <w:rPr>
          <w:rFonts w:ascii="Times New Roman" w:hAnsi="Times New Roman" w:cs="Times New Roman"/>
        </w:rPr>
      </w:pPr>
    </w:p>
    <w:sectPr w:rsidR="000F1BE5" w:rsidRPr="0054047E" w:rsidSect="00D46075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A2CA" w14:textId="77777777" w:rsidR="009174BE" w:rsidRDefault="009174BE" w:rsidP="009E4A76">
      <w:r>
        <w:separator/>
      </w:r>
    </w:p>
  </w:endnote>
  <w:endnote w:type="continuationSeparator" w:id="0">
    <w:p w14:paraId="623FD24C" w14:textId="77777777" w:rsidR="009174BE" w:rsidRDefault="009174BE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533C" w14:textId="77777777" w:rsidR="009174BE" w:rsidRDefault="009174BE" w:rsidP="009E4A76">
      <w:r>
        <w:separator/>
      </w:r>
    </w:p>
  </w:footnote>
  <w:footnote w:type="continuationSeparator" w:id="0">
    <w:p w14:paraId="0A4D5457" w14:textId="77777777" w:rsidR="009174BE" w:rsidRDefault="009174BE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B01894"/>
    <w:multiLevelType w:val="hybridMultilevel"/>
    <w:tmpl w:val="3B4AE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2391262">
    <w:abstractNumId w:val="6"/>
  </w:num>
  <w:num w:numId="2" w16cid:durableId="1720477002">
    <w:abstractNumId w:val="9"/>
  </w:num>
  <w:num w:numId="3" w16cid:durableId="1740056522">
    <w:abstractNumId w:val="7"/>
  </w:num>
  <w:num w:numId="4" w16cid:durableId="727459833">
    <w:abstractNumId w:val="4"/>
  </w:num>
  <w:num w:numId="5" w16cid:durableId="346712316">
    <w:abstractNumId w:val="5"/>
  </w:num>
  <w:num w:numId="6" w16cid:durableId="1460345311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318141">
    <w:abstractNumId w:val="13"/>
  </w:num>
  <w:num w:numId="8" w16cid:durableId="2124496383">
    <w:abstractNumId w:val="1"/>
  </w:num>
  <w:num w:numId="9" w16cid:durableId="1631281066">
    <w:abstractNumId w:val="11"/>
  </w:num>
  <w:num w:numId="10" w16cid:durableId="1669598221">
    <w:abstractNumId w:val="12"/>
  </w:num>
  <w:num w:numId="11" w16cid:durableId="1728647685">
    <w:abstractNumId w:val="3"/>
  </w:num>
  <w:num w:numId="12" w16cid:durableId="2106805346">
    <w:abstractNumId w:val="0"/>
  </w:num>
  <w:num w:numId="13" w16cid:durableId="759713023">
    <w:abstractNumId w:val="8"/>
  </w:num>
  <w:num w:numId="14" w16cid:durableId="1744791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433C4"/>
    <w:rsid w:val="0005173C"/>
    <w:rsid w:val="0005624A"/>
    <w:rsid w:val="000812F8"/>
    <w:rsid w:val="0008651D"/>
    <w:rsid w:val="000A653E"/>
    <w:rsid w:val="000B5549"/>
    <w:rsid w:val="000C0C14"/>
    <w:rsid w:val="000C253E"/>
    <w:rsid w:val="000C2D3C"/>
    <w:rsid w:val="000D6214"/>
    <w:rsid w:val="000F1BE5"/>
    <w:rsid w:val="000F4425"/>
    <w:rsid w:val="00104050"/>
    <w:rsid w:val="00133F13"/>
    <w:rsid w:val="001562C2"/>
    <w:rsid w:val="00161A84"/>
    <w:rsid w:val="00166ED0"/>
    <w:rsid w:val="00181235"/>
    <w:rsid w:val="00185E0A"/>
    <w:rsid w:val="00191C05"/>
    <w:rsid w:val="001A1AC3"/>
    <w:rsid w:val="001B619D"/>
    <w:rsid w:val="001B6228"/>
    <w:rsid w:val="001C0009"/>
    <w:rsid w:val="001C0E04"/>
    <w:rsid w:val="001C6254"/>
    <w:rsid w:val="002213ED"/>
    <w:rsid w:val="00225B4D"/>
    <w:rsid w:val="00230544"/>
    <w:rsid w:val="00251277"/>
    <w:rsid w:val="0025339A"/>
    <w:rsid w:val="002618E2"/>
    <w:rsid w:val="0026471D"/>
    <w:rsid w:val="00266861"/>
    <w:rsid w:val="002826B9"/>
    <w:rsid w:val="002A1992"/>
    <w:rsid w:val="002B2AF3"/>
    <w:rsid w:val="002B70E7"/>
    <w:rsid w:val="002D309B"/>
    <w:rsid w:val="002D723E"/>
    <w:rsid w:val="002F6FBD"/>
    <w:rsid w:val="0036307C"/>
    <w:rsid w:val="0038485A"/>
    <w:rsid w:val="0038786F"/>
    <w:rsid w:val="00395A83"/>
    <w:rsid w:val="003A1394"/>
    <w:rsid w:val="003A7351"/>
    <w:rsid w:val="003B2E49"/>
    <w:rsid w:val="003C4715"/>
    <w:rsid w:val="003D6687"/>
    <w:rsid w:val="003F371D"/>
    <w:rsid w:val="003F4D91"/>
    <w:rsid w:val="003F6074"/>
    <w:rsid w:val="00411312"/>
    <w:rsid w:val="00422F8A"/>
    <w:rsid w:val="00443DD1"/>
    <w:rsid w:val="00450B9A"/>
    <w:rsid w:val="00466DCE"/>
    <w:rsid w:val="00467F63"/>
    <w:rsid w:val="00470028"/>
    <w:rsid w:val="00470784"/>
    <w:rsid w:val="004746B0"/>
    <w:rsid w:val="004A0745"/>
    <w:rsid w:val="004B124B"/>
    <w:rsid w:val="004C4741"/>
    <w:rsid w:val="004E0B07"/>
    <w:rsid w:val="004F04C0"/>
    <w:rsid w:val="005068EB"/>
    <w:rsid w:val="005078A9"/>
    <w:rsid w:val="0054047E"/>
    <w:rsid w:val="00551D44"/>
    <w:rsid w:val="00555F0E"/>
    <w:rsid w:val="00556BE6"/>
    <w:rsid w:val="00582450"/>
    <w:rsid w:val="00582516"/>
    <w:rsid w:val="00587220"/>
    <w:rsid w:val="005D6710"/>
    <w:rsid w:val="005E0080"/>
    <w:rsid w:val="005E08B1"/>
    <w:rsid w:val="005E7F17"/>
    <w:rsid w:val="005F26B8"/>
    <w:rsid w:val="005F2CE3"/>
    <w:rsid w:val="00601F2E"/>
    <w:rsid w:val="00614FC0"/>
    <w:rsid w:val="00620547"/>
    <w:rsid w:val="00642791"/>
    <w:rsid w:val="006729F1"/>
    <w:rsid w:val="00674B3C"/>
    <w:rsid w:val="006775F8"/>
    <w:rsid w:val="00687044"/>
    <w:rsid w:val="00687C9B"/>
    <w:rsid w:val="00690D3C"/>
    <w:rsid w:val="006A3715"/>
    <w:rsid w:val="006B1BFB"/>
    <w:rsid w:val="006B5F94"/>
    <w:rsid w:val="006C5E88"/>
    <w:rsid w:val="006C7DCE"/>
    <w:rsid w:val="006D201F"/>
    <w:rsid w:val="006F356F"/>
    <w:rsid w:val="00703237"/>
    <w:rsid w:val="00711B92"/>
    <w:rsid w:val="00713E6F"/>
    <w:rsid w:val="007147B0"/>
    <w:rsid w:val="00723F1B"/>
    <w:rsid w:val="00724670"/>
    <w:rsid w:val="007319EB"/>
    <w:rsid w:val="007453BF"/>
    <w:rsid w:val="00764CA2"/>
    <w:rsid w:val="0077757F"/>
    <w:rsid w:val="00791528"/>
    <w:rsid w:val="007928AE"/>
    <w:rsid w:val="007A6583"/>
    <w:rsid w:val="007B0D23"/>
    <w:rsid w:val="007C0BFB"/>
    <w:rsid w:val="007C1945"/>
    <w:rsid w:val="007D0C4D"/>
    <w:rsid w:val="007F2CD4"/>
    <w:rsid w:val="00802128"/>
    <w:rsid w:val="0082245A"/>
    <w:rsid w:val="00832A89"/>
    <w:rsid w:val="0086621B"/>
    <w:rsid w:val="008725C3"/>
    <w:rsid w:val="00881483"/>
    <w:rsid w:val="00885776"/>
    <w:rsid w:val="0089373E"/>
    <w:rsid w:val="008C3F8F"/>
    <w:rsid w:val="008D69F4"/>
    <w:rsid w:val="008D7E11"/>
    <w:rsid w:val="008E73B2"/>
    <w:rsid w:val="008F2B0E"/>
    <w:rsid w:val="008F365D"/>
    <w:rsid w:val="008F4BF4"/>
    <w:rsid w:val="009174BE"/>
    <w:rsid w:val="00942CAF"/>
    <w:rsid w:val="009431EC"/>
    <w:rsid w:val="0094451C"/>
    <w:rsid w:val="00947AB7"/>
    <w:rsid w:val="00950385"/>
    <w:rsid w:val="009738E0"/>
    <w:rsid w:val="00975505"/>
    <w:rsid w:val="009A3485"/>
    <w:rsid w:val="009B3973"/>
    <w:rsid w:val="009D5E68"/>
    <w:rsid w:val="009D6FC3"/>
    <w:rsid w:val="009E4A76"/>
    <w:rsid w:val="009E7CD4"/>
    <w:rsid w:val="009F040A"/>
    <w:rsid w:val="00A119FE"/>
    <w:rsid w:val="00A153A1"/>
    <w:rsid w:val="00A40683"/>
    <w:rsid w:val="00A47074"/>
    <w:rsid w:val="00A62050"/>
    <w:rsid w:val="00A62C45"/>
    <w:rsid w:val="00A67660"/>
    <w:rsid w:val="00AA2C6A"/>
    <w:rsid w:val="00AB4387"/>
    <w:rsid w:val="00AB5B54"/>
    <w:rsid w:val="00AB7C20"/>
    <w:rsid w:val="00AC42E2"/>
    <w:rsid w:val="00AC4C35"/>
    <w:rsid w:val="00AF1387"/>
    <w:rsid w:val="00B04A93"/>
    <w:rsid w:val="00B05D29"/>
    <w:rsid w:val="00B113A8"/>
    <w:rsid w:val="00B127DD"/>
    <w:rsid w:val="00B1585B"/>
    <w:rsid w:val="00B25CDE"/>
    <w:rsid w:val="00B34AD3"/>
    <w:rsid w:val="00B41900"/>
    <w:rsid w:val="00B823A5"/>
    <w:rsid w:val="00B83F10"/>
    <w:rsid w:val="00B90151"/>
    <w:rsid w:val="00BB0051"/>
    <w:rsid w:val="00BB6B8A"/>
    <w:rsid w:val="00BD157C"/>
    <w:rsid w:val="00BD25FE"/>
    <w:rsid w:val="00BD7642"/>
    <w:rsid w:val="00BE6155"/>
    <w:rsid w:val="00C02471"/>
    <w:rsid w:val="00C5674D"/>
    <w:rsid w:val="00C67141"/>
    <w:rsid w:val="00C7029C"/>
    <w:rsid w:val="00C90D38"/>
    <w:rsid w:val="00C96D87"/>
    <w:rsid w:val="00CB055B"/>
    <w:rsid w:val="00CB207A"/>
    <w:rsid w:val="00CC3CDA"/>
    <w:rsid w:val="00CE4035"/>
    <w:rsid w:val="00CF1B94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E1541C"/>
    <w:rsid w:val="00E20298"/>
    <w:rsid w:val="00E2138E"/>
    <w:rsid w:val="00E2429F"/>
    <w:rsid w:val="00E337B6"/>
    <w:rsid w:val="00E40C73"/>
    <w:rsid w:val="00E90726"/>
    <w:rsid w:val="00EA6C38"/>
    <w:rsid w:val="00EB0E04"/>
    <w:rsid w:val="00EE3325"/>
    <w:rsid w:val="00EF01D7"/>
    <w:rsid w:val="00EF5854"/>
    <w:rsid w:val="00F00A83"/>
    <w:rsid w:val="00F24C50"/>
    <w:rsid w:val="00F40049"/>
    <w:rsid w:val="00F42F8C"/>
    <w:rsid w:val="00F50953"/>
    <w:rsid w:val="00F621B6"/>
    <w:rsid w:val="00F70E12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Smaliukas</dc:creator>
  <cp:lastModifiedBy>Eglė Mickevičienė</cp:lastModifiedBy>
  <cp:revision>2</cp:revision>
  <cp:lastPrinted>2022-12-07T12:13:00Z</cp:lastPrinted>
  <dcterms:created xsi:type="dcterms:W3CDTF">2022-12-07T12:13:00Z</dcterms:created>
  <dcterms:modified xsi:type="dcterms:W3CDTF">2022-12-07T12:13:00Z</dcterms:modified>
</cp:coreProperties>
</file>