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31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044"/>
        <w:gridCol w:w="4879"/>
      </w:tblGrid>
      <w:tr w:rsidR="0092356A" w:rsidRPr="009D782B" w:rsidTr="00E62CE7">
        <w:tc>
          <w:tcPr>
            <w:tcW w:w="5387" w:type="dxa"/>
          </w:tcPr>
          <w:p w:rsidR="0092356A" w:rsidRPr="009D782B" w:rsidRDefault="0092356A" w:rsidP="009D782B">
            <w:pPr>
              <w:contextualSpacing/>
              <w:jc w:val="both"/>
              <w:rPr>
                <w:sz w:val="18"/>
                <w:szCs w:val="18"/>
                <w:lang w:val="lt-LT"/>
              </w:rPr>
            </w:pPr>
            <w:r w:rsidRPr="009D782B">
              <w:rPr>
                <w:noProof/>
                <w:sz w:val="18"/>
                <w:szCs w:val="18"/>
                <w:lang w:val="lt-LT"/>
              </w:rPr>
              <w:drawing>
                <wp:inline distT="0" distB="0" distL="0" distR="0" wp14:anchorId="38E2E426" wp14:editId="7357566D">
                  <wp:extent cx="2854519" cy="485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57500" cy="485537"/>
                          </a:xfrm>
                          <a:prstGeom prst="rect">
                            <a:avLst/>
                          </a:prstGeom>
                        </pic:spPr>
                      </pic:pic>
                    </a:graphicData>
                  </a:graphic>
                </wp:inline>
              </w:drawing>
            </w:r>
          </w:p>
          <w:p w:rsidR="0092356A" w:rsidRPr="009D782B" w:rsidRDefault="0092356A" w:rsidP="009D782B">
            <w:pPr>
              <w:contextualSpacing/>
              <w:jc w:val="center"/>
              <w:rPr>
                <w:b/>
                <w:sz w:val="18"/>
                <w:szCs w:val="18"/>
                <w:lang w:val="lt-LT"/>
              </w:rPr>
            </w:pPr>
            <w:r w:rsidRPr="009D782B">
              <w:rPr>
                <w:b/>
                <w:sz w:val="18"/>
                <w:szCs w:val="18"/>
                <w:lang w:val="lt-LT"/>
              </w:rPr>
              <w:t>TPHA TYRIMO RINKINYS</w:t>
            </w:r>
          </w:p>
          <w:p w:rsidR="0092356A" w:rsidRPr="009D782B" w:rsidRDefault="0092356A" w:rsidP="009D782B">
            <w:pPr>
              <w:contextualSpacing/>
              <w:jc w:val="center"/>
              <w:rPr>
                <w:b/>
                <w:sz w:val="18"/>
                <w:szCs w:val="18"/>
                <w:lang w:val="lt-LT"/>
              </w:rPr>
            </w:pPr>
            <w:r w:rsidRPr="009D782B">
              <w:rPr>
                <w:b/>
                <w:sz w:val="18"/>
                <w:szCs w:val="18"/>
                <w:lang w:val="lt-LT"/>
              </w:rPr>
              <w:t>T.pallidum atikūnų aptikimui žmogaus serume, naudojant mikro hemagliutinaciją.</w:t>
            </w:r>
          </w:p>
          <w:p w:rsidR="0092356A" w:rsidRPr="009D782B" w:rsidRDefault="0092356A" w:rsidP="009D782B">
            <w:pPr>
              <w:contextualSpacing/>
              <w:jc w:val="center"/>
              <w:rPr>
                <w:b/>
                <w:sz w:val="18"/>
                <w:szCs w:val="18"/>
                <w:lang w:val="lt-LT"/>
              </w:rPr>
            </w:pPr>
          </w:p>
          <w:p w:rsidR="0092356A" w:rsidRPr="009D782B" w:rsidRDefault="0092356A" w:rsidP="009D782B">
            <w:pPr>
              <w:contextualSpacing/>
              <w:jc w:val="center"/>
              <w:rPr>
                <w:b/>
                <w:sz w:val="18"/>
                <w:szCs w:val="18"/>
                <w:lang w:val="lt-LT"/>
              </w:rPr>
            </w:pPr>
            <w:r w:rsidRPr="009D782B">
              <w:rPr>
                <w:b/>
                <w:sz w:val="18"/>
                <w:szCs w:val="18"/>
                <w:lang w:val="lt-LT"/>
              </w:rPr>
              <w:t>Tik In-Vitro diagnostikai ir profesionaliam naudojimui</w:t>
            </w:r>
          </w:p>
          <w:p w:rsidR="0092356A" w:rsidRPr="009D782B" w:rsidRDefault="0092356A" w:rsidP="009D782B">
            <w:pPr>
              <w:contextualSpacing/>
              <w:jc w:val="center"/>
              <w:rPr>
                <w:b/>
                <w:sz w:val="18"/>
                <w:szCs w:val="18"/>
                <w:lang w:val="lt-LT"/>
              </w:rPr>
            </w:pPr>
            <w:r w:rsidRPr="009D782B">
              <w:rPr>
                <w:b/>
                <w:sz w:val="18"/>
                <w:szCs w:val="18"/>
                <w:lang w:val="lt-LT"/>
              </w:rPr>
              <w:t>Laikyti 2°C - 8°C temperatūroje</w:t>
            </w: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b/>
                <w:sz w:val="18"/>
                <w:szCs w:val="18"/>
                <w:lang w:val="lt-LT"/>
              </w:rPr>
            </w:pPr>
            <w:r w:rsidRPr="009D782B">
              <w:rPr>
                <w:b/>
                <w:sz w:val="18"/>
                <w:szCs w:val="18"/>
                <w:lang w:val="lt-LT"/>
              </w:rPr>
              <w:t>PASKIRTIS</w:t>
            </w:r>
          </w:p>
          <w:p w:rsidR="0092356A" w:rsidRPr="009D782B" w:rsidRDefault="0092356A" w:rsidP="001A54B6">
            <w:pPr>
              <w:contextualSpacing/>
              <w:jc w:val="both"/>
              <w:rPr>
                <w:sz w:val="18"/>
                <w:szCs w:val="18"/>
                <w:lang w:val="lt-LT"/>
              </w:rPr>
            </w:pPr>
            <w:r w:rsidRPr="009D782B">
              <w:rPr>
                <w:sz w:val="18"/>
                <w:szCs w:val="18"/>
                <w:lang w:val="lt-LT"/>
              </w:rPr>
              <w:t xml:space="preserve">TPHA tyrimo rinkinys yra skirtas Treponema pallidum atikūnų (IgG ir IgM antikūnų) žmogaus serume ar plazmoje nustatymui, pagrįstas </w:t>
            </w:r>
          </w:p>
          <w:p w:rsidR="0092356A" w:rsidRPr="009D782B" w:rsidRDefault="0092356A" w:rsidP="001A54B6">
            <w:pPr>
              <w:contextualSpacing/>
              <w:jc w:val="both"/>
              <w:rPr>
                <w:sz w:val="18"/>
                <w:szCs w:val="18"/>
                <w:lang w:val="lt-LT"/>
              </w:rPr>
            </w:pPr>
            <w:r w:rsidRPr="009D782B">
              <w:rPr>
                <w:sz w:val="18"/>
                <w:szCs w:val="18"/>
                <w:lang w:val="lt-LT"/>
              </w:rPr>
              <w:t>pasyvios hemagliutinacijos principu.</w:t>
            </w: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b/>
                <w:sz w:val="18"/>
                <w:szCs w:val="18"/>
                <w:lang w:val="lt-LT"/>
              </w:rPr>
            </w:pPr>
            <w:r w:rsidRPr="009D782B">
              <w:rPr>
                <w:b/>
                <w:sz w:val="18"/>
                <w:szCs w:val="18"/>
                <w:lang w:val="lt-LT"/>
              </w:rPr>
              <w:t>ĮVADAS</w:t>
            </w:r>
          </w:p>
          <w:p w:rsidR="0092356A" w:rsidRPr="009D782B" w:rsidRDefault="0092356A" w:rsidP="009D782B">
            <w:pPr>
              <w:contextualSpacing/>
              <w:jc w:val="both"/>
              <w:rPr>
                <w:sz w:val="18"/>
                <w:szCs w:val="18"/>
                <w:lang w:val="lt-LT"/>
              </w:rPr>
            </w:pPr>
            <w:r w:rsidRPr="009D782B">
              <w:rPr>
                <w:sz w:val="18"/>
                <w:szCs w:val="18"/>
                <w:lang w:val="lt-LT"/>
              </w:rPr>
              <w:t>Sifilis yra venerinė liga, kurią sukelia spirochetos mikroorganizmas Treponema pallidum. Kadangi šis organizmas negali būti kultivuojamas ant dirbtinės terpės, sifilio diagnozė priklauso nuo klinikinės koreliacijos su specifiniais antikūnais, kurie nustatomi serologiniais tyrimais. Serologiniai sifilio tyrimai, naudojant kardiolipiną ir lecitiną kaip antigenus yra paprasti atlikti, bet dažnai pasireiškia biologiniai klaidingai teigiami (BFP) reakcijų rezultatai, nes testuose naudojami ne treponemos antigenai.</w:t>
            </w:r>
          </w:p>
          <w:p w:rsidR="0092356A" w:rsidRPr="009D782B" w:rsidRDefault="0092356A" w:rsidP="009D782B">
            <w:pPr>
              <w:contextualSpacing/>
              <w:jc w:val="both"/>
              <w:rPr>
                <w:sz w:val="18"/>
                <w:szCs w:val="18"/>
                <w:lang w:val="lt-LT"/>
              </w:rPr>
            </w:pPr>
            <w:r w:rsidRPr="009D782B">
              <w:rPr>
                <w:sz w:val="18"/>
                <w:szCs w:val="18"/>
                <w:lang w:val="lt-LT"/>
              </w:rPr>
              <w:t>TPI ir FTA-ABS</w:t>
            </w:r>
            <w:r w:rsidR="001A54B6">
              <w:rPr>
                <w:sz w:val="18"/>
                <w:szCs w:val="18"/>
                <w:lang w:val="lt-LT"/>
              </w:rPr>
              <w:t xml:space="preserve"> tyrimuose naudojami patogeniški</w:t>
            </w:r>
            <w:r w:rsidRPr="009D782B">
              <w:rPr>
                <w:sz w:val="18"/>
                <w:szCs w:val="18"/>
                <w:lang w:val="lt-LT"/>
              </w:rPr>
              <w:t xml:space="preserve"> Trep</w:t>
            </w:r>
            <w:r w:rsidR="001A54B6">
              <w:rPr>
                <w:sz w:val="18"/>
                <w:szCs w:val="18"/>
                <w:lang w:val="lt-LT"/>
              </w:rPr>
              <w:t>onema pallidum kaip antigenai</w:t>
            </w:r>
            <w:r w:rsidRPr="009D782B">
              <w:rPr>
                <w:sz w:val="18"/>
                <w:szCs w:val="18"/>
                <w:lang w:val="lt-LT"/>
              </w:rPr>
              <w:t>, tačiau šie tyrimai kelia tam tikrų rūpesčių serodiagnostikoje. TPI testas reikalauja gyvo patogeninio T.Pallidum, o FTA-ABS tyrimo procedūra reikalauja fluorescencinio mikroskopo. Abu tyrimai reikalauja aukšto lygio darbuotojų kompetencijos.</w:t>
            </w:r>
          </w:p>
          <w:p w:rsidR="0092356A" w:rsidRPr="009D782B" w:rsidRDefault="0092356A" w:rsidP="009D782B">
            <w:pPr>
              <w:contextualSpacing/>
              <w:jc w:val="both"/>
              <w:rPr>
                <w:sz w:val="18"/>
                <w:szCs w:val="18"/>
                <w:lang w:val="lt-LT"/>
              </w:rPr>
            </w:pPr>
            <w:r w:rsidRPr="009D782B">
              <w:rPr>
                <w:sz w:val="18"/>
                <w:szCs w:val="18"/>
                <w:lang w:val="lt-LT"/>
              </w:rPr>
              <w:t xml:space="preserve">Buvo nustatyta, kad TPHA tyrimo rinkinys yra patogus atlikti ir </w:t>
            </w:r>
            <w:r w:rsidR="001A54B6">
              <w:rPr>
                <w:sz w:val="18"/>
                <w:szCs w:val="18"/>
                <w:lang w:val="lt-LT"/>
              </w:rPr>
              <w:t xml:space="preserve">yra </w:t>
            </w:r>
            <w:r w:rsidRPr="009D782B">
              <w:rPr>
                <w:sz w:val="18"/>
                <w:szCs w:val="18"/>
                <w:lang w:val="lt-LT"/>
              </w:rPr>
              <w:t>specifinis tyrimas treponemos infekcijos diagnozei, kurios specifika yra panaši į TPI tyrimą ir jautrumas panašus į FTA-ABS tyrimą. Šis tyrimas reikalauja minimalios laboratorinės įrangos ir yra labai paprasta</w:t>
            </w:r>
            <w:r w:rsidR="001A54B6">
              <w:rPr>
                <w:sz w:val="18"/>
                <w:szCs w:val="18"/>
                <w:lang w:val="lt-LT"/>
              </w:rPr>
              <w:t>s</w:t>
            </w:r>
            <w:r w:rsidRPr="009D782B">
              <w:rPr>
                <w:sz w:val="18"/>
                <w:szCs w:val="18"/>
                <w:lang w:val="lt-LT"/>
              </w:rPr>
              <w:t xml:space="preserve"> atlikti. TPHA reagentai yra naudojami nustatyti T.pallidum žmogaus serumo antikūnams, naudojant netiesioginį hemagliutinacijos (IHA) metodą. Konservuoti paukščių eritrocitai yra padengti antigeniniais patogeniniais komponentais T.pallidum (Nichol štamas). Šios bandomosios ląstelės agliutinuoja dalyvaujant specifiniams T.pallidum antikūnams ir sudaro charakteringus darinius mikrotitravimo plokštelėse. </w:t>
            </w:r>
          </w:p>
          <w:p w:rsidR="0092356A" w:rsidRPr="009D782B" w:rsidRDefault="0092356A" w:rsidP="009D782B">
            <w:pPr>
              <w:contextualSpacing/>
              <w:jc w:val="both"/>
              <w:rPr>
                <w:sz w:val="18"/>
                <w:szCs w:val="18"/>
                <w:lang w:val="lt-LT"/>
              </w:rPr>
            </w:pPr>
            <w:r w:rsidRPr="009D782B">
              <w:rPr>
                <w:sz w:val="18"/>
                <w:szCs w:val="18"/>
                <w:lang w:val="lt-LT"/>
              </w:rPr>
              <w:t>Bet kokios įvykstančios nespecifinės reakcijos aptinkamos naudojant kontrolės ląsteles, kurios yra paukščių eritrocitai, nepadengti T.pallidum antigenu. Naudojant šias kontrolines ląsteles, gali būti absorbuojamos nespecifinės reakcijos. Antikūnai yra absorbuojami ekstrakto p</w:t>
            </w:r>
            <w:r w:rsidR="001A54B6">
              <w:rPr>
                <w:sz w:val="18"/>
                <w:szCs w:val="18"/>
                <w:lang w:val="lt-LT"/>
              </w:rPr>
              <w:t xml:space="preserve">agalba prie netipinių treponemų, </w:t>
            </w:r>
            <w:r w:rsidRPr="009D782B">
              <w:rPr>
                <w:sz w:val="18"/>
                <w:szCs w:val="18"/>
                <w:lang w:val="lt-LT"/>
              </w:rPr>
              <w:t xml:space="preserve">Reiterio treponemomis, įtrauktomis į ląstelių suspensiją. Tyrimo rezultatai yra gaunami per 45-60 minučių, o ląstelių agliutinacijos modeliai abu yra vertinami lengvai ir ilgą laiką. </w:t>
            </w:r>
          </w:p>
          <w:p w:rsidR="001A54B6" w:rsidRDefault="0092356A" w:rsidP="009D782B">
            <w:pPr>
              <w:contextualSpacing/>
              <w:jc w:val="both"/>
              <w:rPr>
                <w:sz w:val="18"/>
                <w:szCs w:val="18"/>
                <w:lang w:val="lt-LT"/>
              </w:rPr>
            </w:pPr>
            <w:r w:rsidRPr="009D782B">
              <w:rPr>
                <w:sz w:val="18"/>
                <w:szCs w:val="18"/>
                <w:lang w:val="lt-LT"/>
              </w:rPr>
              <w:t>Tiriamas mėginys skiedžiamas absorbuojančiu skiedikliu, kad būtų pašalinti galima</w:t>
            </w:r>
            <w:r w:rsidR="001A54B6">
              <w:rPr>
                <w:sz w:val="18"/>
                <w:szCs w:val="18"/>
                <w:lang w:val="lt-LT"/>
              </w:rPr>
              <w:t>i</w:t>
            </w:r>
            <w:r w:rsidRPr="009D782B">
              <w:rPr>
                <w:sz w:val="18"/>
                <w:szCs w:val="18"/>
                <w:lang w:val="lt-LT"/>
              </w:rPr>
              <w:t xml:space="preserve"> kryžmiškai reaguojantys heterofiliniai antikūna</w:t>
            </w:r>
            <w:r w:rsidR="001A54B6">
              <w:rPr>
                <w:sz w:val="18"/>
                <w:szCs w:val="18"/>
                <w:lang w:val="lt-LT"/>
              </w:rPr>
              <w:t>i ir pašalinami</w:t>
            </w:r>
            <w:r w:rsidRPr="009D782B">
              <w:rPr>
                <w:sz w:val="18"/>
                <w:szCs w:val="18"/>
                <w:lang w:val="lt-LT"/>
              </w:rPr>
              <w:t>,</w:t>
            </w:r>
            <w:r w:rsidR="001A54B6">
              <w:rPr>
                <w:sz w:val="18"/>
                <w:szCs w:val="18"/>
                <w:lang w:val="lt-LT"/>
              </w:rPr>
              <w:t xml:space="preserve"> blokuojant</w:t>
            </w:r>
            <w:r w:rsidRPr="009D782B">
              <w:rPr>
                <w:sz w:val="18"/>
                <w:szCs w:val="18"/>
                <w:lang w:val="lt-LT"/>
              </w:rPr>
              <w:t xml:space="preserve"> arba absorbuoja</w:t>
            </w:r>
            <w:r w:rsidR="001A54B6">
              <w:rPr>
                <w:sz w:val="18"/>
                <w:szCs w:val="18"/>
                <w:lang w:val="lt-LT"/>
              </w:rPr>
              <w:t>nt</w:t>
            </w:r>
            <w:r w:rsidRPr="009D782B">
              <w:rPr>
                <w:sz w:val="18"/>
                <w:szCs w:val="18"/>
                <w:lang w:val="lt-LT"/>
              </w:rPr>
              <w:t xml:space="preserve"> </w:t>
            </w:r>
            <w:r w:rsidR="001A54B6">
              <w:rPr>
                <w:sz w:val="18"/>
                <w:szCs w:val="18"/>
                <w:lang w:val="lt-LT"/>
              </w:rPr>
              <w:t>potencialiai kryžminį atsaką</w:t>
            </w:r>
            <w:r w:rsidRPr="009D782B">
              <w:rPr>
                <w:sz w:val="18"/>
                <w:szCs w:val="18"/>
                <w:lang w:val="lt-LT"/>
              </w:rPr>
              <w:t>.</w:t>
            </w:r>
          </w:p>
          <w:p w:rsidR="0092356A" w:rsidRPr="009D782B" w:rsidRDefault="0092356A" w:rsidP="009D782B">
            <w:pPr>
              <w:contextualSpacing/>
              <w:jc w:val="both"/>
              <w:rPr>
                <w:sz w:val="18"/>
                <w:szCs w:val="18"/>
                <w:lang w:val="lt-LT"/>
              </w:rPr>
            </w:pPr>
            <w:r w:rsidRPr="009D782B">
              <w:rPr>
                <w:sz w:val="18"/>
                <w:szCs w:val="18"/>
                <w:lang w:val="lt-LT"/>
              </w:rPr>
              <w:t xml:space="preserve"> </w:t>
            </w:r>
          </w:p>
          <w:p w:rsidR="0092356A" w:rsidRPr="009D782B" w:rsidRDefault="0092356A" w:rsidP="009D782B">
            <w:pPr>
              <w:contextualSpacing/>
              <w:jc w:val="both"/>
              <w:rPr>
                <w:sz w:val="18"/>
                <w:szCs w:val="18"/>
                <w:lang w:val="lt-LT"/>
              </w:rPr>
            </w:pPr>
            <w:r w:rsidRPr="00B22686">
              <w:rPr>
                <w:b/>
                <w:sz w:val="18"/>
                <w:szCs w:val="18"/>
                <w:lang w:val="lt-LT"/>
              </w:rPr>
              <w:lastRenderedPageBreak/>
              <w:t>REZULTATAI</w:t>
            </w:r>
          </w:p>
          <w:tbl>
            <w:tblPr>
              <w:tblStyle w:val="TableGrid"/>
              <w:tblW w:w="0" w:type="auto"/>
              <w:tblLook w:val="04A0" w:firstRow="1" w:lastRow="0" w:firstColumn="1" w:lastColumn="0" w:noHBand="0" w:noVBand="1"/>
            </w:tblPr>
            <w:tblGrid>
              <w:gridCol w:w="1491"/>
              <w:gridCol w:w="1776"/>
              <w:gridCol w:w="1894"/>
            </w:tblGrid>
            <w:tr w:rsidR="0092356A" w:rsidRPr="009D782B" w:rsidTr="00B22686">
              <w:tc>
                <w:tcPr>
                  <w:tcW w:w="1491" w:type="dxa"/>
                </w:tcPr>
                <w:p w:rsidR="0092356A" w:rsidRPr="00B22686" w:rsidRDefault="0092356A" w:rsidP="009D782B">
                  <w:pPr>
                    <w:contextualSpacing/>
                    <w:jc w:val="both"/>
                    <w:rPr>
                      <w:b/>
                      <w:sz w:val="18"/>
                      <w:szCs w:val="18"/>
                      <w:lang w:val="lt-LT"/>
                    </w:rPr>
                  </w:pPr>
                  <w:r w:rsidRPr="00B22686">
                    <w:rPr>
                      <w:b/>
                      <w:sz w:val="18"/>
                      <w:szCs w:val="18"/>
                      <w:lang w:val="lt-LT"/>
                    </w:rPr>
                    <w:t>REZULTATAI</w:t>
                  </w:r>
                </w:p>
              </w:tc>
              <w:tc>
                <w:tcPr>
                  <w:tcW w:w="1776" w:type="dxa"/>
                </w:tcPr>
                <w:p w:rsidR="0092356A" w:rsidRPr="00B22686" w:rsidRDefault="0092356A" w:rsidP="009D782B">
                  <w:pPr>
                    <w:contextualSpacing/>
                    <w:jc w:val="both"/>
                    <w:rPr>
                      <w:b/>
                      <w:sz w:val="18"/>
                      <w:szCs w:val="18"/>
                      <w:lang w:val="lt-LT"/>
                    </w:rPr>
                  </w:pPr>
                  <w:r w:rsidRPr="00B22686">
                    <w:rPr>
                      <w:b/>
                      <w:sz w:val="18"/>
                      <w:szCs w:val="18"/>
                      <w:lang w:val="lt-LT"/>
                    </w:rPr>
                    <w:t>TESTO LĄSTELĖS</w:t>
                  </w:r>
                </w:p>
              </w:tc>
              <w:tc>
                <w:tcPr>
                  <w:tcW w:w="1894" w:type="dxa"/>
                </w:tcPr>
                <w:p w:rsidR="0092356A" w:rsidRPr="00B22686" w:rsidRDefault="0092356A" w:rsidP="009D782B">
                  <w:pPr>
                    <w:contextualSpacing/>
                    <w:jc w:val="both"/>
                    <w:rPr>
                      <w:b/>
                      <w:sz w:val="18"/>
                      <w:szCs w:val="18"/>
                      <w:lang w:val="lt-LT"/>
                    </w:rPr>
                  </w:pPr>
                  <w:r w:rsidRPr="00B22686">
                    <w:rPr>
                      <w:b/>
                      <w:sz w:val="18"/>
                      <w:szCs w:val="18"/>
                      <w:lang w:val="lt-LT"/>
                    </w:rPr>
                    <w:t>KONTROLINĖS LĄSTELĖS</w:t>
                  </w:r>
                </w:p>
              </w:tc>
            </w:tr>
            <w:tr w:rsidR="0092356A" w:rsidRPr="009D782B" w:rsidTr="00B22686">
              <w:tc>
                <w:tcPr>
                  <w:tcW w:w="1491" w:type="dxa"/>
                </w:tcPr>
                <w:p w:rsidR="0092356A" w:rsidRPr="009D782B" w:rsidRDefault="0092356A" w:rsidP="009D782B">
                  <w:pPr>
                    <w:contextualSpacing/>
                    <w:jc w:val="both"/>
                    <w:rPr>
                      <w:sz w:val="18"/>
                      <w:szCs w:val="18"/>
                      <w:lang w:val="lt-LT"/>
                    </w:rPr>
                  </w:pPr>
                  <w:r w:rsidRPr="009D782B">
                    <w:rPr>
                      <w:sz w:val="18"/>
                      <w:szCs w:val="18"/>
                      <w:lang w:val="lt-LT"/>
                    </w:rPr>
                    <w:t>Stipriai teigiamas</w:t>
                  </w:r>
                </w:p>
              </w:tc>
              <w:tc>
                <w:tcPr>
                  <w:tcW w:w="1776" w:type="dxa"/>
                </w:tcPr>
                <w:p w:rsidR="0092356A" w:rsidRPr="009D782B" w:rsidRDefault="0092356A" w:rsidP="009D782B">
                  <w:pPr>
                    <w:contextualSpacing/>
                    <w:jc w:val="both"/>
                    <w:rPr>
                      <w:sz w:val="18"/>
                      <w:szCs w:val="18"/>
                      <w:lang w:val="lt-LT"/>
                    </w:rPr>
                  </w:pPr>
                  <w:r w:rsidRPr="009D782B">
                    <w:rPr>
                      <w:sz w:val="18"/>
                      <w:szCs w:val="18"/>
                      <w:lang w:val="lt-LT"/>
                    </w:rPr>
                    <w:t>Pilnai ląstelėmis pasidengęs šulinėlio dugnas</w:t>
                  </w:r>
                </w:p>
                <w:p w:rsidR="0092356A" w:rsidRPr="009D782B" w:rsidRDefault="0092356A" w:rsidP="009D782B">
                  <w:pPr>
                    <w:contextualSpacing/>
                    <w:jc w:val="both"/>
                    <w:rPr>
                      <w:sz w:val="18"/>
                      <w:szCs w:val="18"/>
                      <w:lang w:val="lt-LT"/>
                    </w:rPr>
                  </w:pPr>
                </w:p>
              </w:tc>
              <w:tc>
                <w:tcPr>
                  <w:tcW w:w="1894" w:type="dxa"/>
                </w:tcPr>
                <w:p w:rsidR="0092356A" w:rsidRPr="009D782B" w:rsidRDefault="0092356A" w:rsidP="009D782B">
                  <w:pPr>
                    <w:contextualSpacing/>
                    <w:jc w:val="both"/>
                    <w:rPr>
                      <w:sz w:val="18"/>
                      <w:szCs w:val="18"/>
                      <w:lang w:val="lt-LT"/>
                    </w:rPr>
                  </w:pPr>
                  <w:r w:rsidRPr="009D782B">
                    <w:rPr>
                      <w:sz w:val="18"/>
                      <w:szCs w:val="18"/>
                      <w:lang w:val="lt-LT"/>
                    </w:rPr>
                    <w:t>Nėra agliutinacijos</w:t>
                  </w:r>
                </w:p>
                <w:p w:rsidR="0092356A" w:rsidRPr="009D782B" w:rsidRDefault="0092356A" w:rsidP="009D782B">
                  <w:pPr>
                    <w:contextualSpacing/>
                    <w:jc w:val="both"/>
                    <w:rPr>
                      <w:sz w:val="18"/>
                      <w:szCs w:val="18"/>
                      <w:lang w:val="lt-LT"/>
                    </w:rPr>
                  </w:pPr>
                </w:p>
              </w:tc>
            </w:tr>
            <w:tr w:rsidR="0092356A" w:rsidRPr="009D782B" w:rsidTr="00B22686">
              <w:tc>
                <w:tcPr>
                  <w:tcW w:w="1491" w:type="dxa"/>
                </w:tcPr>
                <w:p w:rsidR="0092356A" w:rsidRPr="009D782B" w:rsidRDefault="0092356A" w:rsidP="009D782B">
                  <w:pPr>
                    <w:contextualSpacing/>
                    <w:jc w:val="both"/>
                    <w:rPr>
                      <w:sz w:val="18"/>
                      <w:szCs w:val="18"/>
                      <w:lang w:val="lt-LT"/>
                    </w:rPr>
                  </w:pPr>
                  <w:r w:rsidRPr="009D782B">
                    <w:rPr>
                      <w:sz w:val="18"/>
                      <w:szCs w:val="18"/>
                      <w:lang w:val="lt-LT"/>
                    </w:rPr>
                    <w:t>Silpnai teigiamas</w:t>
                  </w:r>
                </w:p>
              </w:tc>
              <w:tc>
                <w:tcPr>
                  <w:tcW w:w="1776" w:type="dxa"/>
                </w:tcPr>
                <w:p w:rsidR="0092356A" w:rsidRPr="009D782B" w:rsidRDefault="0092356A" w:rsidP="009D782B">
                  <w:pPr>
                    <w:contextualSpacing/>
                    <w:jc w:val="both"/>
                    <w:rPr>
                      <w:sz w:val="18"/>
                      <w:szCs w:val="18"/>
                      <w:lang w:val="lt-LT"/>
                    </w:rPr>
                  </w:pPr>
                  <w:r w:rsidRPr="009D782B">
                    <w:rPr>
                      <w:sz w:val="18"/>
                      <w:szCs w:val="18"/>
                      <w:lang w:val="lt-LT"/>
                    </w:rPr>
                    <w:t>Ląstelės dengia apytiksliai 1/3 šulinėlio dugno</w:t>
                  </w:r>
                </w:p>
                <w:p w:rsidR="0092356A" w:rsidRPr="009D782B" w:rsidRDefault="0092356A" w:rsidP="009D782B">
                  <w:pPr>
                    <w:contextualSpacing/>
                    <w:jc w:val="both"/>
                    <w:rPr>
                      <w:sz w:val="18"/>
                      <w:szCs w:val="18"/>
                      <w:lang w:val="lt-LT"/>
                    </w:rPr>
                  </w:pPr>
                </w:p>
              </w:tc>
              <w:tc>
                <w:tcPr>
                  <w:tcW w:w="1894" w:type="dxa"/>
                </w:tcPr>
                <w:p w:rsidR="0092356A" w:rsidRPr="009D782B" w:rsidRDefault="0092356A" w:rsidP="009D782B">
                  <w:pPr>
                    <w:contextualSpacing/>
                    <w:jc w:val="both"/>
                    <w:rPr>
                      <w:sz w:val="18"/>
                      <w:szCs w:val="18"/>
                      <w:lang w:val="lt-LT"/>
                    </w:rPr>
                  </w:pPr>
                  <w:r w:rsidRPr="009D782B">
                    <w:rPr>
                      <w:sz w:val="18"/>
                      <w:szCs w:val="18"/>
                      <w:lang w:val="lt-LT"/>
                    </w:rPr>
                    <w:t>Nėra agliutinacijos</w:t>
                  </w:r>
                </w:p>
                <w:p w:rsidR="0092356A" w:rsidRPr="009D782B" w:rsidRDefault="0092356A" w:rsidP="009D782B">
                  <w:pPr>
                    <w:contextualSpacing/>
                    <w:jc w:val="both"/>
                    <w:rPr>
                      <w:sz w:val="18"/>
                      <w:szCs w:val="18"/>
                      <w:lang w:val="lt-LT"/>
                    </w:rPr>
                  </w:pPr>
                </w:p>
              </w:tc>
            </w:tr>
            <w:tr w:rsidR="0092356A" w:rsidRPr="009D782B" w:rsidTr="00B22686">
              <w:tc>
                <w:tcPr>
                  <w:tcW w:w="1491" w:type="dxa"/>
                </w:tcPr>
                <w:p w:rsidR="0092356A" w:rsidRPr="009D782B" w:rsidRDefault="0092356A" w:rsidP="009D782B">
                  <w:pPr>
                    <w:contextualSpacing/>
                    <w:jc w:val="both"/>
                    <w:rPr>
                      <w:sz w:val="18"/>
                      <w:szCs w:val="18"/>
                      <w:lang w:val="lt-LT"/>
                    </w:rPr>
                  </w:pPr>
                  <w:r w:rsidRPr="009D782B">
                    <w:rPr>
                      <w:sz w:val="18"/>
                      <w:szCs w:val="18"/>
                      <w:lang w:val="lt-LT"/>
                    </w:rPr>
                    <w:t>Nenustatytas</w:t>
                  </w:r>
                </w:p>
              </w:tc>
              <w:tc>
                <w:tcPr>
                  <w:tcW w:w="1776" w:type="dxa"/>
                </w:tcPr>
                <w:p w:rsidR="0092356A" w:rsidRPr="009D782B" w:rsidRDefault="0092356A" w:rsidP="009D782B">
                  <w:pPr>
                    <w:contextualSpacing/>
                    <w:jc w:val="both"/>
                    <w:rPr>
                      <w:sz w:val="18"/>
                      <w:szCs w:val="18"/>
                      <w:lang w:val="lt-LT"/>
                    </w:rPr>
                  </w:pPr>
                  <w:r w:rsidRPr="009D782B">
                    <w:rPr>
                      <w:sz w:val="18"/>
                      <w:szCs w:val="18"/>
                      <w:lang w:val="lt-LT"/>
                    </w:rPr>
                    <w:t>Ląstelių  sluoksnio fone aiškiai atviras centras</w:t>
                  </w:r>
                </w:p>
                <w:p w:rsidR="0092356A" w:rsidRPr="009D782B" w:rsidRDefault="0092356A" w:rsidP="009D782B">
                  <w:pPr>
                    <w:contextualSpacing/>
                    <w:jc w:val="both"/>
                    <w:rPr>
                      <w:sz w:val="18"/>
                      <w:szCs w:val="18"/>
                      <w:lang w:val="lt-LT"/>
                    </w:rPr>
                  </w:pPr>
                </w:p>
              </w:tc>
              <w:tc>
                <w:tcPr>
                  <w:tcW w:w="1894" w:type="dxa"/>
                </w:tcPr>
                <w:p w:rsidR="0092356A" w:rsidRPr="009D782B" w:rsidRDefault="0092356A" w:rsidP="009D782B">
                  <w:pPr>
                    <w:contextualSpacing/>
                    <w:jc w:val="both"/>
                    <w:rPr>
                      <w:sz w:val="18"/>
                      <w:szCs w:val="18"/>
                      <w:lang w:val="lt-LT"/>
                    </w:rPr>
                  </w:pPr>
                  <w:r w:rsidRPr="009D782B">
                    <w:rPr>
                      <w:sz w:val="18"/>
                      <w:szCs w:val="18"/>
                      <w:lang w:val="lt-LT"/>
                    </w:rPr>
                    <w:t>Nėra agliutinacijos</w:t>
                  </w:r>
                </w:p>
                <w:p w:rsidR="0092356A" w:rsidRPr="009D782B" w:rsidRDefault="0092356A" w:rsidP="009D782B">
                  <w:pPr>
                    <w:contextualSpacing/>
                    <w:jc w:val="both"/>
                    <w:rPr>
                      <w:sz w:val="18"/>
                      <w:szCs w:val="18"/>
                      <w:lang w:val="lt-LT"/>
                    </w:rPr>
                  </w:pPr>
                </w:p>
              </w:tc>
            </w:tr>
            <w:tr w:rsidR="0092356A" w:rsidRPr="009D782B" w:rsidTr="00B22686">
              <w:tc>
                <w:tcPr>
                  <w:tcW w:w="1491" w:type="dxa"/>
                </w:tcPr>
                <w:p w:rsidR="0092356A" w:rsidRPr="009D782B" w:rsidRDefault="0092356A" w:rsidP="009D782B">
                  <w:pPr>
                    <w:contextualSpacing/>
                    <w:jc w:val="both"/>
                    <w:rPr>
                      <w:sz w:val="18"/>
                      <w:szCs w:val="18"/>
                      <w:lang w:val="lt-LT"/>
                    </w:rPr>
                  </w:pPr>
                  <w:r w:rsidRPr="009D782B">
                    <w:rPr>
                      <w:sz w:val="18"/>
                      <w:szCs w:val="18"/>
                      <w:lang w:val="lt-LT"/>
                    </w:rPr>
                    <w:t>Neigiamas</w:t>
                  </w:r>
                </w:p>
              </w:tc>
              <w:tc>
                <w:tcPr>
                  <w:tcW w:w="1776" w:type="dxa"/>
                </w:tcPr>
                <w:p w:rsidR="0092356A" w:rsidRPr="009D782B" w:rsidRDefault="0092356A" w:rsidP="009D782B">
                  <w:pPr>
                    <w:contextualSpacing/>
                    <w:jc w:val="both"/>
                    <w:rPr>
                      <w:sz w:val="18"/>
                      <w:szCs w:val="18"/>
                      <w:lang w:val="lt-LT"/>
                    </w:rPr>
                  </w:pPr>
                  <w:r w:rsidRPr="009D782B">
                    <w:rPr>
                      <w:sz w:val="18"/>
                      <w:szCs w:val="18"/>
                      <w:lang w:val="lt-LT"/>
                    </w:rPr>
                    <w:t>Ląstelės kompaktiškai pasiskirsto ant dugno su tipišku mažu švariu centru.</w:t>
                  </w:r>
                </w:p>
              </w:tc>
              <w:tc>
                <w:tcPr>
                  <w:tcW w:w="1894" w:type="dxa"/>
                </w:tcPr>
                <w:p w:rsidR="0092356A" w:rsidRPr="009D782B" w:rsidRDefault="0092356A" w:rsidP="009D782B">
                  <w:pPr>
                    <w:contextualSpacing/>
                    <w:jc w:val="both"/>
                    <w:rPr>
                      <w:sz w:val="18"/>
                      <w:szCs w:val="18"/>
                      <w:lang w:val="lt-LT"/>
                    </w:rPr>
                  </w:pPr>
                  <w:r w:rsidRPr="009D782B">
                    <w:rPr>
                      <w:sz w:val="18"/>
                      <w:szCs w:val="18"/>
                      <w:lang w:val="lt-LT"/>
                    </w:rPr>
                    <w:t>Nėra agliutinacijos</w:t>
                  </w:r>
                </w:p>
                <w:p w:rsidR="0092356A" w:rsidRPr="009D782B" w:rsidRDefault="0092356A" w:rsidP="009D782B">
                  <w:pPr>
                    <w:contextualSpacing/>
                    <w:jc w:val="both"/>
                    <w:rPr>
                      <w:sz w:val="18"/>
                      <w:szCs w:val="18"/>
                      <w:lang w:val="lt-LT"/>
                    </w:rPr>
                  </w:pPr>
                </w:p>
              </w:tc>
            </w:tr>
            <w:tr w:rsidR="0092356A" w:rsidRPr="009D782B" w:rsidTr="00B22686">
              <w:tc>
                <w:tcPr>
                  <w:tcW w:w="1491" w:type="dxa"/>
                </w:tcPr>
                <w:p w:rsidR="0092356A" w:rsidRPr="009D782B" w:rsidRDefault="0092356A" w:rsidP="00E62CE7">
                  <w:pPr>
                    <w:contextualSpacing/>
                    <w:jc w:val="both"/>
                    <w:rPr>
                      <w:sz w:val="18"/>
                      <w:szCs w:val="18"/>
                      <w:lang w:val="lt-LT"/>
                    </w:rPr>
                  </w:pPr>
                  <w:r w:rsidRPr="009D782B">
                    <w:rPr>
                      <w:sz w:val="18"/>
                      <w:szCs w:val="18"/>
                      <w:lang w:val="lt-LT"/>
                    </w:rPr>
                    <w:t>Nespecifinis*</w:t>
                  </w:r>
                </w:p>
              </w:tc>
              <w:tc>
                <w:tcPr>
                  <w:tcW w:w="1776" w:type="dxa"/>
                </w:tcPr>
                <w:p w:rsidR="0092356A" w:rsidRPr="009D782B" w:rsidRDefault="0092356A" w:rsidP="009D782B">
                  <w:pPr>
                    <w:contextualSpacing/>
                    <w:jc w:val="both"/>
                    <w:rPr>
                      <w:sz w:val="18"/>
                      <w:szCs w:val="18"/>
                      <w:lang w:val="lt-LT"/>
                    </w:rPr>
                  </w:pPr>
                  <w:r w:rsidRPr="009D782B">
                    <w:rPr>
                      <w:sz w:val="18"/>
                      <w:szCs w:val="18"/>
                      <w:lang w:val="lt-LT"/>
                    </w:rPr>
                    <w:t>Teigiama reakcija</w:t>
                  </w:r>
                </w:p>
              </w:tc>
              <w:tc>
                <w:tcPr>
                  <w:tcW w:w="1894" w:type="dxa"/>
                </w:tcPr>
                <w:p w:rsidR="0092356A" w:rsidRPr="009D782B" w:rsidRDefault="0092356A" w:rsidP="009D782B">
                  <w:pPr>
                    <w:contextualSpacing/>
                    <w:jc w:val="both"/>
                    <w:rPr>
                      <w:sz w:val="18"/>
                      <w:szCs w:val="18"/>
                      <w:lang w:val="lt-LT"/>
                    </w:rPr>
                  </w:pPr>
                  <w:r w:rsidRPr="009D782B">
                    <w:rPr>
                      <w:sz w:val="18"/>
                      <w:szCs w:val="18"/>
                      <w:lang w:val="lt-LT"/>
                    </w:rPr>
                    <w:t>Teigiama reakcija</w:t>
                  </w:r>
                </w:p>
              </w:tc>
            </w:tr>
          </w:tbl>
          <w:p w:rsidR="0092356A" w:rsidRPr="009D782B" w:rsidRDefault="0092356A" w:rsidP="009D782B">
            <w:pPr>
              <w:contextualSpacing/>
              <w:jc w:val="both"/>
              <w:rPr>
                <w:sz w:val="18"/>
                <w:szCs w:val="18"/>
                <w:lang w:val="lt-LT"/>
              </w:rPr>
            </w:pPr>
          </w:p>
          <w:p w:rsidR="0092356A" w:rsidRPr="00E62CE7" w:rsidRDefault="0092356A" w:rsidP="009D782B">
            <w:pPr>
              <w:contextualSpacing/>
              <w:jc w:val="both"/>
              <w:rPr>
                <w:b/>
                <w:sz w:val="18"/>
                <w:szCs w:val="18"/>
                <w:lang w:val="lt-LT"/>
              </w:rPr>
            </w:pPr>
            <w:r w:rsidRPr="00E62CE7">
              <w:rPr>
                <w:b/>
                <w:sz w:val="18"/>
                <w:szCs w:val="18"/>
                <w:lang w:val="lt-LT"/>
              </w:rPr>
              <w:t>Nespecifinė absorbcija</w:t>
            </w:r>
            <w:r w:rsidR="00E62CE7" w:rsidRPr="00E62CE7">
              <w:rPr>
                <w:b/>
                <w:sz w:val="18"/>
                <w:szCs w:val="18"/>
                <w:lang w:val="lt-LT"/>
              </w:rPr>
              <w:t>*</w:t>
            </w:r>
          </w:p>
          <w:p w:rsidR="0092356A" w:rsidRPr="009D782B" w:rsidRDefault="0092356A" w:rsidP="009D782B">
            <w:pPr>
              <w:contextualSpacing/>
              <w:jc w:val="both"/>
              <w:rPr>
                <w:sz w:val="18"/>
                <w:szCs w:val="18"/>
                <w:lang w:val="lt-LT"/>
              </w:rPr>
            </w:pPr>
            <w:r w:rsidRPr="009D782B">
              <w:rPr>
                <w:sz w:val="18"/>
                <w:szCs w:val="18"/>
                <w:lang w:val="lt-LT"/>
              </w:rPr>
              <w:t>1. Į mažą mėgintuvėlį įpilkite 10 μl, tada pridėkite 190 μl kontrolinių ląstelių. Sumaišykite gerai ir palikite pastovėti 30 minučių.</w:t>
            </w:r>
          </w:p>
          <w:p w:rsidR="0092356A" w:rsidRPr="009D782B" w:rsidRDefault="0092356A" w:rsidP="009D782B">
            <w:pPr>
              <w:contextualSpacing/>
              <w:jc w:val="both"/>
              <w:rPr>
                <w:sz w:val="18"/>
                <w:szCs w:val="18"/>
                <w:lang w:val="lt-LT"/>
              </w:rPr>
            </w:pPr>
            <w:r w:rsidRPr="009D782B">
              <w:rPr>
                <w:sz w:val="18"/>
                <w:szCs w:val="18"/>
                <w:lang w:val="lt-LT"/>
              </w:rPr>
              <w:t>2. Centrifuguoti 15 minučių esant 1000 aps/min ir tirkite pagal kokybinį metodą.</w:t>
            </w:r>
          </w:p>
          <w:p w:rsidR="0092356A" w:rsidRPr="00E62CE7" w:rsidRDefault="0092356A" w:rsidP="009D782B">
            <w:pPr>
              <w:contextualSpacing/>
              <w:jc w:val="both"/>
              <w:rPr>
                <w:b/>
                <w:sz w:val="18"/>
                <w:szCs w:val="18"/>
                <w:lang w:val="lt-LT"/>
              </w:rPr>
            </w:pPr>
            <w:r w:rsidRPr="00E62CE7">
              <w:rPr>
                <w:b/>
                <w:sz w:val="18"/>
                <w:szCs w:val="18"/>
                <w:lang w:val="lt-LT"/>
              </w:rPr>
              <w:t>Pastaba:</w:t>
            </w:r>
          </w:p>
          <w:p w:rsidR="0092356A" w:rsidRPr="009D782B" w:rsidRDefault="0092356A" w:rsidP="009D782B">
            <w:pPr>
              <w:contextualSpacing/>
              <w:jc w:val="both"/>
              <w:rPr>
                <w:sz w:val="18"/>
                <w:szCs w:val="18"/>
                <w:lang w:val="lt-LT"/>
              </w:rPr>
            </w:pPr>
            <w:r w:rsidRPr="009D782B">
              <w:rPr>
                <w:sz w:val="18"/>
                <w:szCs w:val="18"/>
                <w:lang w:val="lt-LT"/>
              </w:rPr>
              <w:t>Jei rezultatas yra pakartotinai nespecifinis, mėginys turėtų būti ištirtas kitu metodu pvz. tiriant reaginus arba FTA-ABS.</w:t>
            </w:r>
          </w:p>
          <w:p w:rsidR="0092356A" w:rsidRPr="009D782B" w:rsidRDefault="0092356A" w:rsidP="009D782B">
            <w:pPr>
              <w:contextualSpacing/>
              <w:jc w:val="both"/>
              <w:rPr>
                <w:sz w:val="18"/>
                <w:szCs w:val="18"/>
                <w:lang w:val="lt-LT"/>
              </w:rPr>
            </w:pPr>
            <w:r w:rsidRPr="009D782B">
              <w:rPr>
                <w:sz w:val="18"/>
                <w:szCs w:val="18"/>
                <w:lang w:val="lt-LT"/>
              </w:rPr>
              <w:t>Nors TPHA testas yra labai specifiškas, klaidingai teigiami rezultatai gali pasireikšti pacientams, sergantiems raupsais, infekcinėmis ligomis, esant</w:t>
            </w:r>
            <w:r w:rsidR="00E62CE7">
              <w:rPr>
                <w:sz w:val="18"/>
                <w:szCs w:val="18"/>
                <w:lang w:val="lt-LT"/>
              </w:rPr>
              <w:t xml:space="preserve"> </w:t>
            </w:r>
            <w:r w:rsidRPr="009D782B">
              <w:rPr>
                <w:sz w:val="18"/>
                <w:szCs w:val="18"/>
                <w:lang w:val="lt-LT"/>
              </w:rPr>
              <w:t>mononukleozei ir jungiamojo audinio sutrikimams. Patvirtinimui turėtų būti naudojamas FTA</w:t>
            </w:r>
            <w:r w:rsidR="00E62CE7">
              <w:rPr>
                <w:sz w:val="18"/>
                <w:szCs w:val="18"/>
                <w:lang w:val="lt-LT"/>
              </w:rPr>
              <w:t>-</w:t>
            </w:r>
            <w:r w:rsidRPr="009D782B">
              <w:rPr>
                <w:sz w:val="18"/>
                <w:szCs w:val="18"/>
                <w:lang w:val="lt-LT"/>
              </w:rPr>
              <w:t>ABS testas.</w:t>
            </w:r>
          </w:p>
          <w:p w:rsidR="0092356A" w:rsidRPr="009D782B" w:rsidRDefault="0092356A" w:rsidP="009D782B">
            <w:pPr>
              <w:contextualSpacing/>
              <w:jc w:val="both"/>
              <w:rPr>
                <w:sz w:val="18"/>
                <w:szCs w:val="18"/>
                <w:lang w:val="lt-LT"/>
              </w:rPr>
            </w:pPr>
          </w:p>
          <w:p w:rsidR="0092356A" w:rsidRDefault="0092356A" w:rsidP="009D782B">
            <w:pPr>
              <w:contextualSpacing/>
              <w:jc w:val="both"/>
              <w:rPr>
                <w:b/>
                <w:sz w:val="18"/>
                <w:szCs w:val="18"/>
                <w:lang w:val="lt-LT"/>
              </w:rPr>
            </w:pPr>
            <w:r w:rsidRPr="00E62CE7">
              <w:rPr>
                <w:b/>
                <w:sz w:val="18"/>
                <w:szCs w:val="18"/>
                <w:lang w:val="lt-LT"/>
              </w:rPr>
              <w:t>REZULTATŲ VERTINIMAS</w:t>
            </w:r>
          </w:p>
          <w:p w:rsidR="0092356A" w:rsidRPr="009D782B" w:rsidRDefault="00E62CE7" w:rsidP="009D782B">
            <w:pPr>
              <w:contextualSpacing/>
              <w:jc w:val="both"/>
              <w:rPr>
                <w:sz w:val="18"/>
                <w:szCs w:val="18"/>
                <w:lang w:val="lt-LT"/>
              </w:rPr>
            </w:pPr>
            <w:r>
              <w:rPr>
                <w:b/>
                <w:sz w:val="18"/>
                <w:szCs w:val="18"/>
                <w:lang w:val="lt-LT"/>
              </w:rPr>
              <w:t xml:space="preserve">Stipriai teigiama </w:t>
            </w:r>
            <w:r w:rsidRPr="00E62CE7">
              <w:rPr>
                <w:sz w:val="18"/>
                <w:szCs w:val="18"/>
                <w:lang w:val="lt-LT"/>
              </w:rPr>
              <w:t>reakcija</w:t>
            </w:r>
            <w:r>
              <w:rPr>
                <w:b/>
                <w:sz w:val="18"/>
                <w:szCs w:val="18"/>
                <w:lang w:val="lt-LT"/>
              </w:rPr>
              <w:t xml:space="preserve"> </w:t>
            </w:r>
            <w:r w:rsidRPr="00E62CE7">
              <w:rPr>
                <w:sz w:val="18"/>
                <w:szCs w:val="18"/>
                <w:lang w:val="lt-LT"/>
              </w:rPr>
              <w:t>gali rodyti</w:t>
            </w:r>
            <w:r>
              <w:rPr>
                <w:b/>
                <w:sz w:val="18"/>
                <w:szCs w:val="18"/>
                <w:lang w:val="lt-LT"/>
              </w:rPr>
              <w:t xml:space="preserve"> </w:t>
            </w:r>
            <w:r>
              <w:rPr>
                <w:sz w:val="18"/>
                <w:szCs w:val="18"/>
                <w:lang w:val="lt-LT"/>
              </w:rPr>
              <w:t xml:space="preserve">užsilenkimus ląstelių fono kraštuose. </w:t>
            </w:r>
            <w:r w:rsidR="0092356A" w:rsidRPr="009D782B">
              <w:rPr>
                <w:sz w:val="18"/>
                <w:szCs w:val="18"/>
                <w:lang w:val="lt-LT"/>
              </w:rPr>
              <w:t>Kai testas gaunamas teigiamas, reikia stebėti kontrolinį šulinėlį. Kontrolinės ląstelės turėtų glaudžiai nusėsti ant dugno. Jos neturėtų būti lyginamos su  nereaktyviom serumo struktūrom, nes kontrolinės ląstelės sudarys labiau kompaktišką struktūrą nei tyrimo ląstelės.</w:t>
            </w:r>
          </w:p>
          <w:p w:rsidR="0092356A" w:rsidRPr="009D782B" w:rsidRDefault="00E62CE7" w:rsidP="009D782B">
            <w:pPr>
              <w:contextualSpacing/>
              <w:jc w:val="both"/>
              <w:rPr>
                <w:sz w:val="18"/>
                <w:szCs w:val="18"/>
                <w:lang w:val="lt-LT"/>
              </w:rPr>
            </w:pPr>
            <w:r>
              <w:rPr>
                <w:b/>
                <w:sz w:val="18"/>
                <w:szCs w:val="18"/>
                <w:lang w:val="lt-LT"/>
              </w:rPr>
              <w:t>Silpna</w:t>
            </w:r>
            <w:r w:rsidR="0092356A" w:rsidRPr="00E62CE7">
              <w:rPr>
                <w:b/>
                <w:sz w:val="18"/>
                <w:szCs w:val="18"/>
                <w:lang w:val="lt-LT"/>
              </w:rPr>
              <w:t xml:space="preserve"> teigiama</w:t>
            </w:r>
            <w:r>
              <w:rPr>
                <w:sz w:val="18"/>
                <w:szCs w:val="18"/>
                <w:lang w:val="lt-LT"/>
              </w:rPr>
              <w:t xml:space="preserve"> reakcija gali parodyti, kad</w:t>
            </w:r>
            <w:r w:rsidR="0092356A" w:rsidRPr="009D782B">
              <w:rPr>
                <w:sz w:val="18"/>
                <w:szCs w:val="18"/>
                <w:lang w:val="lt-LT"/>
              </w:rPr>
              <w:t xml:space="preserve"> nėra pilno ląstelių pasidengimo ant šulinėlio dugno.</w:t>
            </w:r>
          </w:p>
          <w:p w:rsidR="0092356A" w:rsidRPr="009D782B" w:rsidRDefault="0092356A" w:rsidP="009D782B">
            <w:pPr>
              <w:contextualSpacing/>
              <w:jc w:val="both"/>
              <w:rPr>
                <w:sz w:val="18"/>
                <w:szCs w:val="18"/>
                <w:lang w:val="lt-LT"/>
              </w:rPr>
            </w:pPr>
            <w:r w:rsidRPr="00E62CE7">
              <w:rPr>
                <w:b/>
                <w:sz w:val="18"/>
                <w:szCs w:val="18"/>
                <w:lang w:val="lt-LT"/>
              </w:rPr>
              <w:t>NETEISINGAS</w:t>
            </w:r>
            <w:r w:rsidR="00E62CE7">
              <w:rPr>
                <w:b/>
                <w:sz w:val="18"/>
                <w:szCs w:val="18"/>
                <w:lang w:val="lt-LT"/>
              </w:rPr>
              <w:t xml:space="preserve"> </w:t>
            </w:r>
            <w:r w:rsidR="00E62CE7" w:rsidRPr="00E62CE7">
              <w:rPr>
                <w:sz w:val="18"/>
                <w:szCs w:val="18"/>
                <w:lang w:val="lt-LT"/>
              </w:rPr>
              <w:t>rezultatas</w:t>
            </w:r>
            <w:r w:rsidRPr="009D782B">
              <w:rPr>
                <w:sz w:val="18"/>
                <w:szCs w:val="18"/>
                <w:lang w:val="lt-LT"/>
              </w:rPr>
              <w:t xml:space="preserve"> gali parodyti agliutinaciją kontroliniame šulinėlyje, kas rodo mėginių nespecifinių agliutininų buvimą. Serumas, dėl kurio gaunamas šis rezultatas gali būti absorbuotas naudojant kontrolines ląsteles, apibūdinant kaip nespecifinę absorbciją.</w:t>
            </w:r>
          </w:p>
          <w:p w:rsidR="0092356A" w:rsidRPr="009D782B" w:rsidRDefault="00E62CE7" w:rsidP="00E62CE7">
            <w:pPr>
              <w:contextualSpacing/>
              <w:jc w:val="both"/>
              <w:rPr>
                <w:sz w:val="18"/>
                <w:szCs w:val="18"/>
                <w:lang w:val="lt-LT"/>
              </w:rPr>
            </w:pPr>
            <w:r w:rsidRPr="00E62CE7">
              <w:rPr>
                <w:b/>
                <w:sz w:val="18"/>
                <w:szCs w:val="18"/>
                <w:lang w:val="lt-LT"/>
              </w:rPr>
              <w:t>NENUSTATOMAS</w:t>
            </w:r>
            <w:r w:rsidRPr="00E62CE7">
              <w:rPr>
                <w:sz w:val="18"/>
                <w:szCs w:val="18"/>
                <w:lang w:val="lt-LT"/>
              </w:rPr>
              <w:t xml:space="preserve"> </w:t>
            </w:r>
            <w:r>
              <w:rPr>
                <w:sz w:val="18"/>
                <w:szCs w:val="18"/>
                <w:lang w:val="lt-LT"/>
              </w:rPr>
              <w:t xml:space="preserve">rezultatas </w:t>
            </w:r>
            <w:r w:rsidRPr="00E62CE7">
              <w:rPr>
                <w:sz w:val="18"/>
                <w:szCs w:val="18"/>
                <w:lang w:val="lt-LT"/>
              </w:rPr>
              <w:t>gali parodyti abejotiną reakciją su tyrimo ląstelėmis. Rezultatas gali rodyti žemą antikūnų lygį esant pradiniam pirminiam sifiliui.</w:t>
            </w:r>
          </w:p>
        </w:tc>
        <w:tc>
          <w:tcPr>
            <w:tcW w:w="5044" w:type="dxa"/>
          </w:tcPr>
          <w:p w:rsidR="0092356A" w:rsidRPr="00CB372F" w:rsidRDefault="0092356A" w:rsidP="009D782B">
            <w:pPr>
              <w:contextualSpacing/>
              <w:jc w:val="both"/>
              <w:rPr>
                <w:b/>
                <w:sz w:val="18"/>
                <w:szCs w:val="18"/>
                <w:lang w:val="lt-LT"/>
              </w:rPr>
            </w:pPr>
            <w:r w:rsidRPr="00CB372F">
              <w:rPr>
                <w:b/>
                <w:sz w:val="18"/>
                <w:szCs w:val="18"/>
                <w:lang w:val="lt-LT"/>
              </w:rPr>
              <w:lastRenderedPageBreak/>
              <w:t>MEDŽIAGOS</w:t>
            </w:r>
          </w:p>
          <w:p w:rsidR="0092356A" w:rsidRPr="00CB372F" w:rsidRDefault="0092356A" w:rsidP="009D782B">
            <w:pPr>
              <w:contextualSpacing/>
              <w:jc w:val="both"/>
              <w:rPr>
                <w:b/>
                <w:sz w:val="18"/>
                <w:szCs w:val="18"/>
                <w:lang w:val="lt-LT"/>
              </w:rPr>
            </w:pPr>
            <w:r w:rsidRPr="00CB372F">
              <w:rPr>
                <w:b/>
                <w:sz w:val="18"/>
                <w:szCs w:val="18"/>
                <w:lang w:val="lt-LT"/>
              </w:rPr>
              <w:t>PATEIKTOS RINKINYJE MEDŽIAGOS</w:t>
            </w:r>
          </w:p>
          <w:p w:rsidR="0092356A" w:rsidRPr="009D782B" w:rsidRDefault="00CB372F" w:rsidP="00CB372F">
            <w:pPr>
              <w:ind w:left="176" w:hanging="176"/>
              <w:contextualSpacing/>
              <w:jc w:val="both"/>
              <w:rPr>
                <w:sz w:val="18"/>
                <w:szCs w:val="18"/>
                <w:lang w:val="lt-LT"/>
              </w:rPr>
            </w:pPr>
            <w:r>
              <w:rPr>
                <w:sz w:val="18"/>
                <w:szCs w:val="18"/>
                <w:lang w:val="lt-LT"/>
              </w:rPr>
              <w:t>•</w:t>
            </w:r>
            <w:r w:rsidR="0092356A" w:rsidRPr="009D782B">
              <w:rPr>
                <w:sz w:val="18"/>
                <w:szCs w:val="18"/>
                <w:lang w:val="lt-LT"/>
              </w:rPr>
              <w:t>Tyrimo ląstelės; kon</w:t>
            </w:r>
            <w:r>
              <w:rPr>
                <w:sz w:val="18"/>
                <w:szCs w:val="18"/>
                <w:lang w:val="lt-LT"/>
              </w:rPr>
              <w:t>servuoti paukščių eritrocitai, padengti</w:t>
            </w:r>
            <w:r w:rsidR="0092356A" w:rsidRPr="009D782B">
              <w:rPr>
                <w:sz w:val="18"/>
                <w:szCs w:val="18"/>
                <w:lang w:val="lt-LT"/>
              </w:rPr>
              <w:t xml:space="preserve"> T.pallidum antigenu.</w:t>
            </w:r>
          </w:p>
          <w:p w:rsidR="0092356A" w:rsidRPr="009D782B" w:rsidRDefault="00CB372F" w:rsidP="00CB372F">
            <w:pPr>
              <w:ind w:left="176" w:hanging="176"/>
              <w:contextualSpacing/>
              <w:jc w:val="both"/>
              <w:rPr>
                <w:sz w:val="18"/>
                <w:szCs w:val="18"/>
                <w:lang w:val="lt-LT"/>
              </w:rPr>
            </w:pPr>
            <w:r>
              <w:rPr>
                <w:sz w:val="18"/>
                <w:szCs w:val="18"/>
                <w:lang w:val="lt-LT"/>
              </w:rPr>
              <w:t>•</w:t>
            </w:r>
            <w:r w:rsidR="0092356A" w:rsidRPr="009D782B">
              <w:rPr>
                <w:sz w:val="18"/>
                <w:szCs w:val="18"/>
                <w:lang w:val="lt-LT"/>
              </w:rPr>
              <w:t>Kontrolė</w:t>
            </w:r>
            <w:bookmarkStart w:id="0" w:name="_GoBack"/>
            <w:bookmarkEnd w:id="0"/>
            <w:r w:rsidR="0092356A" w:rsidRPr="009D782B">
              <w:rPr>
                <w:sz w:val="18"/>
                <w:szCs w:val="18"/>
                <w:lang w:val="lt-LT"/>
              </w:rPr>
              <w:t>s ląstelės; konservuoti paukščių eritrocitai.</w:t>
            </w:r>
          </w:p>
          <w:p w:rsidR="0092356A" w:rsidRPr="009D782B" w:rsidRDefault="00CB372F" w:rsidP="00CB372F">
            <w:pPr>
              <w:ind w:left="176" w:hanging="176"/>
              <w:contextualSpacing/>
              <w:jc w:val="both"/>
              <w:rPr>
                <w:sz w:val="18"/>
                <w:szCs w:val="18"/>
                <w:lang w:val="lt-LT"/>
              </w:rPr>
            </w:pPr>
            <w:r>
              <w:rPr>
                <w:sz w:val="18"/>
                <w:szCs w:val="18"/>
                <w:lang w:val="lt-LT"/>
              </w:rPr>
              <w:t>•Skiediklis.</w:t>
            </w:r>
          </w:p>
          <w:p w:rsidR="0092356A" w:rsidRPr="009D782B" w:rsidRDefault="00CB372F" w:rsidP="00CB372F">
            <w:pPr>
              <w:ind w:left="176" w:hanging="176"/>
              <w:contextualSpacing/>
              <w:jc w:val="both"/>
              <w:rPr>
                <w:sz w:val="18"/>
                <w:szCs w:val="18"/>
                <w:lang w:val="lt-LT"/>
              </w:rPr>
            </w:pPr>
            <w:r>
              <w:rPr>
                <w:sz w:val="18"/>
                <w:szCs w:val="18"/>
                <w:lang w:val="lt-LT"/>
              </w:rPr>
              <w:t>•</w:t>
            </w:r>
            <w:r w:rsidR="0092356A" w:rsidRPr="009D782B">
              <w:rPr>
                <w:sz w:val="18"/>
                <w:szCs w:val="18"/>
                <w:lang w:val="lt-LT"/>
              </w:rPr>
              <w:t>Teigiama</w:t>
            </w:r>
            <w:r>
              <w:rPr>
                <w:sz w:val="18"/>
                <w:szCs w:val="18"/>
                <w:lang w:val="lt-LT"/>
              </w:rPr>
              <w:t>s kontrolinis serumas; (skiestas 1:20), naudokite gryną</w:t>
            </w:r>
            <w:r w:rsidR="0092356A" w:rsidRPr="009D782B">
              <w:rPr>
                <w:sz w:val="18"/>
                <w:szCs w:val="18"/>
                <w:lang w:val="lt-LT"/>
              </w:rPr>
              <w:t>. Tai duos ekvivalentinį titrą 1/640: / 2560 kiekybiniame tyrime.</w:t>
            </w:r>
          </w:p>
          <w:p w:rsidR="0092356A" w:rsidRPr="009D782B" w:rsidRDefault="00CB372F" w:rsidP="00CB372F">
            <w:pPr>
              <w:ind w:left="176" w:hanging="176"/>
              <w:contextualSpacing/>
              <w:jc w:val="both"/>
              <w:rPr>
                <w:sz w:val="18"/>
                <w:szCs w:val="18"/>
                <w:lang w:val="lt-LT"/>
              </w:rPr>
            </w:pPr>
            <w:r>
              <w:rPr>
                <w:sz w:val="18"/>
                <w:szCs w:val="18"/>
                <w:lang w:val="lt-LT"/>
              </w:rPr>
              <w:t>•</w:t>
            </w:r>
            <w:r w:rsidR="0092356A" w:rsidRPr="009D782B">
              <w:rPr>
                <w:sz w:val="18"/>
                <w:szCs w:val="18"/>
                <w:lang w:val="lt-LT"/>
              </w:rPr>
              <w:t>Neigiamas kontrolinis serumas; (ski</w:t>
            </w:r>
            <w:r>
              <w:rPr>
                <w:sz w:val="18"/>
                <w:szCs w:val="18"/>
                <w:lang w:val="lt-LT"/>
              </w:rPr>
              <w:t>estas 1:20), naudokite gryną</w:t>
            </w:r>
            <w:r w:rsidR="0092356A" w:rsidRPr="009D782B">
              <w:rPr>
                <w:sz w:val="18"/>
                <w:szCs w:val="18"/>
                <w:lang w:val="lt-LT"/>
              </w:rPr>
              <w:t>.</w:t>
            </w:r>
          </w:p>
          <w:p w:rsidR="0092356A" w:rsidRPr="009D782B" w:rsidRDefault="00CB372F" w:rsidP="00CB372F">
            <w:pPr>
              <w:ind w:left="176" w:hanging="176"/>
              <w:contextualSpacing/>
              <w:jc w:val="both"/>
              <w:rPr>
                <w:sz w:val="18"/>
                <w:szCs w:val="18"/>
                <w:lang w:val="lt-LT"/>
              </w:rPr>
            </w:pPr>
            <w:r>
              <w:rPr>
                <w:sz w:val="18"/>
                <w:szCs w:val="18"/>
                <w:lang w:val="lt-LT"/>
              </w:rPr>
              <w:t>•</w:t>
            </w:r>
            <w:r w:rsidR="0092356A" w:rsidRPr="009D782B">
              <w:rPr>
                <w:sz w:val="18"/>
                <w:szCs w:val="18"/>
                <w:lang w:val="lt-LT"/>
              </w:rPr>
              <w:t>Pakuotės lapelis.</w:t>
            </w:r>
          </w:p>
          <w:p w:rsidR="0092356A" w:rsidRPr="009D782B" w:rsidRDefault="0092356A" w:rsidP="009D782B">
            <w:pPr>
              <w:contextualSpacing/>
              <w:jc w:val="both"/>
              <w:rPr>
                <w:sz w:val="18"/>
                <w:szCs w:val="18"/>
                <w:lang w:val="lt-LT"/>
              </w:rPr>
            </w:pPr>
          </w:p>
          <w:p w:rsidR="0092356A" w:rsidRPr="00CB372F" w:rsidRDefault="0092356A" w:rsidP="009D782B">
            <w:pPr>
              <w:contextualSpacing/>
              <w:jc w:val="both"/>
              <w:rPr>
                <w:b/>
                <w:sz w:val="18"/>
                <w:szCs w:val="18"/>
                <w:lang w:val="lt-LT"/>
              </w:rPr>
            </w:pPr>
            <w:r w:rsidRPr="00CB372F">
              <w:rPr>
                <w:b/>
                <w:sz w:val="18"/>
                <w:szCs w:val="18"/>
                <w:lang w:val="lt-LT"/>
              </w:rPr>
              <w:t>KITOS REIKALINGOS MEDŽIAGOS</w:t>
            </w:r>
          </w:p>
          <w:p w:rsidR="0092356A" w:rsidRPr="00CB372F" w:rsidRDefault="0092356A" w:rsidP="00CB372F">
            <w:pPr>
              <w:pStyle w:val="ListParagraph"/>
              <w:numPr>
                <w:ilvl w:val="0"/>
                <w:numId w:val="2"/>
              </w:numPr>
              <w:ind w:left="176" w:hanging="176"/>
              <w:jc w:val="both"/>
              <w:rPr>
                <w:sz w:val="18"/>
                <w:szCs w:val="18"/>
                <w:lang w:val="lt-LT"/>
              </w:rPr>
            </w:pPr>
            <w:r w:rsidRPr="00CB372F">
              <w:rPr>
                <w:sz w:val="18"/>
                <w:szCs w:val="18"/>
                <w:lang w:val="lt-LT"/>
              </w:rPr>
              <w:t>Dozatoriai, skirti 10:25:75 ir 190 mikrolitrų tūriui.</w:t>
            </w:r>
          </w:p>
          <w:p w:rsidR="0092356A" w:rsidRPr="00CB372F" w:rsidRDefault="0092356A" w:rsidP="00CB372F">
            <w:pPr>
              <w:pStyle w:val="ListParagraph"/>
              <w:numPr>
                <w:ilvl w:val="0"/>
                <w:numId w:val="2"/>
              </w:numPr>
              <w:ind w:left="176" w:hanging="176"/>
              <w:jc w:val="both"/>
              <w:rPr>
                <w:sz w:val="18"/>
                <w:szCs w:val="18"/>
                <w:lang w:val="lt-LT"/>
              </w:rPr>
            </w:pPr>
            <w:r w:rsidRPr="00CB372F">
              <w:rPr>
                <w:sz w:val="18"/>
                <w:szCs w:val="18"/>
                <w:lang w:val="lt-LT"/>
              </w:rPr>
              <w:t>U formos mikrotitravimo plokštelės.</w:t>
            </w:r>
          </w:p>
          <w:p w:rsidR="0092356A" w:rsidRPr="009D782B" w:rsidRDefault="0092356A" w:rsidP="009D782B">
            <w:pPr>
              <w:contextualSpacing/>
              <w:jc w:val="both"/>
              <w:rPr>
                <w:sz w:val="18"/>
                <w:szCs w:val="18"/>
                <w:lang w:val="lt-LT"/>
              </w:rPr>
            </w:pPr>
          </w:p>
          <w:p w:rsidR="0092356A" w:rsidRPr="00CB372F" w:rsidRDefault="0092356A" w:rsidP="009D782B">
            <w:pPr>
              <w:contextualSpacing/>
              <w:jc w:val="both"/>
              <w:rPr>
                <w:b/>
                <w:sz w:val="18"/>
                <w:szCs w:val="18"/>
                <w:lang w:val="lt-LT"/>
              </w:rPr>
            </w:pPr>
            <w:r w:rsidRPr="00CB372F">
              <w:rPr>
                <w:b/>
                <w:sz w:val="18"/>
                <w:szCs w:val="18"/>
                <w:lang w:val="lt-LT"/>
              </w:rPr>
              <w:t>ATSARGUMO PRIEMONĖS</w:t>
            </w:r>
          </w:p>
          <w:p w:rsidR="0092356A" w:rsidRPr="009D782B" w:rsidRDefault="0092356A" w:rsidP="009D782B">
            <w:pPr>
              <w:contextualSpacing/>
              <w:jc w:val="both"/>
              <w:rPr>
                <w:sz w:val="18"/>
                <w:szCs w:val="18"/>
                <w:lang w:val="lt-LT"/>
              </w:rPr>
            </w:pPr>
            <w:r w:rsidRPr="009D782B">
              <w:rPr>
                <w:sz w:val="18"/>
                <w:szCs w:val="18"/>
                <w:lang w:val="lt-LT"/>
              </w:rPr>
              <w:t xml:space="preserve">Reagentuose ir kontrolėse yra konservantų, kurių sudėtyje yra 0,1% natrio azido. Vengti patekimo ant odos ar gleivinės. Atliekant tyrimus, turėtų </w:t>
            </w:r>
            <w:r w:rsidR="00CB372F">
              <w:rPr>
                <w:sz w:val="18"/>
                <w:szCs w:val="18"/>
                <w:lang w:val="lt-LT"/>
              </w:rPr>
              <w:t>būti laikomasi normalių</w:t>
            </w:r>
            <w:r w:rsidRPr="009D782B">
              <w:rPr>
                <w:sz w:val="18"/>
                <w:szCs w:val="18"/>
                <w:lang w:val="lt-LT"/>
              </w:rPr>
              <w:t xml:space="preserve"> l</w:t>
            </w:r>
            <w:r w:rsidR="00CB372F">
              <w:rPr>
                <w:sz w:val="18"/>
                <w:szCs w:val="18"/>
                <w:lang w:val="lt-LT"/>
              </w:rPr>
              <w:t>aboratorijos atsargumo priemonių</w:t>
            </w:r>
            <w:r w:rsidRPr="009D782B">
              <w:rPr>
                <w:sz w:val="18"/>
                <w:szCs w:val="18"/>
                <w:lang w:val="lt-LT"/>
              </w:rPr>
              <w:t>.</w:t>
            </w:r>
          </w:p>
          <w:p w:rsidR="00CB372F" w:rsidRDefault="00CB372F" w:rsidP="009D782B">
            <w:pPr>
              <w:contextualSpacing/>
              <w:jc w:val="both"/>
              <w:rPr>
                <w:sz w:val="18"/>
                <w:szCs w:val="18"/>
                <w:lang w:val="lt-LT"/>
              </w:rPr>
            </w:pPr>
          </w:p>
          <w:p w:rsidR="0092356A" w:rsidRPr="00CB372F" w:rsidRDefault="0092356A" w:rsidP="009D782B">
            <w:pPr>
              <w:contextualSpacing/>
              <w:jc w:val="both"/>
              <w:rPr>
                <w:b/>
                <w:sz w:val="18"/>
                <w:szCs w:val="18"/>
                <w:lang w:val="lt-LT"/>
              </w:rPr>
            </w:pPr>
            <w:r w:rsidRPr="00CB372F">
              <w:rPr>
                <w:b/>
                <w:sz w:val="18"/>
                <w:szCs w:val="18"/>
                <w:lang w:val="lt-LT"/>
              </w:rPr>
              <w:t>REAGENTŲ NAUDOJIMAS</w:t>
            </w:r>
          </w:p>
          <w:p w:rsidR="0092356A" w:rsidRPr="009D782B" w:rsidRDefault="0092356A" w:rsidP="009D782B">
            <w:pPr>
              <w:contextualSpacing/>
              <w:jc w:val="both"/>
              <w:rPr>
                <w:sz w:val="18"/>
                <w:szCs w:val="18"/>
                <w:lang w:val="lt-LT"/>
              </w:rPr>
            </w:pPr>
            <w:r w:rsidRPr="009D782B">
              <w:rPr>
                <w:sz w:val="18"/>
                <w:szCs w:val="18"/>
                <w:lang w:val="lt-LT"/>
              </w:rPr>
              <w:t>Visiems reagentams turi būti leidžiama pasiekti kambario temperatūrą prieš naudojimą.</w:t>
            </w:r>
            <w:r w:rsidR="00CB372F">
              <w:rPr>
                <w:sz w:val="18"/>
                <w:szCs w:val="18"/>
                <w:lang w:val="lt-LT"/>
              </w:rPr>
              <w:t xml:space="preserve"> </w:t>
            </w:r>
            <w:r w:rsidRPr="009D782B">
              <w:rPr>
                <w:sz w:val="18"/>
                <w:szCs w:val="18"/>
                <w:lang w:val="lt-LT"/>
              </w:rPr>
              <w:t>Jokių reagentų neužšaldykite.</w:t>
            </w:r>
          </w:p>
          <w:p w:rsidR="0092356A" w:rsidRPr="009D782B" w:rsidRDefault="0092356A" w:rsidP="009D782B">
            <w:pPr>
              <w:contextualSpacing/>
              <w:jc w:val="both"/>
              <w:rPr>
                <w:sz w:val="18"/>
                <w:szCs w:val="18"/>
                <w:lang w:val="lt-LT"/>
              </w:rPr>
            </w:pPr>
            <w:r w:rsidRPr="009D782B">
              <w:rPr>
                <w:sz w:val="18"/>
                <w:szCs w:val="18"/>
                <w:lang w:val="lt-LT"/>
              </w:rPr>
              <w:t>Nenaudokite hemolizuoto, užteršto ar lipeminio serumo ar plazmos, nes tai neigiamai paveiktų rezultatus.</w:t>
            </w:r>
          </w:p>
          <w:p w:rsidR="0092356A" w:rsidRPr="009D782B" w:rsidRDefault="0092356A" w:rsidP="009D782B">
            <w:pPr>
              <w:contextualSpacing/>
              <w:jc w:val="both"/>
              <w:rPr>
                <w:sz w:val="18"/>
                <w:szCs w:val="18"/>
                <w:lang w:val="lt-LT"/>
              </w:rPr>
            </w:pPr>
          </w:p>
          <w:p w:rsidR="0092356A" w:rsidRPr="00970899" w:rsidRDefault="0092356A" w:rsidP="009D782B">
            <w:pPr>
              <w:contextualSpacing/>
              <w:jc w:val="both"/>
              <w:rPr>
                <w:b/>
                <w:sz w:val="18"/>
                <w:szCs w:val="18"/>
                <w:lang w:val="lt-LT"/>
              </w:rPr>
            </w:pPr>
            <w:r w:rsidRPr="00970899">
              <w:rPr>
                <w:b/>
                <w:sz w:val="18"/>
                <w:szCs w:val="18"/>
                <w:lang w:val="lt-LT"/>
              </w:rPr>
              <w:t>REAGENTŲ LAIKYMAS</w:t>
            </w:r>
          </w:p>
          <w:p w:rsidR="0092356A" w:rsidRPr="005856D3" w:rsidRDefault="0092356A" w:rsidP="005856D3">
            <w:pPr>
              <w:pStyle w:val="ListParagraph"/>
              <w:numPr>
                <w:ilvl w:val="0"/>
                <w:numId w:val="3"/>
              </w:numPr>
              <w:ind w:left="176" w:hanging="142"/>
              <w:jc w:val="both"/>
              <w:rPr>
                <w:sz w:val="18"/>
                <w:szCs w:val="18"/>
                <w:lang w:val="lt-LT"/>
              </w:rPr>
            </w:pPr>
            <w:r w:rsidRPr="005856D3">
              <w:rPr>
                <w:sz w:val="18"/>
                <w:szCs w:val="18"/>
                <w:lang w:val="lt-LT"/>
              </w:rPr>
              <w:t>Rinkinys turėtų būti laikomas 2-8°C temperatūroje, vertikalioje padėtyje.</w:t>
            </w:r>
          </w:p>
          <w:p w:rsidR="0092356A" w:rsidRPr="005856D3" w:rsidRDefault="0092356A" w:rsidP="005856D3">
            <w:pPr>
              <w:pStyle w:val="ListParagraph"/>
              <w:numPr>
                <w:ilvl w:val="0"/>
                <w:numId w:val="3"/>
              </w:numPr>
              <w:ind w:left="176" w:hanging="142"/>
              <w:jc w:val="both"/>
              <w:rPr>
                <w:sz w:val="18"/>
                <w:szCs w:val="18"/>
                <w:lang w:val="lt-LT"/>
              </w:rPr>
            </w:pPr>
            <w:r w:rsidRPr="005856D3">
              <w:rPr>
                <w:sz w:val="18"/>
                <w:szCs w:val="18"/>
                <w:lang w:val="lt-LT"/>
              </w:rPr>
              <w:t>Esant šioms sąlygoms, rinkinio eksploatacinės charakteristikos bus išlaikytos mažiausiai 15 ar 18 mėnesių nuo pagaminimo dienos.</w:t>
            </w:r>
          </w:p>
          <w:p w:rsidR="0092356A" w:rsidRPr="005856D3" w:rsidRDefault="0092356A" w:rsidP="005856D3">
            <w:pPr>
              <w:pStyle w:val="ListParagraph"/>
              <w:numPr>
                <w:ilvl w:val="0"/>
                <w:numId w:val="3"/>
              </w:numPr>
              <w:ind w:left="176" w:hanging="142"/>
              <w:jc w:val="both"/>
              <w:rPr>
                <w:sz w:val="18"/>
                <w:szCs w:val="18"/>
                <w:lang w:val="lt-LT"/>
              </w:rPr>
            </w:pPr>
            <w:r w:rsidRPr="005856D3">
              <w:rPr>
                <w:sz w:val="18"/>
                <w:szCs w:val="18"/>
                <w:lang w:val="lt-LT"/>
              </w:rPr>
              <w:t>Rinkinio galiojimo pabaigos datą rasite ant pakuotės etiketės.</w:t>
            </w:r>
          </w:p>
          <w:p w:rsidR="0092356A" w:rsidRPr="005856D3" w:rsidRDefault="0092356A" w:rsidP="005856D3">
            <w:pPr>
              <w:pStyle w:val="ListParagraph"/>
              <w:numPr>
                <w:ilvl w:val="0"/>
                <w:numId w:val="3"/>
              </w:numPr>
              <w:ind w:left="176" w:hanging="142"/>
              <w:jc w:val="both"/>
              <w:rPr>
                <w:sz w:val="18"/>
                <w:szCs w:val="18"/>
                <w:lang w:val="lt-LT"/>
              </w:rPr>
            </w:pPr>
            <w:r w:rsidRPr="005856D3">
              <w:rPr>
                <w:sz w:val="18"/>
                <w:szCs w:val="18"/>
                <w:lang w:val="lt-LT"/>
              </w:rPr>
              <w:t>Reagentai turi būti pašalinti, jei jie užteršiami ar nepraėjo kontrolės.</w:t>
            </w:r>
          </w:p>
          <w:p w:rsidR="0092356A" w:rsidRPr="005856D3" w:rsidRDefault="0092356A" w:rsidP="005856D3">
            <w:pPr>
              <w:pStyle w:val="ListParagraph"/>
              <w:numPr>
                <w:ilvl w:val="0"/>
                <w:numId w:val="3"/>
              </w:numPr>
              <w:ind w:left="176" w:hanging="142"/>
              <w:jc w:val="both"/>
              <w:rPr>
                <w:sz w:val="18"/>
                <w:szCs w:val="18"/>
                <w:lang w:val="lt-LT"/>
              </w:rPr>
            </w:pPr>
            <w:r w:rsidRPr="005856D3">
              <w:rPr>
                <w:sz w:val="18"/>
                <w:szCs w:val="18"/>
                <w:lang w:val="lt-LT"/>
              </w:rPr>
              <w:t>Kiekvieno rinkinio reagentai buvo standartizuoti išgaunant ati</w:t>
            </w:r>
            <w:r w:rsidR="005856D3">
              <w:rPr>
                <w:sz w:val="18"/>
                <w:szCs w:val="18"/>
                <w:lang w:val="lt-LT"/>
              </w:rPr>
              <w:t>ti</w:t>
            </w:r>
            <w:r w:rsidRPr="005856D3">
              <w:rPr>
                <w:sz w:val="18"/>
                <w:szCs w:val="18"/>
                <w:lang w:val="lt-LT"/>
              </w:rPr>
              <w:t>nkamą reakciją ir todėl reagentai neturėtų būti tarpusavyje keičiami su kitų partijų rinkinių komponentais.</w:t>
            </w:r>
          </w:p>
          <w:p w:rsidR="0092356A" w:rsidRPr="009D782B" w:rsidRDefault="0092356A" w:rsidP="009D782B">
            <w:pPr>
              <w:contextualSpacing/>
              <w:jc w:val="both"/>
              <w:rPr>
                <w:sz w:val="18"/>
                <w:szCs w:val="18"/>
                <w:lang w:val="lt-LT"/>
              </w:rPr>
            </w:pPr>
          </w:p>
          <w:p w:rsidR="0092356A" w:rsidRPr="005856D3" w:rsidRDefault="0092356A" w:rsidP="009D782B">
            <w:pPr>
              <w:contextualSpacing/>
              <w:jc w:val="both"/>
              <w:rPr>
                <w:b/>
                <w:sz w:val="18"/>
                <w:szCs w:val="18"/>
                <w:lang w:val="lt-LT"/>
              </w:rPr>
            </w:pPr>
            <w:r w:rsidRPr="005856D3">
              <w:rPr>
                <w:b/>
                <w:sz w:val="18"/>
                <w:szCs w:val="18"/>
                <w:lang w:val="lt-LT"/>
              </w:rPr>
              <w:t>MĖGINIO PARUOŠIMAS</w:t>
            </w:r>
          </w:p>
          <w:p w:rsidR="0092356A" w:rsidRPr="005856D3" w:rsidRDefault="0092356A" w:rsidP="005856D3">
            <w:pPr>
              <w:pStyle w:val="ListParagraph"/>
              <w:numPr>
                <w:ilvl w:val="0"/>
                <w:numId w:val="4"/>
              </w:numPr>
              <w:ind w:left="176" w:hanging="176"/>
              <w:jc w:val="both"/>
              <w:rPr>
                <w:sz w:val="18"/>
                <w:szCs w:val="18"/>
                <w:lang w:val="lt-LT"/>
              </w:rPr>
            </w:pPr>
            <w:r w:rsidRPr="005856D3">
              <w:rPr>
                <w:sz w:val="18"/>
                <w:szCs w:val="18"/>
                <w:lang w:val="lt-LT"/>
              </w:rPr>
              <w:t>Tyrimo rinkinys skirtas naudoti tik su serumu.</w:t>
            </w:r>
          </w:p>
          <w:p w:rsidR="0092356A" w:rsidRPr="005856D3" w:rsidRDefault="0092356A" w:rsidP="005856D3">
            <w:pPr>
              <w:pStyle w:val="ListParagraph"/>
              <w:numPr>
                <w:ilvl w:val="0"/>
                <w:numId w:val="4"/>
              </w:numPr>
              <w:ind w:left="176" w:hanging="176"/>
              <w:jc w:val="both"/>
              <w:rPr>
                <w:sz w:val="18"/>
                <w:szCs w:val="18"/>
                <w:lang w:val="lt-LT"/>
              </w:rPr>
            </w:pPr>
            <w:r w:rsidRPr="005856D3">
              <w:rPr>
                <w:sz w:val="18"/>
                <w:szCs w:val="18"/>
                <w:lang w:val="lt-LT"/>
              </w:rPr>
              <w:t>Plazmos mėginiai neturėtų būti naudojami.</w:t>
            </w:r>
          </w:p>
          <w:p w:rsidR="0092356A" w:rsidRPr="005856D3" w:rsidRDefault="0092356A" w:rsidP="005856D3">
            <w:pPr>
              <w:pStyle w:val="ListParagraph"/>
              <w:numPr>
                <w:ilvl w:val="0"/>
                <w:numId w:val="4"/>
              </w:numPr>
              <w:ind w:left="176" w:hanging="176"/>
              <w:jc w:val="both"/>
              <w:rPr>
                <w:sz w:val="18"/>
                <w:szCs w:val="18"/>
                <w:lang w:val="lt-LT"/>
              </w:rPr>
            </w:pPr>
            <w:r w:rsidRPr="005856D3">
              <w:rPr>
                <w:sz w:val="18"/>
                <w:szCs w:val="18"/>
                <w:lang w:val="lt-LT"/>
              </w:rPr>
              <w:t>Mėginiai turi būti nehemolizuoti ar su priemaišomis.</w:t>
            </w:r>
          </w:p>
          <w:p w:rsidR="0092356A" w:rsidRPr="005856D3" w:rsidRDefault="0092356A" w:rsidP="005856D3">
            <w:pPr>
              <w:pStyle w:val="ListParagraph"/>
              <w:numPr>
                <w:ilvl w:val="0"/>
                <w:numId w:val="4"/>
              </w:numPr>
              <w:ind w:left="176" w:hanging="176"/>
              <w:jc w:val="both"/>
              <w:rPr>
                <w:sz w:val="18"/>
                <w:szCs w:val="18"/>
                <w:lang w:val="lt-LT"/>
              </w:rPr>
            </w:pPr>
            <w:r w:rsidRPr="005856D3">
              <w:rPr>
                <w:sz w:val="18"/>
                <w:szCs w:val="18"/>
                <w:lang w:val="lt-LT"/>
              </w:rPr>
              <w:t>Serumo mėginiai gali būti laikomi 2-8°C temperatūroje, jei yra pridėtas konservantas.</w:t>
            </w:r>
          </w:p>
          <w:p w:rsidR="0092356A" w:rsidRPr="005856D3" w:rsidRDefault="0092356A" w:rsidP="005856D3">
            <w:pPr>
              <w:pStyle w:val="ListParagraph"/>
              <w:numPr>
                <w:ilvl w:val="0"/>
                <w:numId w:val="4"/>
              </w:numPr>
              <w:ind w:left="176" w:hanging="176"/>
              <w:jc w:val="both"/>
              <w:rPr>
                <w:sz w:val="18"/>
                <w:szCs w:val="18"/>
                <w:lang w:val="lt-LT"/>
              </w:rPr>
            </w:pPr>
            <w:r w:rsidRPr="005856D3">
              <w:rPr>
                <w:sz w:val="18"/>
                <w:szCs w:val="18"/>
                <w:lang w:val="lt-LT"/>
              </w:rPr>
              <w:t>Ilgalaikiam saugojimui serumai turėtų būti  laikomi -20°C temperatūroje. Venkite bet kokio užterštumo seilėmis. Tai sukels teigiamus klaidinančius rezultatus.</w:t>
            </w:r>
          </w:p>
          <w:p w:rsidR="0092356A" w:rsidRPr="009D782B" w:rsidRDefault="0092356A" w:rsidP="009D782B">
            <w:pPr>
              <w:contextualSpacing/>
              <w:jc w:val="both"/>
              <w:rPr>
                <w:sz w:val="18"/>
                <w:szCs w:val="18"/>
                <w:lang w:val="lt-LT"/>
              </w:rPr>
            </w:pPr>
          </w:p>
          <w:p w:rsidR="005856D3" w:rsidRDefault="005856D3" w:rsidP="009D782B">
            <w:pPr>
              <w:contextualSpacing/>
              <w:jc w:val="both"/>
              <w:rPr>
                <w:sz w:val="18"/>
                <w:szCs w:val="18"/>
                <w:lang w:val="lt-LT"/>
              </w:rPr>
            </w:pPr>
          </w:p>
          <w:p w:rsidR="005856D3" w:rsidRDefault="005856D3" w:rsidP="009D782B">
            <w:pPr>
              <w:contextualSpacing/>
              <w:jc w:val="both"/>
              <w:rPr>
                <w:sz w:val="18"/>
                <w:szCs w:val="18"/>
                <w:lang w:val="lt-LT"/>
              </w:rPr>
            </w:pPr>
          </w:p>
          <w:p w:rsidR="0092356A" w:rsidRPr="009D782B" w:rsidRDefault="0092356A" w:rsidP="009D782B">
            <w:pPr>
              <w:contextualSpacing/>
              <w:jc w:val="both"/>
              <w:rPr>
                <w:sz w:val="18"/>
                <w:szCs w:val="18"/>
                <w:lang w:val="lt-LT"/>
              </w:rPr>
            </w:pPr>
            <w:r w:rsidRPr="009D782B">
              <w:rPr>
                <w:sz w:val="18"/>
                <w:szCs w:val="18"/>
                <w:lang w:val="lt-LT"/>
              </w:rPr>
              <w:lastRenderedPageBreak/>
              <w:t xml:space="preserve">Šis mėginys turi būti iš naujo patikrintas atliekant kokybinį tyrimą, tada kitas mėginys turėtų būti tiriamas vėliau, siekiant nustatyti, ar nėra didėjančio titro. Taip pat patartina atlikti pakartotiną tyrimą ir (arba) atlikti tyrimą kitu patvirtinimo metodu (FTA-ABS). </w:t>
            </w:r>
          </w:p>
          <w:p w:rsidR="0092356A" w:rsidRPr="009D782B" w:rsidRDefault="0092356A" w:rsidP="009D782B">
            <w:pPr>
              <w:contextualSpacing/>
              <w:jc w:val="both"/>
              <w:rPr>
                <w:sz w:val="18"/>
                <w:szCs w:val="18"/>
                <w:lang w:val="lt-LT"/>
              </w:rPr>
            </w:pPr>
            <w:r w:rsidRPr="00E62CE7">
              <w:rPr>
                <w:b/>
                <w:sz w:val="18"/>
                <w:szCs w:val="18"/>
                <w:lang w:val="lt-LT"/>
              </w:rPr>
              <w:t>NEIGIAMAS</w:t>
            </w:r>
            <w:r w:rsidRPr="009D782B">
              <w:rPr>
                <w:sz w:val="18"/>
                <w:szCs w:val="18"/>
                <w:lang w:val="lt-LT"/>
              </w:rPr>
              <w:t xml:space="preserve"> gali rodyti ląsteles, nusistovėjusias reakcijos šulinėlio apačioje.</w:t>
            </w:r>
          </w:p>
          <w:p w:rsidR="0092356A" w:rsidRPr="009D782B" w:rsidRDefault="0092356A" w:rsidP="009D782B">
            <w:pPr>
              <w:contextualSpacing/>
              <w:jc w:val="both"/>
              <w:rPr>
                <w:sz w:val="18"/>
                <w:szCs w:val="18"/>
                <w:lang w:val="lt-LT"/>
              </w:rPr>
            </w:pPr>
          </w:p>
          <w:p w:rsidR="0092356A" w:rsidRPr="00E62CE7" w:rsidRDefault="0092356A" w:rsidP="009D782B">
            <w:pPr>
              <w:contextualSpacing/>
              <w:jc w:val="both"/>
              <w:rPr>
                <w:b/>
                <w:sz w:val="18"/>
                <w:szCs w:val="18"/>
                <w:lang w:val="lt-LT"/>
              </w:rPr>
            </w:pPr>
            <w:r w:rsidRPr="00E62CE7">
              <w:rPr>
                <w:b/>
                <w:sz w:val="18"/>
                <w:szCs w:val="18"/>
                <w:lang w:val="lt-LT"/>
              </w:rPr>
              <w:t>ATLIKIMAS</w:t>
            </w:r>
          </w:p>
          <w:p w:rsidR="0092356A" w:rsidRPr="00E62CE7" w:rsidRDefault="0092356A" w:rsidP="009D782B">
            <w:pPr>
              <w:contextualSpacing/>
              <w:jc w:val="both"/>
              <w:rPr>
                <w:b/>
                <w:sz w:val="18"/>
                <w:szCs w:val="18"/>
                <w:lang w:val="lt-LT"/>
              </w:rPr>
            </w:pPr>
            <w:r w:rsidRPr="00E62CE7">
              <w:rPr>
                <w:b/>
                <w:sz w:val="18"/>
                <w:szCs w:val="18"/>
                <w:lang w:val="lt-LT"/>
              </w:rPr>
              <w:t xml:space="preserve">Jautrumas </w:t>
            </w:r>
          </w:p>
          <w:p w:rsidR="0092356A" w:rsidRPr="009D782B" w:rsidRDefault="0092356A" w:rsidP="009D782B">
            <w:pPr>
              <w:contextualSpacing/>
              <w:jc w:val="both"/>
              <w:rPr>
                <w:sz w:val="18"/>
                <w:szCs w:val="18"/>
                <w:lang w:val="lt-LT"/>
              </w:rPr>
            </w:pPr>
            <w:r w:rsidRPr="009D782B">
              <w:rPr>
                <w:sz w:val="18"/>
                <w:szCs w:val="18"/>
                <w:lang w:val="lt-LT"/>
              </w:rPr>
              <w:t>Su klinikiniais mėginiais lyginant juos su FTA-ABS ir (arba) klinikinėm diagnozėm buvo 99,7% (298/299)</w:t>
            </w:r>
          </w:p>
          <w:p w:rsidR="0092356A" w:rsidRPr="00E62CE7" w:rsidRDefault="0092356A" w:rsidP="009D782B">
            <w:pPr>
              <w:contextualSpacing/>
              <w:jc w:val="both"/>
              <w:rPr>
                <w:b/>
                <w:sz w:val="18"/>
                <w:szCs w:val="18"/>
                <w:lang w:val="lt-LT"/>
              </w:rPr>
            </w:pPr>
            <w:r w:rsidRPr="00E62CE7">
              <w:rPr>
                <w:b/>
                <w:sz w:val="18"/>
                <w:szCs w:val="18"/>
                <w:lang w:val="lt-LT"/>
              </w:rPr>
              <w:t>Specifiškumas</w:t>
            </w:r>
          </w:p>
          <w:p w:rsidR="0092356A" w:rsidRPr="009D782B" w:rsidRDefault="0092356A" w:rsidP="009D782B">
            <w:pPr>
              <w:contextualSpacing/>
              <w:jc w:val="both"/>
              <w:rPr>
                <w:sz w:val="18"/>
                <w:szCs w:val="18"/>
                <w:lang w:val="lt-LT"/>
              </w:rPr>
            </w:pPr>
            <w:r w:rsidRPr="009D782B">
              <w:rPr>
                <w:sz w:val="18"/>
                <w:szCs w:val="18"/>
                <w:lang w:val="lt-LT"/>
              </w:rPr>
              <w:t>Su klinikiniais mėginiais buvo 99,3% (301/303).</w:t>
            </w:r>
          </w:p>
          <w:p w:rsidR="0092356A" w:rsidRPr="00E62CE7" w:rsidRDefault="0092356A" w:rsidP="009D782B">
            <w:pPr>
              <w:contextualSpacing/>
              <w:jc w:val="both"/>
              <w:rPr>
                <w:b/>
                <w:sz w:val="18"/>
                <w:szCs w:val="18"/>
                <w:lang w:val="lt-LT"/>
              </w:rPr>
            </w:pPr>
            <w:r w:rsidRPr="00E62CE7">
              <w:rPr>
                <w:b/>
                <w:sz w:val="18"/>
                <w:szCs w:val="18"/>
                <w:lang w:val="lt-LT"/>
              </w:rPr>
              <w:t>Kryžminis reaktyvumas</w:t>
            </w:r>
          </w:p>
          <w:p w:rsidR="0092356A" w:rsidRPr="009D782B" w:rsidRDefault="0092356A" w:rsidP="009D782B">
            <w:pPr>
              <w:contextualSpacing/>
              <w:jc w:val="both"/>
              <w:rPr>
                <w:sz w:val="18"/>
                <w:szCs w:val="18"/>
                <w:lang w:val="lt-LT"/>
              </w:rPr>
            </w:pPr>
            <w:r w:rsidRPr="009D782B">
              <w:rPr>
                <w:sz w:val="18"/>
                <w:szCs w:val="18"/>
                <w:lang w:val="lt-LT"/>
              </w:rPr>
              <w:t>Reaktyvūs rezultatai gali reikšti aktyvią ar sėkmingai gydomą infekciją.</w:t>
            </w:r>
          </w:p>
          <w:p w:rsidR="0092356A" w:rsidRPr="009D782B" w:rsidRDefault="0092356A" w:rsidP="009D782B">
            <w:pPr>
              <w:contextualSpacing/>
              <w:jc w:val="both"/>
              <w:rPr>
                <w:sz w:val="18"/>
                <w:szCs w:val="18"/>
                <w:lang w:val="lt-LT"/>
              </w:rPr>
            </w:pPr>
            <w:r w:rsidRPr="009D782B">
              <w:rPr>
                <w:sz w:val="18"/>
                <w:szCs w:val="18"/>
                <w:lang w:val="lt-LT"/>
              </w:rPr>
              <w:t>Buvo nustatyta, kad rezultatų neįtakojo (10 klinikinių mėginių)</w:t>
            </w:r>
          </w:p>
          <w:p w:rsidR="0092356A" w:rsidRPr="009D782B" w:rsidRDefault="0092356A" w:rsidP="009D782B">
            <w:pPr>
              <w:contextualSpacing/>
              <w:jc w:val="both"/>
              <w:rPr>
                <w:sz w:val="18"/>
                <w:szCs w:val="18"/>
                <w:lang w:val="lt-LT"/>
              </w:rPr>
            </w:pPr>
            <w:r w:rsidRPr="009D782B">
              <w:rPr>
                <w:sz w:val="18"/>
                <w:szCs w:val="18"/>
                <w:lang w:val="lt-LT"/>
              </w:rPr>
              <w:t>• Reumatoidinis faktorius.</w:t>
            </w:r>
          </w:p>
          <w:p w:rsidR="0092356A" w:rsidRPr="009D782B" w:rsidRDefault="0092356A" w:rsidP="009D782B">
            <w:pPr>
              <w:contextualSpacing/>
              <w:jc w:val="both"/>
              <w:rPr>
                <w:sz w:val="18"/>
                <w:szCs w:val="18"/>
                <w:lang w:val="lt-LT"/>
              </w:rPr>
            </w:pPr>
            <w:r w:rsidRPr="009D782B">
              <w:rPr>
                <w:sz w:val="18"/>
                <w:szCs w:val="18"/>
                <w:lang w:val="lt-LT"/>
              </w:rPr>
              <w:t>• Po hepatito B vakcinacijos.</w:t>
            </w:r>
          </w:p>
          <w:p w:rsidR="0092356A" w:rsidRPr="009D782B" w:rsidRDefault="0092356A" w:rsidP="009D782B">
            <w:pPr>
              <w:contextualSpacing/>
              <w:jc w:val="both"/>
              <w:rPr>
                <w:sz w:val="18"/>
                <w:szCs w:val="18"/>
                <w:lang w:val="lt-LT"/>
              </w:rPr>
            </w:pPr>
            <w:r w:rsidRPr="009D782B">
              <w:rPr>
                <w:sz w:val="18"/>
                <w:szCs w:val="18"/>
                <w:lang w:val="lt-LT"/>
              </w:rPr>
              <w:t>• Genitalijų herpes.</w:t>
            </w:r>
          </w:p>
          <w:p w:rsidR="0092356A" w:rsidRPr="009D782B" w:rsidRDefault="0092356A" w:rsidP="009D782B">
            <w:pPr>
              <w:contextualSpacing/>
              <w:jc w:val="both"/>
              <w:rPr>
                <w:sz w:val="18"/>
                <w:szCs w:val="18"/>
                <w:lang w:val="lt-LT"/>
              </w:rPr>
            </w:pPr>
            <w:r w:rsidRPr="009D782B">
              <w:rPr>
                <w:sz w:val="18"/>
                <w:szCs w:val="18"/>
                <w:lang w:val="lt-LT"/>
              </w:rPr>
              <w:t>• Leptospirozė.</w:t>
            </w:r>
          </w:p>
          <w:p w:rsidR="0092356A" w:rsidRPr="009D782B" w:rsidRDefault="0092356A" w:rsidP="009D782B">
            <w:pPr>
              <w:contextualSpacing/>
              <w:jc w:val="both"/>
              <w:rPr>
                <w:sz w:val="18"/>
                <w:szCs w:val="18"/>
                <w:lang w:val="lt-LT"/>
              </w:rPr>
            </w:pPr>
            <w:r w:rsidRPr="009D782B">
              <w:rPr>
                <w:sz w:val="18"/>
                <w:szCs w:val="18"/>
                <w:lang w:val="lt-LT"/>
              </w:rPr>
              <w:t>• EBV infekcija.</w:t>
            </w:r>
          </w:p>
          <w:p w:rsidR="0092356A" w:rsidRPr="009D782B" w:rsidRDefault="0092356A" w:rsidP="009D782B">
            <w:pPr>
              <w:contextualSpacing/>
              <w:jc w:val="both"/>
              <w:rPr>
                <w:sz w:val="18"/>
                <w:szCs w:val="18"/>
                <w:lang w:val="lt-LT"/>
              </w:rPr>
            </w:pPr>
            <w:r w:rsidRPr="009D782B">
              <w:rPr>
                <w:sz w:val="18"/>
                <w:szCs w:val="18"/>
                <w:lang w:val="lt-LT"/>
              </w:rPr>
              <w:t>• SLE</w:t>
            </w:r>
          </w:p>
          <w:p w:rsidR="0092356A" w:rsidRPr="009D782B" w:rsidRDefault="0092356A" w:rsidP="009D782B">
            <w:pPr>
              <w:contextualSpacing/>
              <w:jc w:val="both"/>
              <w:rPr>
                <w:sz w:val="18"/>
                <w:szCs w:val="18"/>
                <w:lang w:val="lt-LT"/>
              </w:rPr>
            </w:pPr>
            <w:r w:rsidRPr="009D782B">
              <w:rPr>
                <w:sz w:val="18"/>
                <w:szCs w:val="18"/>
                <w:lang w:val="lt-LT"/>
              </w:rPr>
              <w:t>• Laimo liga.</w:t>
            </w:r>
          </w:p>
          <w:p w:rsidR="0092356A" w:rsidRPr="009D782B" w:rsidRDefault="0092356A" w:rsidP="009D782B">
            <w:pPr>
              <w:contextualSpacing/>
              <w:jc w:val="both"/>
              <w:rPr>
                <w:sz w:val="18"/>
                <w:szCs w:val="18"/>
                <w:lang w:val="lt-LT"/>
              </w:rPr>
            </w:pPr>
          </w:p>
          <w:p w:rsidR="0092356A" w:rsidRPr="00E62CE7" w:rsidRDefault="0092356A" w:rsidP="009D782B">
            <w:pPr>
              <w:contextualSpacing/>
              <w:jc w:val="both"/>
              <w:rPr>
                <w:b/>
                <w:sz w:val="18"/>
                <w:szCs w:val="18"/>
                <w:lang w:val="lt-LT"/>
              </w:rPr>
            </w:pPr>
            <w:r w:rsidRPr="00E62CE7">
              <w:rPr>
                <w:b/>
                <w:sz w:val="18"/>
                <w:szCs w:val="18"/>
                <w:lang w:val="lt-LT"/>
              </w:rPr>
              <w:t>LITERATŪRA</w:t>
            </w:r>
          </w:p>
          <w:p w:rsidR="0092356A" w:rsidRPr="009D782B" w:rsidRDefault="0092356A" w:rsidP="009D782B">
            <w:pPr>
              <w:contextualSpacing/>
              <w:jc w:val="both"/>
              <w:rPr>
                <w:sz w:val="18"/>
                <w:szCs w:val="18"/>
                <w:lang w:val="lt-LT"/>
              </w:rPr>
            </w:pPr>
            <w:r w:rsidRPr="009D782B">
              <w:rPr>
                <w:sz w:val="18"/>
                <w:szCs w:val="18"/>
                <w:lang w:val="lt-LT"/>
              </w:rPr>
              <w:t>1. Rathlev T. - Haemagglutination tests utilizing antigens from</w:t>
            </w:r>
          </w:p>
          <w:p w:rsidR="0092356A" w:rsidRPr="009D782B" w:rsidRDefault="0092356A" w:rsidP="009D782B">
            <w:pPr>
              <w:contextualSpacing/>
              <w:jc w:val="both"/>
              <w:rPr>
                <w:sz w:val="18"/>
                <w:szCs w:val="18"/>
                <w:lang w:val="lt-LT"/>
              </w:rPr>
            </w:pPr>
            <w:r w:rsidRPr="009D782B">
              <w:rPr>
                <w:sz w:val="18"/>
                <w:szCs w:val="18"/>
                <w:lang w:val="lt-LT"/>
              </w:rPr>
              <w:t>pathogenic and apathogenic Treponema pallidum WHO/VDT/RES</w:t>
            </w:r>
          </w:p>
          <w:p w:rsidR="0092356A" w:rsidRPr="009D782B" w:rsidRDefault="0092356A" w:rsidP="009D782B">
            <w:pPr>
              <w:contextualSpacing/>
              <w:jc w:val="both"/>
              <w:rPr>
                <w:sz w:val="18"/>
                <w:szCs w:val="18"/>
                <w:lang w:val="lt-LT"/>
              </w:rPr>
            </w:pPr>
            <w:r w:rsidRPr="009D782B">
              <w:rPr>
                <w:sz w:val="18"/>
                <w:szCs w:val="18"/>
                <w:lang w:val="lt-LT"/>
              </w:rPr>
              <w:t>1965 ; 77 : 65.</w:t>
            </w:r>
          </w:p>
          <w:p w:rsidR="0092356A" w:rsidRPr="009D782B" w:rsidRDefault="0092356A" w:rsidP="009D782B">
            <w:pPr>
              <w:contextualSpacing/>
              <w:jc w:val="both"/>
              <w:rPr>
                <w:sz w:val="18"/>
                <w:szCs w:val="18"/>
                <w:lang w:val="lt-LT"/>
              </w:rPr>
            </w:pPr>
            <w:r w:rsidRPr="009D782B">
              <w:rPr>
                <w:sz w:val="18"/>
                <w:szCs w:val="18"/>
                <w:lang w:val="lt-LT"/>
              </w:rPr>
              <w:t>2. Tomizawa T, Kasamatsu S. - Haemagglutination tests for diagnosis of</w:t>
            </w:r>
            <w:r w:rsidRPr="009D782B">
              <w:rPr>
                <w:sz w:val="18"/>
                <w:szCs w:val="18"/>
                <w:lang w:val="lt-LT"/>
              </w:rPr>
              <w:t xml:space="preserve"> </w:t>
            </w:r>
            <w:r w:rsidRPr="009D782B">
              <w:rPr>
                <w:sz w:val="18"/>
                <w:szCs w:val="18"/>
                <w:lang w:val="lt-LT"/>
              </w:rPr>
              <w:t>syphilis. A preliminary report. Japan. J. Med. Sci. Biol. 19, 305-308,1966.</w:t>
            </w:r>
          </w:p>
          <w:p w:rsidR="0092356A" w:rsidRPr="009D782B" w:rsidRDefault="0092356A" w:rsidP="009D782B">
            <w:pPr>
              <w:contextualSpacing/>
              <w:jc w:val="both"/>
              <w:rPr>
                <w:sz w:val="18"/>
                <w:szCs w:val="18"/>
                <w:lang w:val="lt-LT"/>
              </w:rPr>
            </w:pPr>
            <w:r w:rsidRPr="009D782B">
              <w:rPr>
                <w:sz w:val="18"/>
                <w:szCs w:val="18"/>
                <w:lang w:val="lt-LT"/>
              </w:rPr>
              <w:t>3. Rathlev T. - Haemagglutination test utilizing pathogenic Treponema</w:t>
            </w:r>
            <w:r w:rsidRPr="009D782B">
              <w:rPr>
                <w:sz w:val="18"/>
                <w:szCs w:val="18"/>
                <w:lang w:val="lt-LT"/>
              </w:rPr>
              <w:t xml:space="preserve"> </w:t>
            </w:r>
            <w:r w:rsidRPr="009D782B">
              <w:rPr>
                <w:sz w:val="18"/>
                <w:szCs w:val="18"/>
                <w:lang w:val="lt-LT"/>
              </w:rPr>
              <w:t>pallidum for the serodiagnosis of syphilis. Br J Vener Dis 1967 ; 43 :</w:t>
            </w:r>
            <w:r w:rsidRPr="009D782B">
              <w:rPr>
                <w:sz w:val="18"/>
                <w:szCs w:val="18"/>
                <w:lang w:val="lt-LT"/>
              </w:rPr>
              <w:t xml:space="preserve"> </w:t>
            </w:r>
            <w:r w:rsidRPr="009D782B">
              <w:rPr>
                <w:sz w:val="18"/>
                <w:szCs w:val="18"/>
                <w:lang w:val="lt-LT"/>
              </w:rPr>
              <w:t>181-5.</w:t>
            </w:r>
          </w:p>
          <w:p w:rsidR="0092356A" w:rsidRPr="009D782B" w:rsidRDefault="0092356A" w:rsidP="009D782B">
            <w:pPr>
              <w:contextualSpacing/>
              <w:jc w:val="both"/>
              <w:rPr>
                <w:sz w:val="18"/>
                <w:szCs w:val="18"/>
                <w:lang w:val="lt-LT"/>
              </w:rPr>
            </w:pPr>
            <w:r w:rsidRPr="009D782B">
              <w:rPr>
                <w:sz w:val="18"/>
                <w:szCs w:val="18"/>
                <w:lang w:val="lt-LT"/>
              </w:rPr>
              <w:t>4. Tomizawa T. Kasamatsu S. Yamaya S. - Usefulness of the</w:t>
            </w:r>
          </w:p>
          <w:p w:rsidR="0092356A" w:rsidRPr="009D782B" w:rsidRDefault="0092356A" w:rsidP="009D782B">
            <w:pPr>
              <w:contextualSpacing/>
              <w:jc w:val="both"/>
              <w:rPr>
                <w:sz w:val="18"/>
                <w:szCs w:val="18"/>
                <w:lang w:val="lt-LT"/>
              </w:rPr>
            </w:pPr>
            <w:r w:rsidRPr="009D782B">
              <w:rPr>
                <w:sz w:val="18"/>
                <w:szCs w:val="18"/>
                <w:lang w:val="lt-LT"/>
              </w:rPr>
              <w:t>haemagglutination test using Treponema pallidum antigen (TPHA)</w:t>
            </w:r>
            <w:r w:rsidRPr="009D782B">
              <w:rPr>
                <w:sz w:val="18"/>
                <w:szCs w:val="18"/>
                <w:lang w:val="lt-LT"/>
              </w:rPr>
              <w:t xml:space="preserve"> </w:t>
            </w:r>
            <w:r w:rsidRPr="009D782B">
              <w:rPr>
                <w:sz w:val="18"/>
                <w:szCs w:val="18"/>
                <w:lang w:val="lt-LT"/>
              </w:rPr>
              <w:t>for the serodiagnosis of syphilis. Jap J Med Sci Biol 1969; 22: 341-50.</w:t>
            </w:r>
          </w:p>
          <w:p w:rsidR="0092356A" w:rsidRPr="009D782B" w:rsidRDefault="0092356A" w:rsidP="009D782B">
            <w:pPr>
              <w:contextualSpacing/>
              <w:jc w:val="both"/>
              <w:rPr>
                <w:sz w:val="18"/>
                <w:szCs w:val="18"/>
                <w:lang w:val="lt-LT"/>
              </w:rPr>
            </w:pPr>
            <w:r w:rsidRPr="009D782B">
              <w:rPr>
                <w:sz w:val="18"/>
                <w:szCs w:val="18"/>
                <w:lang w:val="lt-LT"/>
              </w:rPr>
              <w:t>5. Sequeira P, J, L. Eldridge A, E. – Treponemal Haemagglutination test.</w:t>
            </w:r>
            <w:r w:rsidRPr="009D782B">
              <w:rPr>
                <w:sz w:val="18"/>
                <w:szCs w:val="18"/>
                <w:lang w:val="lt-LT"/>
              </w:rPr>
              <w:t xml:space="preserve"> </w:t>
            </w:r>
            <w:r w:rsidRPr="009D782B">
              <w:rPr>
                <w:sz w:val="18"/>
                <w:szCs w:val="18"/>
                <w:lang w:val="lt-LT"/>
              </w:rPr>
              <w:t>Br J Vener Dis 1973; 49: 242-8.</w:t>
            </w:r>
          </w:p>
          <w:p w:rsidR="0092356A" w:rsidRPr="009D782B" w:rsidRDefault="0092356A" w:rsidP="009D782B">
            <w:pPr>
              <w:contextualSpacing/>
              <w:jc w:val="both"/>
              <w:rPr>
                <w:sz w:val="18"/>
                <w:szCs w:val="18"/>
                <w:lang w:val="lt-LT"/>
              </w:rPr>
            </w:pPr>
            <w:r w:rsidRPr="009D782B">
              <w:rPr>
                <w:sz w:val="18"/>
                <w:szCs w:val="18"/>
                <w:lang w:val="lt-LT"/>
              </w:rPr>
              <w:t>6. Larsen S.A., Hambie E.A., et coll., Specificity, sensitivity and</w:t>
            </w:r>
          </w:p>
          <w:p w:rsidR="0092356A" w:rsidRPr="009D782B" w:rsidRDefault="0092356A" w:rsidP="009D782B">
            <w:pPr>
              <w:contextualSpacing/>
              <w:jc w:val="both"/>
              <w:rPr>
                <w:sz w:val="18"/>
                <w:szCs w:val="18"/>
                <w:lang w:val="lt-LT"/>
              </w:rPr>
            </w:pPr>
            <w:r w:rsidRPr="009D782B">
              <w:rPr>
                <w:sz w:val="18"/>
                <w:szCs w:val="18"/>
                <w:lang w:val="lt-LT"/>
              </w:rPr>
              <w:t>reproducibility among the fluorescent treponemal antibody</w:t>
            </w:r>
          </w:p>
          <w:p w:rsidR="0092356A" w:rsidRPr="009D782B" w:rsidRDefault="0092356A" w:rsidP="009D782B">
            <w:pPr>
              <w:contextualSpacing/>
              <w:jc w:val="both"/>
              <w:rPr>
                <w:sz w:val="18"/>
                <w:szCs w:val="18"/>
                <w:lang w:val="lt-LT"/>
              </w:rPr>
            </w:pPr>
            <w:r w:rsidRPr="009D782B">
              <w:rPr>
                <w:sz w:val="18"/>
                <w:szCs w:val="18"/>
                <w:lang w:val="lt-LT"/>
              </w:rPr>
              <w:t>absorption test, the microhemagglutination assay for Treponema</w:t>
            </w:r>
          </w:p>
          <w:p w:rsidR="0092356A" w:rsidRPr="009D782B" w:rsidRDefault="0092356A" w:rsidP="009D782B">
            <w:pPr>
              <w:contextualSpacing/>
              <w:jc w:val="both"/>
              <w:rPr>
                <w:sz w:val="18"/>
                <w:szCs w:val="18"/>
                <w:lang w:val="lt-LT"/>
              </w:rPr>
            </w:pPr>
            <w:r w:rsidRPr="009D782B">
              <w:rPr>
                <w:sz w:val="18"/>
                <w:szCs w:val="18"/>
                <w:lang w:val="lt-LT"/>
              </w:rPr>
              <w:t>pallidum antibodies, and the hemagglutination treponemal test for</w:t>
            </w:r>
            <w:r w:rsidRPr="009D782B">
              <w:rPr>
                <w:sz w:val="18"/>
                <w:szCs w:val="18"/>
                <w:lang w:val="lt-LT"/>
              </w:rPr>
              <w:t xml:space="preserve"> </w:t>
            </w:r>
            <w:r w:rsidRPr="009D782B">
              <w:rPr>
                <w:sz w:val="18"/>
                <w:szCs w:val="18"/>
                <w:lang w:val="lt-LT"/>
              </w:rPr>
              <w:t>syphilis. J. Clin. Microbiol., 1981 ; 14 : 441 – 445.</w:t>
            </w:r>
          </w:p>
          <w:p w:rsidR="0092356A" w:rsidRPr="009D782B" w:rsidRDefault="0092356A" w:rsidP="009D782B">
            <w:pPr>
              <w:contextualSpacing/>
              <w:jc w:val="both"/>
              <w:rPr>
                <w:sz w:val="18"/>
                <w:szCs w:val="18"/>
                <w:lang w:val="lt-LT"/>
              </w:rPr>
            </w:pPr>
            <w:r w:rsidRPr="009D782B">
              <w:rPr>
                <w:sz w:val="18"/>
                <w:szCs w:val="18"/>
                <w:lang w:val="lt-LT"/>
              </w:rPr>
              <w:t>7. Houng H. - Syphilis: new diagnostic directions. Intern. J. STD and</w:t>
            </w:r>
            <w:r w:rsidRPr="009D782B">
              <w:rPr>
                <w:sz w:val="18"/>
                <w:szCs w:val="18"/>
                <w:lang w:val="lt-LT"/>
              </w:rPr>
              <w:t xml:space="preserve"> </w:t>
            </w:r>
            <w:r w:rsidRPr="009D782B">
              <w:rPr>
                <w:sz w:val="18"/>
                <w:szCs w:val="18"/>
                <w:lang w:val="lt-LT"/>
              </w:rPr>
              <w:t>AIDS 1992; 3: 391-413.</w:t>
            </w:r>
          </w:p>
          <w:p w:rsidR="0092356A" w:rsidRPr="009D782B" w:rsidRDefault="0092356A" w:rsidP="009D782B">
            <w:pPr>
              <w:contextualSpacing/>
              <w:jc w:val="both"/>
              <w:rPr>
                <w:sz w:val="18"/>
                <w:szCs w:val="18"/>
                <w:lang w:val="lt-LT"/>
              </w:rPr>
            </w:pPr>
            <w:r w:rsidRPr="009D782B">
              <w:rPr>
                <w:sz w:val="18"/>
                <w:szCs w:val="18"/>
                <w:lang w:val="lt-LT"/>
              </w:rPr>
              <w:t>8. Sluis J.J. Van Der. - Laboratory Techniques in the diagnosis of syphilis:</w:t>
            </w:r>
            <w:r w:rsidR="009D782B" w:rsidRPr="009D782B">
              <w:rPr>
                <w:sz w:val="18"/>
                <w:szCs w:val="18"/>
                <w:lang w:val="lt-LT"/>
              </w:rPr>
              <w:t xml:space="preserve"> </w:t>
            </w:r>
            <w:r w:rsidRPr="009D782B">
              <w:rPr>
                <w:sz w:val="18"/>
                <w:szCs w:val="18"/>
                <w:lang w:val="lt-LT"/>
              </w:rPr>
              <w:t>a review. Genitourin Med. 1992; 68 : 413-9.</w:t>
            </w:r>
          </w:p>
        </w:tc>
        <w:tc>
          <w:tcPr>
            <w:tcW w:w="4879" w:type="dxa"/>
          </w:tcPr>
          <w:p w:rsidR="0092356A" w:rsidRPr="001F6B1F" w:rsidRDefault="0092356A" w:rsidP="009D782B">
            <w:pPr>
              <w:contextualSpacing/>
              <w:jc w:val="both"/>
              <w:rPr>
                <w:b/>
                <w:sz w:val="18"/>
                <w:szCs w:val="18"/>
                <w:lang w:val="lt-LT"/>
              </w:rPr>
            </w:pPr>
            <w:r w:rsidRPr="001F6B1F">
              <w:rPr>
                <w:b/>
                <w:sz w:val="18"/>
                <w:szCs w:val="18"/>
                <w:lang w:val="lt-LT"/>
              </w:rPr>
              <w:lastRenderedPageBreak/>
              <w:t>PROCEDŪROS</w:t>
            </w:r>
          </w:p>
          <w:p w:rsidR="0092356A" w:rsidRPr="001F6B1F" w:rsidRDefault="0092356A" w:rsidP="009D782B">
            <w:pPr>
              <w:contextualSpacing/>
              <w:jc w:val="both"/>
              <w:rPr>
                <w:b/>
                <w:sz w:val="18"/>
                <w:szCs w:val="18"/>
                <w:lang w:val="lt-LT"/>
              </w:rPr>
            </w:pPr>
            <w:r w:rsidRPr="001F6B1F">
              <w:rPr>
                <w:b/>
                <w:sz w:val="18"/>
                <w:szCs w:val="18"/>
                <w:lang w:val="lt-LT"/>
              </w:rPr>
              <w:t>KOKYBINIS METODAS</w:t>
            </w:r>
          </w:p>
          <w:p w:rsidR="0092356A" w:rsidRPr="009D782B" w:rsidRDefault="0092356A" w:rsidP="009D782B">
            <w:pPr>
              <w:contextualSpacing/>
              <w:jc w:val="both"/>
              <w:rPr>
                <w:sz w:val="18"/>
                <w:szCs w:val="18"/>
                <w:lang w:val="lt-LT"/>
              </w:rPr>
            </w:pPr>
            <w:r w:rsidRPr="009D782B">
              <w:rPr>
                <w:sz w:val="18"/>
                <w:szCs w:val="18"/>
                <w:lang w:val="lt-LT"/>
              </w:rPr>
              <w:t>Kiekvienam mėginiui reikia 3 šulinėlių mikrotitravimo plokštelėje.</w:t>
            </w:r>
          </w:p>
          <w:p w:rsidR="0092356A" w:rsidRPr="009D782B" w:rsidRDefault="001F6B1F" w:rsidP="009D782B">
            <w:pPr>
              <w:contextualSpacing/>
              <w:jc w:val="both"/>
              <w:rPr>
                <w:sz w:val="18"/>
                <w:szCs w:val="18"/>
                <w:lang w:val="lt-LT"/>
              </w:rPr>
            </w:pPr>
            <w:r>
              <w:rPr>
                <w:sz w:val="18"/>
                <w:szCs w:val="18"/>
                <w:lang w:val="lt-LT"/>
              </w:rPr>
              <w:t>1.</w:t>
            </w:r>
            <w:r w:rsidR="0092356A" w:rsidRPr="009D782B">
              <w:rPr>
                <w:sz w:val="18"/>
                <w:szCs w:val="18"/>
                <w:lang w:val="lt-LT"/>
              </w:rPr>
              <w:t>Įpilkite 190 μl skiediklio į šulinėlį 1.</w:t>
            </w:r>
          </w:p>
          <w:p w:rsidR="0092356A" w:rsidRPr="009D782B" w:rsidRDefault="001F6B1F" w:rsidP="009D782B">
            <w:pPr>
              <w:contextualSpacing/>
              <w:jc w:val="both"/>
              <w:rPr>
                <w:sz w:val="18"/>
                <w:szCs w:val="18"/>
                <w:lang w:val="lt-LT"/>
              </w:rPr>
            </w:pPr>
            <w:r>
              <w:rPr>
                <w:sz w:val="18"/>
                <w:szCs w:val="18"/>
                <w:lang w:val="lt-LT"/>
              </w:rPr>
              <w:t>2.</w:t>
            </w:r>
            <w:r w:rsidR="0092356A" w:rsidRPr="009D782B">
              <w:rPr>
                <w:sz w:val="18"/>
                <w:szCs w:val="18"/>
                <w:lang w:val="lt-LT"/>
              </w:rPr>
              <w:t>Įpilkite 10 μl serumo į šulinėlį 1 (mėginio praskiedimas 1:20).</w:t>
            </w:r>
          </w:p>
          <w:p w:rsidR="0092356A" w:rsidRPr="009D782B" w:rsidRDefault="001F6B1F" w:rsidP="009D782B">
            <w:pPr>
              <w:contextualSpacing/>
              <w:jc w:val="both"/>
              <w:rPr>
                <w:sz w:val="18"/>
                <w:szCs w:val="18"/>
                <w:lang w:val="lt-LT"/>
              </w:rPr>
            </w:pPr>
            <w:r>
              <w:rPr>
                <w:sz w:val="18"/>
                <w:szCs w:val="18"/>
                <w:lang w:val="lt-LT"/>
              </w:rPr>
              <w:t>3.</w:t>
            </w:r>
            <w:r w:rsidR="0092356A" w:rsidRPr="009D782B">
              <w:rPr>
                <w:sz w:val="18"/>
                <w:szCs w:val="18"/>
                <w:lang w:val="lt-LT"/>
              </w:rPr>
              <w:t>Naudodami mikropipetę, sumaišykite šulinėlio 1 turinį ir perkelkite 25 μl mišinio į šulinėlius 2 ir 3.</w:t>
            </w:r>
          </w:p>
          <w:p w:rsidR="0092356A" w:rsidRPr="009D782B" w:rsidRDefault="001F6B1F" w:rsidP="009D782B">
            <w:pPr>
              <w:contextualSpacing/>
              <w:jc w:val="both"/>
              <w:rPr>
                <w:sz w:val="18"/>
                <w:szCs w:val="18"/>
                <w:lang w:val="lt-LT"/>
              </w:rPr>
            </w:pPr>
            <w:r>
              <w:rPr>
                <w:sz w:val="18"/>
                <w:szCs w:val="18"/>
                <w:lang w:val="lt-LT"/>
              </w:rPr>
              <w:t>4.</w:t>
            </w:r>
            <w:r w:rsidR="0092356A" w:rsidRPr="009D782B">
              <w:rPr>
                <w:sz w:val="18"/>
                <w:szCs w:val="18"/>
                <w:lang w:val="lt-LT"/>
              </w:rPr>
              <w:t>Užtikrinkite, kad testo ir kontrolės ląstelės būtų kruopščiai atskirtos. Pridėkite 75μl kontrolinių ląstelių į šulinėlį 2. 75 μl testo ląstelių į 3 šulinėlį.</w:t>
            </w:r>
          </w:p>
          <w:p w:rsidR="0092356A" w:rsidRPr="009D782B" w:rsidRDefault="0092356A" w:rsidP="009D782B">
            <w:pPr>
              <w:contextualSpacing/>
              <w:jc w:val="both"/>
              <w:rPr>
                <w:sz w:val="18"/>
                <w:szCs w:val="18"/>
                <w:lang w:val="lt-LT"/>
              </w:rPr>
            </w:pPr>
            <w:r w:rsidRPr="009D782B">
              <w:rPr>
                <w:sz w:val="18"/>
                <w:szCs w:val="18"/>
                <w:lang w:val="lt-LT"/>
              </w:rPr>
              <w:t>5.Kruopščiai sumaišykite turinį.</w:t>
            </w:r>
          </w:p>
          <w:p w:rsidR="0092356A" w:rsidRPr="009D782B" w:rsidRDefault="001F6B1F" w:rsidP="009D782B">
            <w:pPr>
              <w:contextualSpacing/>
              <w:jc w:val="both"/>
              <w:rPr>
                <w:sz w:val="18"/>
                <w:szCs w:val="18"/>
                <w:lang w:val="lt-LT"/>
              </w:rPr>
            </w:pPr>
            <w:r>
              <w:rPr>
                <w:sz w:val="18"/>
                <w:szCs w:val="18"/>
                <w:lang w:val="lt-LT"/>
              </w:rPr>
              <w:t>6.</w:t>
            </w:r>
            <w:r w:rsidR="0092356A" w:rsidRPr="009D782B">
              <w:rPr>
                <w:sz w:val="18"/>
                <w:szCs w:val="18"/>
                <w:lang w:val="lt-LT"/>
              </w:rPr>
              <w:t>Inkubuokite 45-60 minučių kambario temperatūroje.</w:t>
            </w:r>
          </w:p>
          <w:p w:rsidR="0092356A" w:rsidRPr="009D782B" w:rsidRDefault="001F6B1F" w:rsidP="009D782B">
            <w:pPr>
              <w:contextualSpacing/>
              <w:jc w:val="both"/>
              <w:rPr>
                <w:sz w:val="18"/>
                <w:szCs w:val="18"/>
                <w:lang w:val="lt-LT"/>
              </w:rPr>
            </w:pPr>
            <w:r>
              <w:rPr>
                <w:sz w:val="18"/>
                <w:szCs w:val="18"/>
                <w:lang w:val="lt-LT"/>
              </w:rPr>
              <w:t>7.</w:t>
            </w:r>
            <w:r w:rsidR="0092356A" w:rsidRPr="009D782B">
              <w:rPr>
                <w:sz w:val="18"/>
                <w:szCs w:val="18"/>
                <w:lang w:val="lt-LT"/>
              </w:rPr>
              <w:t>Atsargiai! Laikykite plokštelę atokiai nuo karščio, tiesioginių saulės spindulių</w:t>
            </w:r>
            <w:r>
              <w:rPr>
                <w:sz w:val="18"/>
                <w:szCs w:val="18"/>
                <w:lang w:val="lt-LT"/>
              </w:rPr>
              <w:t xml:space="preserve"> </w:t>
            </w:r>
            <w:r w:rsidR="0092356A" w:rsidRPr="009D782B">
              <w:rPr>
                <w:sz w:val="18"/>
                <w:szCs w:val="18"/>
                <w:lang w:val="lt-LT"/>
              </w:rPr>
              <w:t>ir bet kokio vibracijos šaltinio.</w:t>
            </w:r>
          </w:p>
          <w:p w:rsidR="0092356A" w:rsidRPr="009D782B" w:rsidRDefault="001F6B1F" w:rsidP="009D782B">
            <w:pPr>
              <w:contextualSpacing/>
              <w:jc w:val="both"/>
              <w:rPr>
                <w:sz w:val="18"/>
                <w:szCs w:val="18"/>
                <w:lang w:val="lt-LT"/>
              </w:rPr>
            </w:pPr>
            <w:r>
              <w:rPr>
                <w:sz w:val="18"/>
                <w:szCs w:val="18"/>
                <w:lang w:val="lt-LT"/>
              </w:rPr>
              <w:t>8.</w:t>
            </w:r>
            <w:r w:rsidR="0092356A" w:rsidRPr="009D782B">
              <w:rPr>
                <w:sz w:val="18"/>
                <w:szCs w:val="18"/>
                <w:lang w:val="lt-LT"/>
              </w:rPr>
              <w:t xml:space="preserve">Vertinkite rezultatus. Rezultatai yra stabilūs 24 valandas, jei plokštelė yra uždengta </w:t>
            </w:r>
            <w:r>
              <w:rPr>
                <w:sz w:val="18"/>
                <w:szCs w:val="18"/>
                <w:lang w:val="lt-LT"/>
              </w:rPr>
              <w:t xml:space="preserve">ir </w:t>
            </w:r>
            <w:r w:rsidR="0092356A" w:rsidRPr="009D782B">
              <w:rPr>
                <w:sz w:val="18"/>
                <w:szCs w:val="18"/>
                <w:lang w:val="lt-LT"/>
              </w:rPr>
              <w:t>yra laikomasi pirmiau nurodytų atsargumo priemonių.</w:t>
            </w:r>
          </w:p>
          <w:p w:rsidR="0092356A" w:rsidRPr="001F6B1F" w:rsidRDefault="0092356A" w:rsidP="009D782B">
            <w:pPr>
              <w:contextualSpacing/>
              <w:jc w:val="both"/>
              <w:rPr>
                <w:b/>
                <w:sz w:val="18"/>
                <w:szCs w:val="18"/>
                <w:lang w:val="lt-LT"/>
              </w:rPr>
            </w:pPr>
            <w:r w:rsidRPr="001F6B1F">
              <w:rPr>
                <w:b/>
                <w:sz w:val="18"/>
                <w:szCs w:val="18"/>
                <w:lang w:val="lt-LT"/>
              </w:rPr>
              <w:t>PASTABA</w:t>
            </w:r>
          </w:p>
          <w:p w:rsidR="0092356A" w:rsidRPr="009D782B" w:rsidRDefault="0092356A" w:rsidP="009D782B">
            <w:pPr>
              <w:contextualSpacing/>
              <w:jc w:val="both"/>
              <w:rPr>
                <w:sz w:val="18"/>
                <w:szCs w:val="18"/>
                <w:lang w:val="lt-LT"/>
              </w:rPr>
            </w:pPr>
            <w:r w:rsidRPr="009D782B">
              <w:rPr>
                <w:sz w:val="18"/>
                <w:szCs w:val="18"/>
                <w:lang w:val="lt-LT"/>
              </w:rPr>
              <w:t>Kontrolės, esančios rinkinyje gali būti atliekamos lygiagrečiai, jos yra atskiestos ir paruoštos naudojimui.</w:t>
            </w:r>
          </w:p>
          <w:p w:rsidR="001F6B1F" w:rsidRDefault="001F6B1F" w:rsidP="009D782B">
            <w:pPr>
              <w:contextualSpacing/>
              <w:jc w:val="both"/>
              <w:rPr>
                <w:sz w:val="18"/>
                <w:szCs w:val="18"/>
                <w:lang w:val="lt-LT"/>
              </w:rPr>
            </w:pPr>
          </w:p>
          <w:p w:rsidR="0092356A" w:rsidRPr="001F6B1F" w:rsidRDefault="0092356A" w:rsidP="009D782B">
            <w:pPr>
              <w:contextualSpacing/>
              <w:jc w:val="both"/>
              <w:rPr>
                <w:b/>
                <w:sz w:val="18"/>
                <w:szCs w:val="18"/>
                <w:lang w:val="lt-LT"/>
              </w:rPr>
            </w:pPr>
            <w:r w:rsidRPr="001F6B1F">
              <w:rPr>
                <w:b/>
                <w:sz w:val="18"/>
                <w:szCs w:val="18"/>
                <w:lang w:val="lt-LT"/>
              </w:rPr>
              <w:t>KIEKYBINIS METODAS</w:t>
            </w:r>
          </w:p>
          <w:p w:rsidR="0092356A" w:rsidRPr="009D782B" w:rsidRDefault="0092356A" w:rsidP="009D782B">
            <w:pPr>
              <w:contextualSpacing/>
              <w:jc w:val="both"/>
              <w:rPr>
                <w:sz w:val="18"/>
                <w:szCs w:val="18"/>
                <w:lang w:val="lt-LT"/>
              </w:rPr>
            </w:pPr>
            <w:r w:rsidRPr="009D782B">
              <w:rPr>
                <w:sz w:val="18"/>
                <w:szCs w:val="18"/>
                <w:lang w:val="lt-LT"/>
              </w:rPr>
              <w:t xml:space="preserve">Kiekvienam mėginiui reikia 8 šulinėlių mikrotitravimo plokštelėje, pažymėtų </w:t>
            </w:r>
            <w:r w:rsidR="001F6B1F">
              <w:rPr>
                <w:sz w:val="18"/>
                <w:szCs w:val="18"/>
                <w:lang w:val="lt-LT"/>
              </w:rPr>
              <w:t>raidėmis</w:t>
            </w:r>
            <w:r w:rsidRPr="009D782B">
              <w:rPr>
                <w:sz w:val="18"/>
                <w:szCs w:val="18"/>
                <w:lang w:val="lt-LT"/>
              </w:rPr>
              <w:t xml:space="preserve"> nuo A iki H.</w:t>
            </w:r>
          </w:p>
          <w:p w:rsidR="0092356A" w:rsidRPr="009D782B" w:rsidRDefault="001F6B1F" w:rsidP="009D782B">
            <w:pPr>
              <w:contextualSpacing/>
              <w:jc w:val="both"/>
              <w:rPr>
                <w:sz w:val="18"/>
                <w:szCs w:val="18"/>
                <w:lang w:val="lt-LT"/>
              </w:rPr>
            </w:pPr>
            <w:r>
              <w:rPr>
                <w:sz w:val="18"/>
                <w:szCs w:val="18"/>
                <w:lang w:val="lt-LT"/>
              </w:rPr>
              <w:t>1.</w:t>
            </w:r>
            <w:r w:rsidR="0092356A" w:rsidRPr="009D782B">
              <w:rPr>
                <w:sz w:val="18"/>
                <w:szCs w:val="18"/>
                <w:lang w:val="lt-LT"/>
              </w:rPr>
              <w:t>Įpilkite 25 μl skiediklio į šulinėlius B  - H imtinai.</w:t>
            </w:r>
          </w:p>
          <w:p w:rsidR="0092356A" w:rsidRPr="009D782B" w:rsidRDefault="001F6B1F" w:rsidP="009D782B">
            <w:pPr>
              <w:contextualSpacing/>
              <w:jc w:val="both"/>
              <w:rPr>
                <w:sz w:val="18"/>
                <w:szCs w:val="18"/>
                <w:lang w:val="lt-LT"/>
              </w:rPr>
            </w:pPr>
            <w:r>
              <w:rPr>
                <w:sz w:val="18"/>
                <w:szCs w:val="18"/>
                <w:lang w:val="lt-LT"/>
              </w:rPr>
              <w:t>2.</w:t>
            </w:r>
            <w:r w:rsidR="0092356A" w:rsidRPr="009D782B">
              <w:rPr>
                <w:sz w:val="18"/>
                <w:szCs w:val="18"/>
                <w:lang w:val="lt-LT"/>
              </w:rPr>
              <w:t>Perpilkite 25 μl 1:20 serumo skiedinio iš kontrolinio testo į šulinėlius A ir B.</w:t>
            </w:r>
          </w:p>
          <w:p w:rsidR="0092356A" w:rsidRPr="009D782B" w:rsidRDefault="001F6B1F" w:rsidP="009D782B">
            <w:pPr>
              <w:contextualSpacing/>
              <w:jc w:val="both"/>
              <w:rPr>
                <w:sz w:val="18"/>
                <w:szCs w:val="18"/>
                <w:lang w:val="lt-LT"/>
              </w:rPr>
            </w:pPr>
            <w:r>
              <w:rPr>
                <w:sz w:val="18"/>
                <w:szCs w:val="18"/>
                <w:lang w:val="lt-LT"/>
              </w:rPr>
              <w:t>3.</w:t>
            </w:r>
            <w:r w:rsidR="0092356A" w:rsidRPr="009D782B">
              <w:rPr>
                <w:sz w:val="18"/>
                <w:szCs w:val="18"/>
                <w:lang w:val="lt-LT"/>
              </w:rPr>
              <w:t>Paimkite 25 μl praskiesto serumo iš šulinėlio B ir paeiliui atskieskite šulinėli</w:t>
            </w:r>
            <w:r>
              <w:rPr>
                <w:sz w:val="18"/>
                <w:szCs w:val="18"/>
                <w:lang w:val="lt-LT"/>
              </w:rPr>
              <w:t>us B - H imtinai 25 μl alikvotais</w:t>
            </w:r>
            <w:r w:rsidR="0092356A" w:rsidRPr="009D782B">
              <w:rPr>
                <w:sz w:val="18"/>
                <w:szCs w:val="18"/>
                <w:lang w:val="lt-LT"/>
              </w:rPr>
              <w:t>, pašalinkite 25 μl praskiesto serumo iš šulinėlio H.</w:t>
            </w:r>
          </w:p>
          <w:p w:rsidR="0092356A" w:rsidRPr="009D782B" w:rsidRDefault="001F6B1F" w:rsidP="009D782B">
            <w:pPr>
              <w:contextualSpacing/>
              <w:jc w:val="both"/>
              <w:rPr>
                <w:sz w:val="18"/>
                <w:szCs w:val="18"/>
                <w:lang w:val="lt-LT"/>
              </w:rPr>
            </w:pPr>
            <w:r>
              <w:rPr>
                <w:sz w:val="18"/>
                <w:szCs w:val="18"/>
                <w:lang w:val="lt-LT"/>
              </w:rPr>
              <w:t>4.</w:t>
            </w:r>
            <w:r w:rsidR="0092356A" w:rsidRPr="009D782B">
              <w:rPr>
                <w:sz w:val="18"/>
                <w:szCs w:val="18"/>
                <w:lang w:val="lt-LT"/>
              </w:rPr>
              <w:t>Užtikrinkite, kad testo ląstelės būtų kruopščiai resuspenduotos. Įpilkite 75 μl tiriamųjų ląstelių į šulinėlius nuo A iki H imtinai. Gausite 1/80 serumo skiedinio šul</w:t>
            </w:r>
            <w:r>
              <w:rPr>
                <w:sz w:val="18"/>
                <w:szCs w:val="18"/>
                <w:lang w:val="lt-LT"/>
              </w:rPr>
              <w:t>inėlyje A iki 1 /10240 šulinėlyje</w:t>
            </w:r>
            <w:r w:rsidR="0092356A" w:rsidRPr="009D782B">
              <w:rPr>
                <w:sz w:val="18"/>
                <w:szCs w:val="18"/>
                <w:lang w:val="lt-LT"/>
              </w:rPr>
              <w:t xml:space="preserve"> H.</w:t>
            </w:r>
          </w:p>
          <w:p w:rsidR="0092356A" w:rsidRPr="009D782B" w:rsidRDefault="001F6B1F" w:rsidP="009D782B">
            <w:pPr>
              <w:contextualSpacing/>
              <w:jc w:val="both"/>
              <w:rPr>
                <w:sz w:val="18"/>
                <w:szCs w:val="18"/>
                <w:lang w:val="lt-LT"/>
              </w:rPr>
            </w:pPr>
            <w:r>
              <w:rPr>
                <w:sz w:val="18"/>
                <w:szCs w:val="18"/>
                <w:lang w:val="lt-LT"/>
              </w:rPr>
              <w:t>5.</w:t>
            </w:r>
            <w:r w:rsidR="0092356A" w:rsidRPr="009D782B">
              <w:rPr>
                <w:sz w:val="18"/>
                <w:szCs w:val="18"/>
                <w:lang w:val="lt-LT"/>
              </w:rPr>
              <w:t>Švelniai ir kruopščiai sumaišykite turinį.</w:t>
            </w:r>
          </w:p>
          <w:p w:rsidR="0092356A" w:rsidRPr="009D782B" w:rsidRDefault="001F6B1F" w:rsidP="009D782B">
            <w:pPr>
              <w:contextualSpacing/>
              <w:jc w:val="both"/>
              <w:rPr>
                <w:sz w:val="18"/>
                <w:szCs w:val="18"/>
                <w:lang w:val="lt-LT"/>
              </w:rPr>
            </w:pPr>
            <w:r>
              <w:rPr>
                <w:sz w:val="18"/>
                <w:szCs w:val="18"/>
                <w:lang w:val="lt-LT"/>
              </w:rPr>
              <w:t>6.</w:t>
            </w:r>
            <w:r w:rsidR="0092356A" w:rsidRPr="009D782B">
              <w:rPr>
                <w:sz w:val="18"/>
                <w:szCs w:val="18"/>
                <w:lang w:val="lt-LT"/>
              </w:rPr>
              <w:t>Inkubuokite 45-60 minučių kambario temperatūroje.</w:t>
            </w:r>
          </w:p>
          <w:p w:rsidR="0092356A" w:rsidRPr="009D782B" w:rsidRDefault="001F6B1F" w:rsidP="009D782B">
            <w:pPr>
              <w:contextualSpacing/>
              <w:jc w:val="both"/>
              <w:rPr>
                <w:sz w:val="18"/>
                <w:szCs w:val="18"/>
                <w:lang w:val="lt-LT"/>
              </w:rPr>
            </w:pPr>
            <w:r>
              <w:rPr>
                <w:sz w:val="18"/>
                <w:szCs w:val="18"/>
                <w:lang w:val="lt-LT"/>
              </w:rPr>
              <w:t>7.</w:t>
            </w:r>
            <w:r w:rsidR="0092356A" w:rsidRPr="009D782B">
              <w:rPr>
                <w:sz w:val="18"/>
                <w:szCs w:val="18"/>
                <w:lang w:val="lt-LT"/>
              </w:rPr>
              <w:t>Atsargiai! Laikykite plokštelę atokiai nuo karščio, tiesioginių saulės spindulių ir bet kokio vibracijos šaltinio.</w:t>
            </w:r>
          </w:p>
          <w:p w:rsidR="0092356A" w:rsidRPr="009D782B" w:rsidRDefault="001F6B1F" w:rsidP="009D782B">
            <w:pPr>
              <w:contextualSpacing/>
              <w:jc w:val="both"/>
              <w:rPr>
                <w:sz w:val="18"/>
                <w:szCs w:val="18"/>
                <w:lang w:val="lt-LT"/>
              </w:rPr>
            </w:pPr>
            <w:r>
              <w:rPr>
                <w:sz w:val="18"/>
                <w:szCs w:val="18"/>
                <w:lang w:val="lt-LT"/>
              </w:rPr>
              <w:t>8.</w:t>
            </w:r>
            <w:r w:rsidR="0092356A" w:rsidRPr="009D782B">
              <w:rPr>
                <w:sz w:val="18"/>
                <w:szCs w:val="18"/>
                <w:lang w:val="lt-LT"/>
              </w:rPr>
              <w:t>Vertinkite rezultatus. Rezultatai yra stabilūs 24 valandas, jei plokštelė yra uždengta</w:t>
            </w:r>
            <w:r>
              <w:rPr>
                <w:sz w:val="18"/>
                <w:szCs w:val="18"/>
                <w:lang w:val="lt-LT"/>
              </w:rPr>
              <w:t xml:space="preserve"> ir</w:t>
            </w:r>
            <w:r w:rsidR="0092356A" w:rsidRPr="009D782B">
              <w:rPr>
                <w:sz w:val="18"/>
                <w:szCs w:val="18"/>
                <w:lang w:val="lt-LT"/>
              </w:rPr>
              <w:t xml:space="preserve"> yra laikomasi pirmiau nurodytų atsargumo priemonių.</w:t>
            </w: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9D782B" w:rsidRDefault="0092356A" w:rsidP="009D782B">
            <w:pPr>
              <w:contextualSpacing/>
              <w:jc w:val="both"/>
              <w:rPr>
                <w:sz w:val="18"/>
                <w:szCs w:val="18"/>
                <w:lang w:val="lt-LT"/>
              </w:rPr>
            </w:pPr>
          </w:p>
          <w:p w:rsidR="0092356A" w:rsidRPr="00E62CE7" w:rsidRDefault="0092356A" w:rsidP="00E62CE7">
            <w:pPr>
              <w:contextualSpacing/>
              <w:jc w:val="center"/>
              <w:rPr>
                <w:b/>
                <w:sz w:val="18"/>
                <w:szCs w:val="18"/>
                <w:lang w:val="lt-LT"/>
              </w:rPr>
            </w:pPr>
            <w:r w:rsidRPr="00E62CE7">
              <w:rPr>
                <w:b/>
                <w:sz w:val="18"/>
                <w:szCs w:val="18"/>
                <w:lang w:val="lt-LT"/>
              </w:rPr>
              <w:t>ATLAS MEDICAL</w:t>
            </w:r>
          </w:p>
          <w:p w:rsidR="0092356A" w:rsidRPr="00E62CE7" w:rsidRDefault="0092356A" w:rsidP="00E62CE7">
            <w:pPr>
              <w:contextualSpacing/>
              <w:jc w:val="center"/>
              <w:rPr>
                <w:b/>
                <w:sz w:val="18"/>
                <w:szCs w:val="18"/>
                <w:lang w:val="lt-LT"/>
              </w:rPr>
            </w:pPr>
            <w:r w:rsidRPr="00E62CE7">
              <w:rPr>
                <w:b/>
                <w:sz w:val="18"/>
                <w:szCs w:val="18"/>
                <w:lang w:val="lt-LT"/>
              </w:rPr>
              <w:t>William James House, Cowley Rd,</w:t>
            </w:r>
          </w:p>
          <w:p w:rsidR="0092356A" w:rsidRPr="00E62CE7" w:rsidRDefault="0092356A" w:rsidP="00E62CE7">
            <w:pPr>
              <w:contextualSpacing/>
              <w:jc w:val="center"/>
              <w:rPr>
                <w:b/>
                <w:sz w:val="18"/>
                <w:szCs w:val="18"/>
                <w:lang w:val="lt-LT"/>
              </w:rPr>
            </w:pPr>
            <w:r w:rsidRPr="00E62CE7">
              <w:rPr>
                <w:b/>
                <w:sz w:val="18"/>
                <w:szCs w:val="18"/>
                <w:lang w:val="lt-LT"/>
              </w:rPr>
              <w:t>Cambridge, CB4 4WX, UK</w:t>
            </w:r>
          </w:p>
          <w:p w:rsidR="0092356A" w:rsidRPr="00E62CE7" w:rsidRDefault="0092356A" w:rsidP="00E62CE7">
            <w:pPr>
              <w:contextualSpacing/>
              <w:jc w:val="center"/>
              <w:rPr>
                <w:b/>
                <w:sz w:val="18"/>
                <w:szCs w:val="18"/>
                <w:lang w:val="lt-LT"/>
              </w:rPr>
            </w:pPr>
            <w:r w:rsidRPr="00E62CE7">
              <w:rPr>
                <w:b/>
                <w:sz w:val="18"/>
                <w:szCs w:val="18"/>
                <w:lang w:val="lt-LT"/>
              </w:rPr>
              <w:t>Tel: ++44 (0) 1223 858 910</w:t>
            </w:r>
          </w:p>
          <w:p w:rsidR="0092356A" w:rsidRPr="00E62CE7" w:rsidRDefault="0092356A" w:rsidP="00E62CE7">
            <w:pPr>
              <w:contextualSpacing/>
              <w:jc w:val="center"/>
              <w:rPr>
                <w:b/>
                <w:sz w:val="18"/>
                <w:szCs w:val="18"/>
                <w:lang w:val="lt-LT"/>
              </w:rPr>
            </w:pPr>
            <w:r w:rsidRPr="00E62CE7">
              <w:rPr>
                <w:b/>
                <w:sz w:val="18"/>
                <w:szCs w:val="18"/>
                <w:lang w:val="lt-LT"/>
              </w:rPr>
              <w:t>Fax: ++44 (0) 1223 858 524</w:t>
            </w:r>
          </w:p>
          <w:p w:rsidR="0092356A" w:rsidRPr="00E62CE7" w:rsidRDefault="0092356A" w:rsidP="00E62CE7">
            <w:pPr>
              <w:contextualSpacing/>
              <w:jc w:val="center"/>
              <w:rPr>
                <w:b/>
                <w:sz w:val="18"/>
                <w:szCs w:val="18"/>
                <w:lang w:val="lt-LT"/>
              </w:rPr>
            </w:pPr>
            <w:r w:rsidRPr="00E62CE7">
              <w:rPr>
                <w:b/>
                <w:sz w:val="18"/>
                <w:szCs w:val="18"/>
                <w:lang w:val="lt-LT"/>
              </w:rPr>
              <w:t>PPI080A01</w:t>
            </w:r>
          </w:p>
          <w:p w:rsidR="0092356A" w:rsidRPr="00E62CE7" w:rsidRDefault="0092356A" w:rsidP="00E62CE7">
            <w:pPr>
              <w:contextualSpacing/>
              <w:jc w:val="center"/>
              <w:rPr>
                <w:b/>
                <w:sz w:val="18"/>
                <w:szCs w:val="18"/>
                <w:lang w:val="lt-LT"/>
              </w:rPr>
            </w:pPr>
            <w:r w:rsidRPr="00E62CE7">
              <w:rPr>
                <w:b/>
                <w:sz w:val="18"/>
                <w:szCs w:val="18"/>
                <w:lang w:val="lt-LT"/>
              </w:rPr>
              <w:t>Rev F (09.06.2016)</w:t>
            </w:r>
          </w:p>
          <w:p w:rsidR="0092356A" w:rsidRPr="00E62CE7" w:rsidRDefault="0092356A" w:rsidP="00E62CE7">
            <w:pPr>
              <w:contextualSpacing/>
              <w:jc w:val="center"/>
              <w:rPr>
                <w:b/>
                <w:sz w:val="18"/>
                <w:szCs w:val="18"/>
                <w:lang w:val="lt-LT"/>
              </w:rPr>
            </w:pPr>
            <w:r w:rsidRPr="00E62CE7">
              <w:rPr>
                <w:b/>
                <w:sz w:val="18"/>
                <w:szCs w:val="18"/>
                <w:lang w:val="lt-LT"/>
              </w:rPr>
              <w:t>Catalogue Number Store at</w:t>
            </w:r>
          </w:p>
          <w:p w:rsidR="0092356A" w:rsidRPr="00E62CE7" w:rsidRDefault="00E62CE7" w:rsidP="00E62CE7">
            <w:pPr>
              <w:tabs>
                <w:tab w:val="center" w:pos="2331"/>
                <w:tab w:val="left" w:pos="3907"/>
              </w:tabs>
              <w:contextualSpacing/>
              <w:rPr>
                <w:b/>
                <w:sz w:val="18"/>
                <w:szCs w:val="18"/>
                <w:lang w:val="lt-LT"/>
              </w:rPr>
            </w:pPr>
            <w:r>
              <w:rPr>
                <w:b/>
                <w:sz w:val="18"/>
                <w:szCs w:val="18"/>
                <w:lang w:val="lt-LT"/>
              </w:rPr>
              <w:tab/>
            </w:r>
            <w:r w:rsidR="0092356A" w:rsidRPr="00E62CE7">
              <w:rPr>
                <w:b/>
                <w:sz w:val="18"/>
                <w:szCs w:val="18"/>
                <w:lang w:val="lt-LT"/>
              </w:rPr>
              <w:t>For In-Vitro Diagnostic</w:t>
            </w:r>
            <w:r>
              <w:rPr>
                <w:b/>
                <w:sz w:val="18"/>
                <w:szCs w:val="18"/>
                <w:lang w:val="lt-LT"/>
              </w:rPr>
              <w:tab/>
            </w:r>
          </w:p>
          <w:p w:rsidR="0092356A" w:rsidRPr="00E62CE7" w:rsidRDefault="0092356A" w:rsidP="00E62CE7">
            <w:pPr>
              <w:contextualSpacing/>
              <w:jc w:val="center"/>
              <w:rPr>
                <w:b/>
                <w:sz w:val="18"/>
                <w:szCs w:val="18"/>
                <w:lang w:val="lt-LT"/>
              </w:rPr>
            </w:pPr>
            <w:r w:rsidRPr="00E62CE7">
              <w:rPr>
                <w:b/>
                <w:sz w:val="18"/>
                <w:szCs w:val="18"/>
                <w:lang w:val="lt-LT"/>
              </w:rPr>
              <w:t>use</w:t>
            </w:r>
          </w:p>
          <w:p w:rsidR="0092356A" w:rsidRPr="009D782B" w:rsidRDefault="0092356A" w:rsidP="009D782B">
            <w:pPr>
              <w:contextualSpacing/>
              <w:jc w:val="both"/>
              <w:rPr>
                <w:sz w:val="18"/>
                <w:szCs w:val="18"/>
                <w:lang w:val="lt-LT"/>
              </w:rPr>
            </w:pPr>
          </w:p>
          <w:p w:rsidR="0092356A" w:rsidRPr="009D782B" w:rsidRDefault="00E62CE7" w:rsidP="009D782B">
            <w:pPr>
              <w:contextualSpacing/>
              <w:jc w:val="both"/>
              <w:rPr>
                <w:sz w:val="18"/>
                <w:szCs w:val="18"/>
                <w:lang w:val="lt-LT"/>
              </w:rPr>
            </w:pPr>
            <w:r>
              <w:rPr>
                <w:noProof/>
                <w:lang w:val="en-US"/>
              </w:rPr>
              <w:drawing>
                <wp:inline distT="0" distB="0" distL="0" distR="0" wp14:anchorId="789B7E84" wp14:editId="005195F4">
                  <wp:extent cx="2130154" cy="14948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28531" cy="1493706"/>
                          </a:xfrm>
                          <a:prstGeom prst="rect">
                            <a:avLst/>
                          </a:prstGeom>
                        </pic:spPr>
                      </pic:pic>
                    </a:graphicData>
                  </a:graphic>
                </wp:inline>
              </w:drawing>
            </w:r>
          </w:p>
        </w:tc>
      </w:tr>
    </w:tbl>
    <w:p w:rsidR="00C06D4B" w:rsidRPr="009D782B" w:rsidRDefault="00C06D4B" w:rsidP="00E62CE7">
      <w:pPr>
        <w:contextualSpacing/>
        <w:rPr>
          <w:sz w:val="18"/>
          <w:szCs w:val="18"/>
          <w:lang w:val="lt-LT"/>
        </w:rPr>
      </w:pPr>
    </w:p>
    <w:sectPr w:rsidR="00C06D4B" w:rsidRPr="009D782B" w:rsidSect="0092356A">
      <w:pgSz w:w="15840" w:h="12240" w:orient="landscape"/>
      <w:pgMar w:top="284" w:right="709"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29" w:rsidRDefault="001F2B29" w:rsidP="00565302">
      <w:pPr>
        <w:spacing w:after="0" w:line="240" w:lineRule="auto"/>
      </w:pPr>
      <w:r>
        <w:separator/>
      </w:r>
    </w:p>
  </w:endnote>
  <w:endnote w:type="continuationSeparator" w:id="0">
    <w:p w:rsidR="001F2B29" w:rsidRDefault="001F2B29" w:rsidP="0056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29" w:rsidRDefault="001F2B29" w:rsidP="00565302">
      <w:pPr>
        <w:spacing w:after="0" w:line="240" w:lineRule="auto"/>
      </w:pPr>
      <w:r>
        <w:separator/>
      </w:r>
    </w:p>
  </w:footnote>
  <w:footnote w:type="continuationSeparator" w:id="0">
    <w:p w:rsidR="001F2B29" w:rsidRDefault="001F2B29" w:rsidP="00565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548F"/>
    <w:multiLevelType w:val="hybridMultilevel"/>
    <w:tmpl w:val="5F9A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2F32AB"/>
    <w:multiLevelType w:val="hybridMultilevel"/>
    <w:tmpl w:val="17AC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76374A"/>
    <w:multiLevelType w:val="hybridMultilevel"/>
    <w:tmpl w:val="BEA8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657FD5"/>
    <w:multiLevelType w:val="hybridMultilevel"/>
    <w:tmpl w:val="BC4E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02"/>
    <w:rsid w:val="00031F45"/>
    <w:rsid w:val="000A0C5D"/>
    <w:rsid w:val="000A149D"/>
    <w:rsid w:val="000F2D39"/>
    <w:rsid w:val="001367BB"/>
    <w:rsid w:val="001A54B6"/>
    <w:rsid w:val="001F2B29"/>
    <w:rsid w:val="001F331A"/>
    <w:rsid w:val="001F6B1F"/>
    <w:rsid w:val="00200393"/>
    <w:rsid w:val="002110E9"/>
    <w:rsid w:val="0028603F"/>
    <w:rsid w:val="00341AE2"/>
    <w:rsid w:val="003F41DB"/>
    <w:rsid w:val="004621D7"/>
    <w:rsid w:val="00524F0B"/>
    <w:rsid w:val="00565302"/>
    <w:rsid w:val="00566444"/>
    <w:rsid w:val="005817C9"/>
    <w:rsid w:val="005856D3"/>
    <w:rsid w:val="00591A69"/>
    <w:rsid w:val="00677CEE"/>
    <w:rsid w:val="006962A8"/>
    <w:rsid w:val="008F7F98"/>
    <w:rsid w:val="0092356A"/>
    <w:rsid w:val="0095693A"/>
    <w:rsid w:val="00970899"/>
    <w:rsid w:val="009B3622"/>
    <w:rsid w:val="009D782B"/>
    <w:rsid w:val="00A24FEB"/>
    <w:rsid w:val="00B1315A"/>
    <w:rsid w:val="00B22686"/>
    <w:rsid w:val="00C06D4B"/>
    <w:rsid w:val="00C66F4D"/>
    <w:rsid w:val="00CB372F"/>
    <w:rsid w:val="00D13F4E"/>
    <w:rsid w:val="00D54842"/>
    <w:rsid w:val="00DC7C07"/>
    <w:rsid w:val="00E62CE7"/>
    <w:rsid w:val="00EE4D10"/>
    <w:rsid w:val="00F67622"/>
    <w:rsid w:val="00FC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302"/>
    <w:pPr>
      <w:tabs>
        <w:tab w:val="center" w:pos="4986"/>
        <w:tab w:val="right" w:pos="9972"/>
      </w:tabs>
      <w:spacing w:after="0" w:line="240" w:lineRule="auto"/>
    </w:pPr>
  </w:style>
  <w:style w:type="character" w:customStyle="1" w:styleId="HeaderChar">
    <w:name w:val="Header Char"/>
    <w:basedOn w:val="DefaultParagraphFont"/>
    <w:link w:val="Header"/>
    <w:uiPriority w:val="99"/>
    <w:rsid w:val="00565302"/>
    <w:rPr>
      <w:lang w:val="en-GB"/>
    </w:rPr>
  </w:style>
  <w:style w:type="paragraph" w:styleId="Footer">
    <w:name w:val="footer"/>
    <w:basedOn w:val="Normal"/>
    <w:link w:val="FooterChar"/>
    <w:uiPriority w:val="99"/>
    <w:unhideWhenUsed/>
    <w:rsid w:val="00565302"/>
    <w:pPr>
      <w:tabs>
        <w:tab w:val="center" w:pos="4986"/>
        <w:tab w:val="right" w:pos="9972"/>
      </w:tabs>
      <w:spacing w:after="0" w:line="240" w:lineRule="auto"/>
    </w:pPr>
  </w:style>
  <w:style w:type="character" w:customStyle="1" w:styleId="FooterChar">
    <w:name w:val="Footer Char"/>
    <w:basedOn w:val="DefaultParagraphFont"/>
    <w:link w:val="Footer"/>
    <w:uiPriority w:val="99"/>
    <w:rsid w:val="00565302"/>
    <w:rPr>
      <w:lang w:val="en-GB"/>
    </w:rPr>
  </w:style>
  <w:style w:type="paragraph" w:styleId="BalloonText">
    <w:name w:val="Balloon Text"/>
    <w:basedOn w:val="Normal"/>
    <w:link w:val="BalloonTextChar"/>
    <w:uiPriority w:val="99"/>
    <w:semiHidden/>
    <w:unhideWhenUsed/>
    <w:rsid w:val="0056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302"/>
    <w:rPr>
      <w:rFonts w:ascii="Tahoma" w:hAnsi="Tahoma" w:cs="Tahoma"/>
      <w:sz w:val="16"/>
      <w:szCs w:val="16"/>
      <w:lang w:val="en-GB"/>
    </w:rPr>
  </w:style>
  <w:style w:type="paragraph" w:styleId="ListParagraph">
    <w:name w:val="List Paragraph"/>
    <w:basedOn w:val="Normal"/>
    <w:uiPriority w:val="34"/>
    <w:qFormat/>
    <w:rsid w:val="00341AE2"/>
    <w:pPr>
      <w:ind w:left="720"/>
      <w:contextualSpacing/>
    </w:pPr>
  </w:style>
  <w:style w:type="table" w:styleId="TableGrid">
    <w:name w:val="Table Grid"/>
    <w:basedOn w:val="TableNormal"/>
    <w:uiPriority w:val="59"/>
    <w:rsid w:val="00EE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302"/>
    <w:pPr>
      <w:tabs>
        <w:tab w:val="center" w:pos="4986"/>
        <w:tab w:val="right" w:pos="9972"/>
      </w:tabs>
      <w:spacing w:after="0" w:line="240" w:lineRule="auto"/>
    </w:pPr>
  </w:style>
  <w:style w:type="character" w:customStyle="1" w:styleId="HeaderChar">
    <w:name w:val="Header Char"/>
    <w:basedOn w:val="DefaultParagraphFont"/>
    <w:link w:val="Header"/>
    <w:uiPriority w:val="99"/>
    <w:rsid w:val="00565302"/>
    <w:rPr>
      <w:lang w:val="en-GB"/>
    </w:rPr>
  </w:style>
  <w:style w:type="paragraph" w:styleId="Footer">
    <w:name w:val="footer"/>
    <w:basedOn w:val="Normal"/>
    <w:link w:val="FooterChar"/>
    <w:uiPriority w:val="99"/>
    <w:unhideWhenUsed/>
    <w:rsid w:val="00565302"/>
    <w:pPr>
      <w:tabs>
        <w:tab w:val="center" w:pos="4986"/>
        <w:tab w:val="right" w:pos="9972"/>
      </w:tabs>
      <w:spacing w:after="0" w:line="240" w:lineRule="auto"/>
    </w:pPr>
  </w:style>
  <w:style w:type="character" w:customStyle="1" w:styleId="FooterChar">
    <w:name w:val="Footer Char"/>
    <w:basedOn w:val="DefaultParagraphFont"/>
    <w:link w:val="Footer"/>
    <w:uiPriority w:val="99"/>
    <w:rsid w:val="00565302"/>
    <w:rPr>
      <w:lang w:val="en-GB"/>
    </w:rPr>
  </w:style>
  <w:style w:type="paragraph" w:styleId="BalloonText">
    <w:name w:val="Balloon Text"/>
    <w:basedOn w:val="Normal"/>
    <w:link w:val="BalloonTextChar"/>
    <w:uiPriority w:val="99"/>
    <w:semiHidden/>
    <w:unhideWhenUsed/>
    <w:rsid w:val="0056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302"/>
    <w:rPr>
      <w:rFonts w:ascii="Tahoma" w:hAnsi="Tahoma" w:cs="Tahoma"/>
      <w:sz w:val="16"/>
      <w:szCs w:val="16"/>
      <w:lang w:val="en-GB"/>
    </w:rPr>
  </w:style>
  <w:style w:type="paragraph" w:styleId="ListParagraph">
    <w:name w:val="List Paragraph"/>
    <w:basedOn w:val="Normal"/>
    <w:uiPriority w:val="34"/>
    <w:qFormat/>
    <w:rsid w:val="00341AE2"/>
    <w:pPr>
      <w:ind w:left="720"/>
      <w:contextualSpacing/>
    </w:pPr>
  </w:style>
  <w:style w:type="table" w:styleId="TableGrid">
    <w:name w:val="Table Grid"/>
    <w:basedOn w:val="TableNormal"/>
    <w:uiPriority w:val="59"/>
    <w:rsid w:val="00EE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55520">
      <w:bodyDiv w:val="1"/>
      <w:marLeft w:val="0"/>
      <w:marRight w:val="0"/>
      <w:marTop w:val="0"/>
      <w:marBottom w:val="0"/>
      <w:divBdr>
        <w:top w:val="none" w:sz="0" w:space="0" w:color="auto"/>
        <w:left w:val="none" w:sz="0" w:space="0" w:color="auto"/>
        <w:bottom w:val="none" w:sz="0" w:space="0" w:color="auto"/>
        <w:right w:val="none" w:sz="0" w:space="0" w:color="auto"/>
      </w:divBdr>
      <w:divsChild>
        <w:div w:id="1464427165">
          <w:marLeft w:val="0"/>
          <w:marRight w:val="0"/>
          <w:marTop w:val="0"/>
          <w:marBottom w:val="0"/>
          <w:divBdr>
            <w:top w:val="none" w:sz="0" w:space="0" w:color="auto"/>
            <w:left w:val="none" w:sz="0" w:space="0" w:color="auto"/>
            <w:bottom w:val="none" w:sz="0" w:space="0" w:color="auto"/>
            <w:right w:val="none" w:sz="0" w:space="0" w:color="auto"/>
          </w:divBdr>
          <w:divsChild>
            <w:div w:id="656688512">
              <w:marLeft w:val="0"/>
              <w:marRight w:val="0"/>
              <w:marTop w:val="0"/>
              <w:marBottom w:val="0"/>
              <w:divBdr>
                <w:top w:val="none" w:sz="0" w:space="0" w:color="auto"/>
                <w:left w:val="none" w:sz="0" w:space="0" w:color="auto"/>
                <w:bottom w:val="none" w:sz="0" w:space="0" w:color="auto"/>
                <w:right w:val="none" w:sz="0" w:space="0" w:color="auto"/>
              </w:divBdr>
              <w:divsChild>
                <w:div w:id="194542945">
                  <w:marLeft w:val="0"/>
                  <w:marRight w:val="0"/>
                  <w:marTop w:val="0"/>
                  <w:marBottom w:val="0"/>
                  <w:divBdr>
                    <w:top w:val="none" w:sz="0" w:space="0" w:color="auto"/>
                    <w:left w:val="none" w:sz="0" w:space="0" w:color="auto"/>
                    <w:bottom w:val="none" w:sz="0" w:space="0" w:color="auto"/>
                    <w:right w:val="none" w:sz="0" w:space="0" w:color="auto"/>
                  </w:divBdr>
                  <w:divsChild>
                    <w:div w:id="1797487958">
                      <w:marLeft w:val="0"/>
                      <w:marRight w:val="0"/>
                      <w:marTop w:val="45"/>
                      <w:marBottom w:val="0"/>
                      <w:divBdr>
                        <w:top w:val="none" w:sz="0" w:space="0" w:color="auto"/>
                        <w:left w:val="none" w:sz="0" w:space="0" w:color="auto"/>
                        <w:bottom w:val="none" w:sz="0" w:space="0" w:color="auto"/>
                        <w:right w:val="none" w:sz="0" w:space="0" w:color="auto"/>
                      </w:divBdr>
                      <w:divsChild>
                        <w:div w:id="1700349693">
                          <w:marLeft w:val="0"/>
                          <w:marRight w:val="0"/>
                          <w:marTop w:val="0"/>
                          <w:marBottom w:val="0"/>
                          <w:divBdr>
                            <w:top w:val="none" w:sz="0" w:space="0" w:color="auto"/>
                            <w:left w:val="none" w:sz="0" w:space="0" w:color="auto"/>
                            <w:bottom w:val="none" w:sz="0" w:space="0" w:color="auto"/>
                            <w:right w:val="none" w:sz="0" w:space="0" w:color="auto"/>
                          </w:divBdr>
                          <w:divsChild>
                            <w:div w:id="1856924242">
                              <w:marLeft w:val="2070"/>
                              <w:marRight w:val="3960"/>
                              <w:marTop w:val="0"/>
                              <w:marBottom w:val="0"/>
                              <w:divBdr>
                                <w:top w:val="none" w:sz="0" w:space="0" w:color="auto"/>
                                <w:left w:val="none" w:sz="0" w:space="0" w:color="auto"/>
                                <w:bottom w:val="none" w:sz="0" w:space="0" w:color="auto"/>
                                <w:right w:val="none" w:sz="0" w:space="0" w:color="auto"/>
                              </w:divBdr>
                              <w:divsChild>
                                <w:div w:id="610211981">
                                  <w:marLeft w:val="0"/>
                                  <w:marRight w:val="0"/>
                                  <w:marTop w:val="0"/>
                                  <w:marBottom w:val="0"/>
                                  <w:divBdr>
                                    <w:top w:val="none" w:sz="0" w:space="0" w:color="auto"/>
                                    <w:left w:val="none" w:sz="0" w:space="0" w:color="auto"/>
                                    <w:bottom w:val="none" w:sz="0" w:space="0" w:color="auto"/>
                                    <w:right w:val="none" w:sz="0" w:space="0" w:color="auto"/>
                                  </w:divBdr>
                                  <w:divsChild>
                                    <w:div w:id="1386950463">
                                      <w:marLeft w:val="0"/>
                                      <w:marRight w:val="0"/>
                                      <w:marTop w:val="0"/>
                                      <w:marBottom w:val="0"/>
                                      <w:divBdr>
                                        <w:top w:val="none" w:sz="0" w:space="0" w:color="auto"/>
                                        <w:left w:val="none" w:sz="0" w:space="0" w:color="auto"/>
                                        <w:bottom w:val="none" w:sz="0" w:space="0" w:color="auto"/>
                                        <w:right w:val="none" w:sz="0" w:space="0" w:color="auto"/>
                                      </w:divBdr>
                                      <w:divsChild>
                                        <w:div w:id="373507826">
                                          <w:marLeft w:val="0"/>
                                          <w:marRight w:val="0"/>
                                          <w:marTop w:val="0"/>
                                          <w:marBottom w:val="0"/>
                                          <w:divBdr>
                                            <w:top w:val="none" w:sz="0" w:space="0" w:color="auto"/>
                                            <w:left w:val="none" w:sz="0" w:space="0" w:color="auto"/>
                                            <w:bottom w:val="none" w:sz="0" w:space="0" w:color="auto"/>
                                            <w:right w:val="none" w:sz="0" w:space="0" w:color="auto"/>
                                          </w:divBdr>
                                          <w:divsChild>
                                            <w:div w:id="690423222">
                                              <w:marLeft w:val="0"/>
                                              <w:marRight w:val="0"/>
                                              <w:marTop w:val="90"/>
                                              <w:marBottom w:val="0"/>
                                              <w:divBdr>
                                                <w:top w:val="none" w:sz="0" w:space="0" w:color="auto"/>
                                                <w:left w:val="none" w:sz="0" w:space="0" w:color="auto"/>
                                                <w:bottom w:val="none" w:sz="0" w:space="0" w:color="auto"/>
                                                <w:right w:val="none" w:sz="0" w:space="0" w:color="auto"/>
                                              </w:divBdr>
                                              <w:divsChild>
                                                <w:div w:id="172455859">
                                                  <w:marLeft w:val="0"/>
                                                  <w:marRight w:val="0"/>
                                                  <w:marTop w:val="0"/>
                                                  <w:marBottom w:val="0"/>
                                                  <w:divBdr>
                                                    <w:top w:val="none" w:sz="0" w:space="0" w:color="auto"/>
                                                    <w:left w:val="none" w:sz="0" w:space="0" w:color="auto"/>
                                                    <w:bottom w:val="none" w:sz="0" w:space="0" w:color="auto"/>
                                                    <w:right w:val="none" w:sz="0" w:space="0" w:color="auto"/>
                                                  </w:divBdr>
                                                  <w:divsChild>
                                                    <w:div w:id="152458096">
                                                      <w:marLeft w:val="0"/>
                                                      <w:marRight w:val="0"/>
                                                      <w:marTop w:val="0"/>
                                                      <w:marBottom w:val="0"/>
                                                      <w:divBdr>
                                                        <w:top w:val="none" w:sz="0" w:space="0" w:color="auto"/>
                                                        <w:left w:val="none" w:sz="0" w:space="0" w:color="auto"/>
                                                        <w:bottom w:val="none" w:sz="0" w:space="0" w:color="auto"/>
                                                        <w:right w:val="none" w:sz="0" w:space="0" w:color="auto"/>
                                                      </w:divBdr>
                                                      <w:divsChild>
                                                        <w:div w:id="1299604594">
                                                          <w:marLeft w:val="0"/>
                                                          <w:marRight w:val="0"/>
                                                          <w:marTop w:val="0"/>
                                                          <w:marBottom w:val="390"/>
                                                          <w:divBdr>
                                                            <w:top w:val="none" w:sz="0" w:space="0" w:color="auto"/>
                                                            <w:left w:val="none" w:sz="0" w:space="0" w:color="auto"/>
                                                            <w:bottom w:val="none" w:sz="0" w:space="0" w:color="auto"/>
                                                            <w:right w:val="none" w:sz="0" w:space="0" w:color="auto"/>
                                                          </w:divBdr>
                                                          <w:divsChild>
                                                            <w:div w:id="58720818">
                                                              <w:marLeft w:val="0"/>
                                                              <w:marRight w:val="0"/>
                                                              <w:marTop w:val="0"/>
                                                              <w:marBottom w:val="0"/>
                                                              <w:divBdr>
                                                                <w:top w:val="none" w:sz="0" w:space="0" w:color="auto"/>
                                                                <w:left w:val="none" w:sz="0" w:space="0" w:color="auto"/>
                                                                <w:bottom w:val="none" w:sz="0" w:space="0" w:color="auto"/>
                                                                <w:right w:val="none" w:sz="0" w:space="0" w:color="auto"/>
                                                              </w:divBdr>
                                                              <w:divsChild>
                                                                <w:div w:id="571240166">
                                                                  <w:marLeft w:val="0"/>
                                                                  <w:marRight w:val="0"/>
                                                                  <w:marTop w:val="0"/>
                                                                  <w:marBottom w:val="0"/>
                                                                  <w:divBdr>
                                                                    <w:top w:val="none" w:sz="0" w:space="0" w:color="auto"/>
                                                                    <w:left w:val="none" w:sz="0" w:space="0" w:color="auto"/>
                                                                    <w:bottom w:val="none" w:sz="0" w:space="0" w:color="auto"/>
                                                                    <w:right w:val="none" w:sz="0" w:space="0" w:color="auto"/>
                                                                  </w:divBdr>
                                                                  <w:divsChild>
                                                                    <w:div w:id="1475026420">
                                                                      <w:marLeft w:val="0"/>
                                                                      <w:marRight w:val="0"/>
                                                                      <w:marTop w:val="0"/>
                                                                      <w:marBottom w:val="0"/>
                                                                      <w:divBdr>
                                                                        <w:top w:val="none" w:sz="0" w:space="0" w:color="auto"/>
                                                                        <w:left w:val="none" w:sz="0" w:space="0" w:color="auto"/>
                                                                        <w:bottom w:val="none" w:sz="0" w:space="0" w:color="auto"/>
                                                                        <w:right w:val="none" w:sz="0" w:space="0" w:color="auto"/>
                                                                      </w:divBdr>
                                                                      <w:divsChild>
                                                                        <w:div w:id="514730369">
                                                                          <w:marLeft w:val="0"/>
                                                                          <w:marRight w:val="0"/>
                                                                          <w:marTop w:val="0"/>
                                                                          <w:marBottom w:val="0"/>
                                                                          <w:divBdr>
                                                                            <w:top w:val="none" w:sz="0" w:space="0" w:color="auto"/>
                                                                            <w:left w:val="none" w:sz="0" w:space="0" w:color="auto"/>
                                                                            <w:bottom w:val="none" w:sz="0" w:space="0" w:color="auto"/>
                                                                            <w:right w:val="none" w:sz="0" w:space="0" w:color="auto"/>
                                                                          </w:divBdr>
                                                                          <w:divsChild>
                                                                            <w:div w:id="1474470">
                                                                              <w:marLeft w:val="0"/>
                                                                              <w:marRight w:val="0"/>
                                                                              <w:marTop w:val="0"/>
                                                                              <w:marBottom w:val="0"/>
                                                                              <w:divBdr>
                                                                                <w:top w:val="none" w:sz="0" w:space="0" w:color="auto"/>
                                                                                <w:left w:val="none" w:sz="0" w:space="0" w:color="auto"/>
                                                                                <w:bottom w:val="none" w:sz="0" w:space="0" w:color="auto"/>
                                                                                <w:right w:val="none" w:sz="0" w:space="0" w:color="auto"/>
                                                                              </w:divBdr>
                                                                              <w:divsChild>
                                                                                <w:div w:id="1645117242">
                                                                                  <w:marLeft w:val="0"/>
                                                                                  <w:marRight w:val="0"/>
                                                                                  <w:marTop w:val="0"/>
                                                                                  <w:marBottom w:val="0"/>
                                                                                  <w:divBdr>
                                                                                    <w:top w:val="none" w:sz="0" w:space="0" w:color="auto"/>
                                                                                    <w:left w:val="none" w:sz="0" w:space="0" w:color="auto"/>
                                                                                    <w:bottom w:val="none" w:sz="0" w:space="0" w:color="auto"/>
                                                                                    <w:right w:val="none" w:sz="0" w:space="0" w:color="auto"/>
                                                                                  </w:divBdr>
                                                                                  <w:divsChild>
                                                                                    <w:div w:id="1101990622">
                                                                                      <w:marLeft w:val="0"/>
                                                                                      <w:marRight w:val="0"/>
                                                                                      <w:marTop w:val="0"/>
                                                                                      <w:marBottom w:val="0"/>
                                                                                      <w:divBdr>
                                                                                        <w:top w:val="none" w:sz="0" w:space="0" w:color="auto"/>
                                                                                        <w:left w:val="none" w:sz="0" w:space="0" w:color="auto"/>
                                                                                        <w:bottom w:val="none" w:sz="0" w:space="0" w:color="auto"/>
                                                                                        <w:right w:val="none" w:sz="0" w:space="0" w:color="auto"/>
                                                                                      </w:divBdr>
                                                                                      <w:divsChild>
                                                                                        <w:div w:id="18520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Markovskytė</dc:creator>
  <cp:lastModifiedBy>Rūta Markovskytė</cp:lastModifiedBy>
  <cp:revision>2</cp:revision>
  <dcterms:created xsi:type="dcterms:W3CDTF">2017-10-31T09:59:00Z</dcterms:created>
  <dcterms:modified xsi:type="dcterms:W3CDTF">2017-10-31T09:59:00Z</dcterms:modified>
</cp:coreProperties>
</file>