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1CF6054E"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r w:rsidR="00073330">
        <w:rPr>
          <w:rFonts w:ascii="Arial" w:hAnsi="Arial" w:cs="Arial"/>
        </w:rPr>
        <w:t>73-VP-</w:t>
      </w:r>
    </w:p>
    <w:p w14:paraId="304777CE" w14:textId="7722716D" w:rsidR="00540279" w:rsidRPr="00073330" w:rsidRDefault="00073330" w:rsidP="00EE7ED0">
      <w:pPr>
        <w:spacing w:after="0" w:line="240" w:lineRule="auto"/>
        <w:ind w:firstLine="360"/>
        <w:jc w:val="center"/>
        <w:rPr>
          <w:rFonts w:ascii="Arial" w:hAnsi="Arial" w:cs="Arial"/>
          <w:i/>
          <w:iCs/>
          <w:color w:val="000000" w:themeColor="text1"/>
        </w:rPr>
      </w:pPr>
      <w:r w:rsidRPr="00073330">
        <w:rPr>
          <w:rFonts w:ascii="Arial" w:hAnsi="Arial" w:cs="Arial"/>
          <w:i/>
          <w:iCs/>
          <w:color w:val="000000" w:themeColor="text1"/>
        </w:rPr>
        <w:t>Trakai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10137C82" w14:textId="2008716F" w:rsidR="00B52504" w:rsidRPr="00A11229" w:rsidRDefault="00B52504" w:rsidP="00EE7ED0">
      <w:pPr>
        <w:spacing w:after="0" w:line="240" w:lineRule="auto"/>
        <w:ind w:firstLine="360"/>
        <w:jc w:val="both"/>
        <w:rPr>
          <w:rFonts w:ascii="Arial" w:eastAsia="Times New Roman"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073330">
        <w:rPr>
          <w:rFonts w:ascii="Arial" w:hAnsi="Arial" w:cs="Arial"/>
        </w:rPr>
        <w:t xml:space="preserve">Trakų RP vadovo Vaidoto </w:t>
      </w:r>
      <w:proofErr w:type="spellStart"/>
      <w:r w:rsidR="00073330">
        <w:rPr>
          <w:rFonts w:ascii="Arial" w:hAnsi="Arial" w:cs="Arial"/>
        </w:rPr>
        <w:t>Pauželio</w:t>
      </w:r>
      <w:proofErr w:type="spellEnd"/>
      <w:r w:rsidR="00073330">
        <w:rPr>
          <w:rFonts w:ascii="Arial" w:hAnsi="Arial" w:cs="Arial"/>
        </w:rPr>
        <w:t xml:space="preserve"> veikiančio pagal VĮ Valstybinių miškų urėdijos generalinio direktoriaus 2024 m. gruodžio 20 d. įgaliojimą Nr.77-ĮG-434-2024</w:t>
      </w:r>
      <w:r w:rsidR="00C95551" w:rsidRPr="00A11229">
        <w:rPr>
          <w:rFonts w:ascii="Arial" w:eastAsia="Times New Roman" w:hAnsi="Arial" w:cs="Arial"/>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Užsakovas</w:t>
      </w:r>
      <w:r w:rsidR="00C95551" w:rsidRPr="00A11229">
        <w:rPr>
          <w:rFonts w:ascii="Arial" w:eastAsia="Times New Roman" w:hAnsi="Arial" w:cs="Arial"/>
        </w:rPr>
        <w:t xml:space="preserve">), </w:t>
      </w:r>
    </w:p>
    <w:p w14:paraId="43C9AE73" w14:textId="228B8F2F" w:rsidR="00B52504" w:rsidRPr="00A11229" w:rsidRDefault="00C95551" w:rsidP="00EE7ED0">
      <w:pPr>
        <w:tabs>
          <w:tab w:val="left" w:pos="5490"/>
        </w:tabs>
        <w:spacing w:after="0" w:line="240" w:lineRule="auto"/>
        <w:ind w:firstLine="360"/>
        <w:jc w:val="both"/>
        <w:rPr>
          <w:rFonts w:ascii="Arial" w:eastAsia="Times New Roman" w:hAnsi="Arial" w:cs="Arial"/>
        </w:rPr>
      </w:pPr>
      <w:r w:rsidRPr="00A11229">
        <w:rPr>
          <w:rFonts w:ascii="Arial" w:eastAsia="Times New Roman" w:hAnsi="Arial" w:cs="Arial"/>
        </w:rPr>
        <w:t xml:space="preserve">ir </w:t>
      </w:r>
      <w:r w:rsidR="00240E4C" w:rsidRPr="00A11229">
        <w:rPr>
          <w:rFonts w:ascii="Arial" w:eastAsia="Times New Roman" w:hAnsi="Arial" w:cs="Arial"/>
        </w:rPr>
        <w:tab/>
      </w:r>
    </w:p>
    <w:p w14:paraId="23E1D985" w14:textId="49E12620" w:rsidR="00AA57DD" w:rsidRPr="00A11229" w:rsidRDefault="00DB2508" w:rsidP="00EE7ED0">
      <w:pPr>
        <w:spacing w:after="0" w:line="240" w:lineRule="auto"/>
        <w:ind w:firstLine="360"/>
        <w:jc w:val="both"/>
        <w:rPr>
          <w:rFonts w:ascii="Arial" w:eastAsia="Times New Roman" w:hAnsi="Arial" w:cs="Arial"/>
        </w:rPr>
      </w:pPr>
      <w:r w:rsidRPr="00D30B2D">
        <w:rPr>
          <w:rFonts w:ascii="Arial" w:hAnsi="Arial" w:cs="Arial"/>
          <w:b/>
          <w:iCs/>
          <w:color w:val="000000" w:themeColor="text1"/>
        </w:rPr>
        <w:t>UAB „</w:t>
      </w:r>
      <w:proofErr w:type="spellStart"/>
      <w:r w:rsidRPr="00D30B2D">
        <w:rPr>
          <w:rFonts w:ascii="Arial" w:hAnsi="Arial" w:cs="Arial"/>
          <w:b/>
          <w:iCs/>
          <w:color w:val="000000" w:themeColor="text1"/>
        </w:rPr>
        <w:t>Retma</w:t>
      </w:r>
      <w:proofErr w:type="spellEnd"/>
      <w:r w:rsidRPr="00D30B2D">
        <w:rPr>
          <w:rFonts w:ascii="Arial"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3" w:name="_Hlk29278562"/>
      <w:r>
        <w:rPr>
          <w:rFonts w:ascii="Arial" w:eastAsia="Times New Roman" w:hAnsi="Arial" w:cs="Arial"/>
        </w:rPr>
        <w:t>įmonės įstatus</w:t>
      </w:r>
      <w:bookmarkEnd w:id="3"/>
      <w:r w:rsidRPr="00B525A6">
        <w:rPr>
          <w:rFonts w:ascii="Arial" w:eastAsia="Times New Roman" w:hAnsi="Arial" w:cs="Arial"/>
          <w:color w:val="A5A5A5" w:themeColor="accent3"/>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Paslaugų teikėjas</w:t>
      </w:r>
      <w:r w:rsidR="00C95551" w:rsidRPr="00A11229">
        <w:rPr>
          <w:rFonts w:ascii="Arial" w:eastAsia="Times New Roman" w:hAnsi="Arial" w:cs="Arial"/>
        </w:rPr>
        <w:t>),</w:t>
      </w:r>
    </w:p>
    <w:p w14:paraId="6889A561" w14:textId="709A26BE"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 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3038FBDA" w14:textId="2A86FDFD" w:rsidR="004C1354" w:rsidRPr="00A11229" w:rsidRDefault="004C1354" w:rsidP="004C1354">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00073330">
        <w:rPr>
          <w:rFonts w:ascii="Arial" w:hAnsi="Arial" w:cs="Arial"/>
          <w:color w:val="70AD47" w:themeColor="accent6"/>
          <w:sz w:val="22"/>
          <w:szCs w:val="22"/>
        </w:rPr>
        <w:t>:</w:t>
      </w:r>
    </w:p>
    <w:p w14:paraId="1522B0AA" w14:textId="04E94AFF" w:rsidR="004C1354" w:rsidRPr="00A11229" w:rsidRDefault="00073330" w:rsidP="004C1354">
      <w:pPr>
        <w:pStyle w:val="Sraopastraipa"/>
        <w:spacing w:after="0" w:line="240" w:lineRule="auto"/>
        <w:ind w:left="0" w:firstLine="720"/>
        <w:jc w:val="both"/>
        <w:rPr>
          <w:rFonts w:ascii="Arial" w:hAnsi="Arial" w:cs="Arial"/>
        </w:rPr>
      </w:pPr>
      <w:r>
        <w:rPr>
          <w:rFonts w:ascii="Arial" w:hAnsi="Arial" w:cs="Arial"/>
          <w:b/>
          <w:bCs/>
        </w:rPr>
        <w:t>22</w:t>
      </w:r>
      <w:r w:rsidR="004C1354" w:rsidRPr="00A11229">
        <w:rPr>
          <w:rFonts w:ascii="Arial" w:hAnsi="Arial" w:cs="Arial"/>
          <w:b/>
          <w:bCs/>
        </w:rPr>
        <w:t xml:space="preserve"> </w:t>
      </w:r>
      <w:proofErr w:type="spellStart"/>
      <w:r w:rsidR="004C1354" w:rsidRPr="00A11229">
        <w:rPr>
          <w:rFonts w:ascii="Arial" w:hAnsi="Arial" w:cs="Arial"/>
          <w:b/>
          <w:bCs/>
        </w:rPr>
        <w:t>P.o.d</w:t>
      </w:r>
      <w:proofErr w:type="spellEnd"/>
      <w:r w:rsidR="004C1354" w:rsidRPr="00A11229">
        <w:rPr>
          <w:rFonts w:ascii="Arial" w:hAnsi="Arial" w:cs="Arial"/>
          <w:b/>
          <w:bCs/>
        </w:rPr>
        <w:t>.</w:t>
      </w:r>
      <w:r w:rsidR="004C1354" w:rsidRPr="00A11229">
        <w:rPr>
          <w:rFonts w:ascii="Arial" w:hAnsi="Arial" w:cs="Arial"/>
        </w:rPr>
        <w:t xml:space="preserve"> - </w:t>
      </w:r>
      <w:r>
        <w:rPr>
          <w:rFonts w:ascii="Arial" w:hAnsi="Arial" w:cs="Arial"/>
        </w:rPr>
        <w:t>Medienos ruošos paslaugų pirkimas Trakų regioniniame padalinyje</w:t>
      </w:r>
      <w:r w:rsidR="004C1354" w:rsidRPr="00A11229">
        <w:rPr>
          <w:rFonts w:ascii="Arial" w:hAnsi="Arial" w:cs="Arial"/>
        </w:rPr>
        <w:t>;</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1163A4C6" w14:textId="5D3E1EB9"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00332B94" w:rsidRPr="00A11229">
        <w:rPr>
          <w:rFonts w:ascii="Arial" w:hAnsi="Arial" w:cs="Arial"/>
          <w:i/>
          <w:iCs/>
          <w:color w:val="92D050"/>
          <w:sz w:val="22"/>
          <w:szCs w:val="22"/>
        </w:rPr>
        <w:t xml:space="preserve"> </w:t>
      </w:r>
      <w:r w:rsidR="00073330" w:rsidRPr="009C5CCD">
        <w:rPr>
          <w:rStyle w:val="Laukeliai"/>
          <w:rFonts w:eastAsia="Times New Roman"/>
          <w:sz w:val="22"/>
          <w:szCs w:val="22"/>
        </w:rPr>
        <w:t xml:space="preserve">Sutarties Specialiųjų sąlygų </w:t>
      </w:r>
      <w:r w:rsidR="001E1150">
        <w:rPr>
          <w:rStyle w:val="Laukeliai"/>
          <w:rFonts w:eastAsia="Times New Roman"/>
          <w:b/>
          <w:sz w:val="22"/>
          <w:szCs w:val="22"/>
        </w:rPr>
        <w:t>7</w:t>
      </w:r>
      <w:r w:rsidR="00073330" w:rsidRPr="001E1150">
        <w:rPr>
          <w:rStyle w:val="Laukeliai"/>
          <w:rFonts w:eastAsia="Times New Roman"/>
          <w:b/>
          <w:sz w:val="22"/>
          <w:szCs w:val="22"/>
        </w:rPr>
        <w:t xml:space="preserve"> priede „Atsakingų asmenų kontaktiniai duomenys“</w:t>
      </w:r>
      <w:r w:rsidRPr="009C5CCD">
        <w:rPr>
          <w:rStyle w:val="Laukeliai"/>
          <w:rFonts w:eastAsia="Times New Roman" w:cs="Arial"/>
          <w:i/>
          <w:sz w:val="22"/>
          <w:szCs w:val="22"/>
        </w:rPr>
        <w:t>.</w:t>
      </w:r>
      <w:r w:rsidRPr="00A11229">
        <w:rPr>
          <w:rStyle w:val="Laukeliai"/>
          <w:rFonts w:eastAsia="Times New Roman" w:cs="Arial"/>
          <w:i/>
          <w:sz w:val="22"/>
          <w:szCs w:val="22"/>
        </w:rPr>
        <w:t xml:space="preserve"> </w:t>
      </w: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76F380F6" w:rsidR="00E62A3D" w:rsidRPr="00A11229" w:rsidRDefault="00AA57DD"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A11229">
        <w:rPr>
          <w:rFonts w:ascii="Arial" w:hAnsi="Arial" w:cs="Arial"/>
          <w:sz w:val="22"/>
          <w:szCs w:val="22"/>
        </w:rPr>
        <w:t>):</w:t>
      </w:r>
      <w:r w:rsidR="006F7120">
        <w:rPr>
          <w:rFonts w:ascii="Arial" w:hAnsi="Arial" w:cs="Arial"/>
          <w:sz w:val="22"/>
          <w:szCs w:val="22"/>
        </w:rPr>
        <w:t xml:space="preserve"> ..................................................................</w:t>
      </w:r>
      <w:r w:rsidR="00AC4D9A" w:rsidRPr="00AC4D9A">
        <w:rPr>
          <w:rFonts w:ascii="Arial" w:hAnsi="Arial" w:cs="Arial"/>
          <w:b/>
          <w:color w:val="538135" w:themeColor="accent6" w:themeShade="BF"/>
          <w:sz w:val="22"/>
          <w:szCs w:val="22"/>
        </w:rPr>
        <w:t>.</w:t>
      </w:r>
      <w:r w:rsidR="002B466B">
        <w:rPr>
          <w:rFonts w:ascii="Arial" w:hAnsi="Arial" w:cs="Arial"/>
          <w:b/>
          <w:sz w:val="22"/>
          <w:szCs w:val="22"/>
          <w:lang w:val="en-GB"/>
        </w:rPr>
        <w:t xml:space="preserve">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60BA49CA" w:rsidR="00E366AC" w:rsidRPr="009C3C55" w:rsidRDefault="00E62A3D" w:rsidP="00C62C44">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xml:space="preserve">, jeigu </w:t>
      </w:r>
      <w:r w:rsidR="0058047F" w:rsidRPr="009C3C55">
        <w:rPr>
          <w:rFonts w:ascii="Arial" w:hAnsi="Arial" w:cs="Arial"/>
          <w:sz w:val="22"/>
          <w:szCs w:val="22"/>
          <w:lang w:val="lt-LT"/>
        </w:rPr>
        <w:lastRenderedPageBreak/>
        <w:t>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5"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5"/>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6" w:name="_Hlk13556434"/>
      <w:bookmarkStart w:id="7"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DB2508"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7BEDFFE5"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31B2A02A"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0CAF0F98"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9240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22729765"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9240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67055228"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958</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413E48AF"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29</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3967304" w:rsidR="00DB2508" w:rsidRPr="00A11229" w:rsidRDefault="00DB2508" w:rsidP="00DB2508">
            <w:pPr>
              <w:pStyle w:val="Tekstas"/>
              <w:ind w:firstLine="0"/>
              <w:rPr>
                <w:rFonts w:ascii="Arial" w:hAnsi="Arial" w:cs="Arial"/>
                <w:sz w:val="22"/>
                <w:szCs w:val="22"/>
              </w:rPr>
            </w:pPr>
            <w:r>
              <w:rPr>
                <w:rFonts w:ascii="Arial" w:hAnsi="Arial" w:cs="Arial"/>
                <w:sz w:val="22"/>
                <w:szCs w:val="22"/>
                <w:lang w:bidi="lo-LA"/>
              </w:rPr>
              <w:t>16</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4"/>
      <w:bookmarkEnd w:id="6"/>
      <w:bookmarkEnd w:id="7"/>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8"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8"/>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9"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682" w:type="dxa"/>
            <w:vAlign w:val="center"/>
          </w:tcPr>
          <w:p w14:paraId="45340DD5" w14:textId="77777777"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Paslaugos</w:t>
            </w:r>
          </w:p>
        </w:tc>
        <w:tc>
          <w:tcPr>
            <w:tcW w:w="1276" w:type="dxa"/>
            <w:vAlign w:val="center"/>
          </w:tcPr>
          <w:p w14:paraId="79036C3B" w14:textId="77777777"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Mato vnt.</w:t>
            </w:r>
          </w:p>
        </w:tc>
        <w:tc>
          <w:tcPr>
            <w:tcW w:w="1984" w:type="dxa"/>
            <w:vAlign w:val="center"/>
          </w:tcPr>
          <w:p w14:paraId="33E88F8B" w14:textId="77777777"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Bazinis įkainis už mato vnt. </w:t>
            </w:r>
          </w:p>
          <w:p w14:paraId="135C1B0F" w14:textId="1D612C2E"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be PVM</w:t>
            </w:r>
          </w:p>
        </w:tc>
        <w:tc>
          <w:tcPr>
            <w:tcW w:w="2126" w:type="dxa"/>
            <w:vAlign w:val="center"/>
          </w:tcPr>
          <w:p w14:paraId="17E350E2" w14:textId="77777777"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Bazinis įkainis </w:t>
            </w:r>
          </w:p>
          <w:p w14:paraId="179AB158" w14:textId="2492340B" w:rsidR="00625B58"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 xml:space="preserve">už mato vnt. </w:t>
            </w:r>
          </w:p>
          <w:p w14:paraId="4F86B93C" w14:textId="7BD78F20" w:rsidR="003359FF" w:rsidRPr="00DB2508" w:rsidRDefault="003359FF" w:rsidP="00EE7ED0">
            <w:pPr>
              <w:pStyle w:val="ATekstas"/>
              <w:ind w:firstLine="0"/>
              <w:jc w:val="center"/>
              <w:rPr>
                <w:rFonts w:ascii="Arial" w:hAnsi="Arial" w:cs="Arial"/>
                <w:b/>
                <w:sz w:val="22"/>
                <w:szCs w:val="22"/>
              </w:rPr>
            </w:pPr>
            <w:r w:rsidRPr="00DB2508">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DB2508" w:rsidRDefault="003359FF" w:rsidP="00EE7ED0">
            <w:pPr>
              <w:pStyle w:val="ATekstas"/>
              <w:ind w:firstLine="0"/>
              <w:rPr>
                <w:rFonts w:ascii="Arial" w:hAnsi="Arial" w:cs="Arial"/>
                <w:sz w:val="22"/>
                <w:szCs w:val="22"/>
              </w:rPr>
            </w:pPr>
            <w:r w:rsidRPr="00DB2508">
              <w:rPr>
                <w:rFonts w:ascii="Arial" w:hAnsi="Arial" w:cs="Arial"/>
                <w:sz w:val="22"/>
                <w:szCs w:val="22"/>
              </w:rPr>
              <w:t>Miško plynasis kirtimas (toliau -bazinis miško kirtimo įkainis)</w:t>
            </w:r>
          </w:p>
        </w:tc>
        <w:tc>
          <w:tcPr>
            <w:tcW w:w="1276" w:type="dxa"/>
            <w:vAlign w:val="center"/>
          </w:tcPr>
          <w:p w14:paraId="30A04541" w14:textId="77777777" w:rsidR="003359FF" w:rsidRPr="00DB2508" w:rsidRDefault="003359FF" w:rsidP="00EE7ED0">
            <w:pPr>
              <w:pStyle w:val="ATekstas"/>
              <w:ind w:firstLine="0"/>
              <w:jc w:val="center"/>
              <w:rPr>
                <w:rFonts w:ascii="Arial" w:hAnsi="Arial" w:cs="Arial"/>
                <w:sz w:val="22"/>
                <w:szCs w:val="22"/>
              </w:rPr>
            </w:pPr>
            <w:r w:rsidRPr="00DB2508">
              <w:rPr>
                <w:rFonts w:ascii="Arial" w:hAnsi="Arial" w:cs="Arial"/>
                <w:sz w:val="22"/>
                <w:szCs w:val="22"/>
              </w:rPr>
              <w:t>Eur/</w:t>
            </w:r>
            <w:proofErr w:type="spellStart"/>
            <w:r w:rsidRPr="00DB2508">
              <w:rPr>
                <w:rFonts w:ascii="Arial" w:hAnsi="Arial" w:cs="Arial"/>
                <w:sz w:val="22"/>
                <w:szCs w:val="22"/>
              </w:rPr>
              <w:t>ktm</w:t>
            </w:r>
            <w:proofErr w:type="spellEnd"/>
          </w:p>
        </w:tc>
        <w:tc>
          <w:tcPr>
            <w:tcW w:w="1984" w:type="dxa"/>
            <w:vAlign w:val="center"/>
          </w:tcPr>
          <w:p w14:paraId="0F8DA229" w14:textId="4C8D5E04" w:rsidR="003359FF" w:rsidRPr="00DB2508" w:rsidRDefault="00AC4D9A" w:rsidP="00EE7ED0">
            <w:pPr>
              <w:pStyle w:val="ATekstas"/>
              <w:ind w:firstLine="0"/>
              <w:rPr>
                <w:rFonts w:ascii="Arial" w:hAnsi="Arial" w:cs="Arial"/>
                <w:sz w:val="22"/>
                <w:szCs w:val="22"/>
              </w:rPr>
            </w:pPr>
            <w:r w:rsidRPr="00DB2508">
              <w:rPr>
                <w:rFonts w:ascii="Arial" w:hAnsi="Arial" w:cs="Arial"/>
                <w:sz w:val="22"/>
                <w:szCs w:val="22"/>
              </w:rPr>
              <w:t>8,</w:t>
            </w:r>
            <w:r w:rsidR="00DB2508" w:rsidRPr="00DB2508">
              <w:rPr>
                <w:rFonts w:ascii="Arial" w:hAnsi="Arial" w:cs="Arial"/>
                <w:sz w:val="22"/>
                <w:szCs w:val="22"/>
              </w:rPr>
              <w:t>5</w:t>
            </w:r>
            <w:r w:rsidRPr="00DB2508">
              <w:rPr>
                <w:rFonts w:ascii="Arial" w:hAnsi="Arial" w:cs="Arial"/>
                <w:sz w:val="22"/>
                <w:szCs w:val="22"/>
              </w:rPr>
              <w:t>0</w:t>
            </w:r>
          </w:p>
        </w:tc>
        <w:tc>
          <w:tcPr>
            <w:tcW w:w="2126" w:type="dxa"/>
            <w:vAlign w:val="center"/>
          </w:tcPr>
          <w:p w14:paraId="4792C6AD" w14:textId="6EED5F2A" w:rsidR="003359FF" w:rsidRPr="00DB2508" w:rsidRDefault="00DB2508" w:rsidP="00EE7ED0">
            <w:pPr>
              <w:pStyle w:val="ATekstas"/>
              <w:ind w:firstLine="0"/>
              <w:rPr>
                <w:rFonts w:ascii="Arial" w:hAnsi="Arial" w:cs="Arial"/>
                <w:sz w:val="22"/>
                <w:szCs w:val="22"/>
              </w:rPr>
            </w:pPr>
            <w:r>
              <w:rPr>
                <w:rFonts w:ascii="Arial" w:hAnsi="Arial" w:cs="Arial"/>
                <w:sz w:val="22"/>
                <w:szCs w:val="22"/>
                <w:lang w:bidi="lo-LA"/>
              </w:rPr>
              <w:t>10,29</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DB2508" w:rsidRDefault="003359FF" w:rsidP="00EE7ED0">
            <w:pPr>
              <w:pStyle w:val="ATekstas"/>
              <w:ind w:firstLine="0"/>
              <w:rPr>
                <w:rFonts w:ascii="Arial" w:hAnsi="Arial" w:cs="Arial"/>
                <w:sz w:val="22"/>
                <w:szCs w:val="22"/>
              </w:rPr>
            </w:pPr>
            <w:r w:rsidRPr="00DB2508">
              <w:rPr>
                <w:rFonts w:ascii="Arial" w:hAnsi="Arial" w:cs="Arial"/>
                <w:sz w:val="22"/>
                <w:szCs w:val="22"/>
              </w:rPr>
              <w:t>Žaliavinės medienos išvežimas iš plynojo kirtimo biržių (toliau -</w:t>
            </w:r>
            <w:r w:rsidR="00FF3DCA" w:rsidRPr="00DB2508">
              <w:rPr>
                <w:rFonts w:ascii="Arial" w:hAnsi="Arial" w:cs="Arial"/>
                <w:sz w:val="22"/>
                <w:szCs w:val="22"/>
              </w:rPr>
              <w:t xml:space="preserve"> </w:t>
            </w:r>
            <w:r w:rsidRPr="00DB2508">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DB2508" w:rsidRDefault="003359FF" w:rsidP="00EE7ED0">
            <w:pPr>
              <w:pStyle w:val="ATekstas"/>
              <w:ind w:firstLine="0"/>
              <w:jc w:val="center"/>
              <w:rPr>
                <w:rFonts w:ascii="Arial" w:hAnsi="Arial" w:cs="Arial"/>
                <w:sz w:val="22"/>
                <w:szCs w:val="22"/>
              </w:rPr>
            </w:pPr>
            <w:r w:rsidRPr="00DB2508">
              <w:rPr>
                <w:rFonts w:ascii="Arial" w:hAnsi="Arial" w:cs="Arial"/>
                <w:sz w:val="22"/>
                <w:szCs w:val="22"/>
              </w:rPr>
              <w:t>Eur/</w:t>
            </w:r>
            <w:proofErr w:type="spellStart"/>
            <w:r w:rsidRPr="00DB2508">
              <w:rPr>
                <w:rFonts w:ascii="Arial" w:hAnsi="Arial" w:cs="Arial"/>
                <w:sz w:val="22"/>
                <w:szCs w:val="22"/>
              </w:rPr>
              <w:t>ktm</w:t>
            </w:r>
            <w:proofErr w:type="spellEnd"/>
          </w:p>
        </w:tc>
        <w:tc>
          <w:tcPr>
            <w:tcW w:w="1984" w:type="dxa"/>
            <w:tcBorders>
              <w:bottom w:val="single" w:sz="4" w:space="0" w:color="auto"/>
            </w:tcBorders>
            <w:vAlign w:val="center"/>
          </w:tcPr>
          <w:p w14:paraId="5AFBC59A" w14:textId="069D186E" w:rsidR="003359FF" w:rsidRPr="00DB2508" w:rsidRDefault="00AC4D9A" w:rsidP="00EE7ED0">
            <w:pPr>
              <w:pStyle w:val="ATekstas"/>
              <w:ind w:firstLine="0"/>
              <w:rPr>
                <w:rFonts w:ascii="Arial" w:hAnsi="Arial" w:cs="Arial"/>
                <w:sz w:val="22"/>
                <w:szCs w:val="22"/>
              </w:rPr>
            </w:pPr>
            <w:r w:rsidRPr="00DB2508">
              <w:rPr>
                <w:rFonts w:ascii="Arial" w:hAnsi="Arial" w:cs="Arial"/>
                <w:sz w:val="22"/>
                <w:szCs w:val="22"/>
              </w:rPr>
              <w:t>6,</w:t>
            </w:r>
            <w:r w:rsidR="00DB2508">
              <w:rPr>
                <w:rFonts w:ascii="Arial" w:hAnsi="Arial" w:cs="Arial"/>
                <w:sz w:val="22"/>
                <w:szCs w:val="22"/>
              </w:rPr>
              <w:t>8</w:t>
            </w:r>
            <w:r w:rsidRPr="00DB2508">
              <w:rPr>
                <w:rFonts w:ascii="Arial" w:hAnsi="Arial" w:cs="Arial"/>
                <w:sz w:val="22"/>
                <w:szCs w:val="22"/>
              </w:rPr>
              <w:t>0</w:t>
            </w:r>
          </w:p>
        </w:tc>
        <w:tc>
          <w:tcPr>
            <w:tcW w:w="2126" w:type="dxa"/>
            <w:tcBorders>
              <w:bottom w:val="single" w:sz="4" w:space="0" w:color="auto"/>
            </w:tcBorders>
            <w:vAlign w:val="center"/>
          </w:tcPr>
          <w:p w14:paraId="07D885AE" w14:textId="57A41132" w:rsidR="003359FF" w:rsidRPr="00DB2508" w:rsidRDefault="00DB2508" w:rsidP="00EE7ED0">
            <w:pPr>
              <w:pStyle w:val="ATekstas"/>
              <w:ind w:firstLine="0"/>
              <w:rPr>
                <w:rFonts w:ascii="Arial" w:hAnsi="Arial" w:cs="Arial"/>
                <w:sz w:val="22"/>
                <w:szCs w:val="22"/>
              </w:rPr>
            </w:pPr>
            <w:r>
              <w:rPr>
                <w:rFonts w:ascii="Arial" w:hAnsi="Arial" w:cs="Arial"/>
                <w:sz w:val="22"/>
                <w:szCs w:val="22"/>
                <w:lang w:bidi="lo-LA"/>
              </w:rPr>
              <w:t>8,23</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lastRenderedPageBreak/>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171B7AD0" w:rsidR="003359FF" w:rsidRPr="00A11229" w:rsidRDefault="00AC4D9A" w:rsidP="00EE7ED0">
            <w:pPr>
              <w:pStyle w:val="ATekstas"/>
              <w:ind w:firstLine="0"/>
              <w:rPr>
                <w:rFonts w:ascii="Arial" w:hAnsi="Arial" w:cs="Arial"/>
                <w:sz w:val="22"/>
                <w:szCs w:val="22"/>
              </w:rPr>
            </w:pPr>
            <w:r>
              <w:rPr>
                <w:rFonts w:ascii="Arial" w:hAnsi="Arial" w:cs="Arial"/>
                <w:sz w:val="22"/>
                <w:szCs w:val="22"/>
              </w:rPr>
              <w:t>2</w:t>
            </w:r>
            <w:r w:rsidR="00DB2508">
              <w:rPr>
                <w:rFonts w:ascii="Arial" w:hAnsi="Arial" w:cs="Arial"/>
                <w:sz w:val="22"/>
                <w:szCs w:val="22"/>
              </w:rPr>
              <w:t>6</w:t>
            </w:r>
            <w:r w:rsidR="00003785">
              <w:rPr>
                <w:rFonts w:ascii="Arial" w:hAnsi="Arial" w:cs="Arial"/>
                <w:sz w:val="22"/>
                <w:szCs w:val="22"/>
              </w:rPr>
              <w:t>0</w:t>
            </w:r>
            <w:r>
              <w:rPr>
                <w:rFonts w:ascii="Arial" w:hAnsi="Arial" w:cs="Arial"/>
                <w:sz w:val="22"/>
                <w:szCs w:val="22"/>
              </w:rPr>
              <w:t>,00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2DB5005" w:rsidR="003359FF" w:rsidRPr="00A11229" w:rsidRDefault="00DB2508" w:rsidP="00EE7ED0">
            <w:pPr>
              <w:pStyle w:val="ATekstas"/>
              <w:ind w:firstLine="0"/>
              <w:rPr>
                <w:rFonts w:ascii="Arial" w:hAnsi="Arial" w:cs="Arial"/>
                <w:sz w:val="22"/>
                <w:szCs w:val="22"/>
              </w:rPr>
            </w:pPr>
            <w:r>
              <w:rPr>
                <w:rFonts w:ascii="Arial" w:hAnsi="Arial" w:cs="Arial"/>
                <w:sz w:val="22"/>
                <w:szCs w:val="22"/>
                <w:lang w:bidi="lo-LA"/>
              </w:rPr>
              <w:t>314,60</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10"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10"/>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w:t>
            </w:r>
            <w:r w:rsidR="003359FF" w:rsidRPr="00A11229">
              <w:rPr>
                <w:rFonts w:ascii="Arial" w:hAnsi="Arial" w:cs="Arial"/>
                <w:sz w:val="22"/>
                <w:szCs w:val="22"/>
              </w:rPr>
              <w:lastRenderedPageBreak/>
              <w:t xml:space="preserve">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A11229">
              <w:rPr>
                <w:rFonts w:ascii="Arial" w:hAnsi="Arial" w:cs="Arial"/>
                <w:sz w:val="22"/>
                <w:szCs w:val="22"/>
              </w:rPr>
              <w:lastRenderedPageBreak/>
              <w:t xml:space="preserve">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lastRenderedPageBreak/>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lastRenderedPageBreak/>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A11229"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16D40E42" w14:textId="7FD7A3B2" w:rsidR="001E1150" w:rsidRDefault="00333BD4" w:rsidP="00EE7ED0">
      <w:pPr>
        <w:pStyle w:val="Sraopastraipa"/>
        <w:tabs>
          <w:tab w:val="left" w:pos="993"/>
        </w:tabs>
        <w:spacing w:after="0" w:line="240" w:lineRule="auto"/>
        <w:ind w:left="0" w:right="23"/>
        <w:jc w:val="both"/>
        <w:rPr>
          <w:rFonts w:ascii="Arial" w:hAnsi="Arial" w:cs="Arial"/>
          <w:lang w:eastAsia="x-none"/>
        </w:rPr>
      </w:pPr>
      <w:r w:rsidRPr="00A11229">
        <w:rPr>
          <w:rFonts w:ascii="Arial" w:eastAsia="Calibri" w:hAnsi="Arial" w:cs="Arial"/>
          <w:lang w:eastAsia="x-none"/>
        </w:rPr>
        <w:t xml:space="preserve">         </w:t>
      </w:r>
      <w:r w:rsidR="001E1150">
        <w:rPr>
          <w:rFonts w:ascii="Arial" w:hAnsi="Arial" w:cs="Arial"/>
          <w:lang w:eastAsia="x-none"/>
        </w:rPr>
        <w:t xml:space="preserve">            </w:t>
      </w:r>
      <w:proofErr w:type="spellStart"/>
      <w:r w:rsidR="001E1150">
        <w:rPr>
          <w:rFonts w:ascii="Arial" w:hAnsi="Arial" w:cs="Arial"/>
          <w:lang w:eastAsia="x-none"/>
        </w:rPr>
        <w:t>P.o.d</w:t>
      </w:r>
      <w:proofErr w:type="spellEnd"/>
      <w:r w:rsidR="001E1150">
        <w:rPr>
          <w:rFonts w:ascii="Arial" w:hAnsi="Arial" w:cs="Arial"/>
          <w:lang w:eastAsia="x-none"/>
        </w:rPr>
        <w:t>. Nr. 22 -</w:t>
      </w:r>
      <w:r w:rsidR="00DB2508">
        <w:rPr>
          <w:rFonts w:ascii="Arial" w:eastAsia="Calibri" w:hAnsi="Arial" w:cs="Arial"/>
          <w:lang w:eastAsia="x-none"/>
        </w:rPr>
        <w:t xml:space="preserve">666929,51 (šeši šimtai šešiasdešimt šeši tūkstančiai devyni šimtai dvidešimt devyni 0,51) EUR </w:t>
      </w:r>
      <w:r w:rsidR="00DB2508" w:rsidRPr="009C1A07">
        <w:rPr>
          <w:rFonts w:ascii="Arial" w:eastAsia="Calibri" w:hAnsi="Arial" w:cs="Arial"/>
          <w:lang w:eastAsia="x-none"/>
        </w:rPr>
        <w:t xml:space="preserve">neįskaitant </w:t>
      </w:r>
      <w:r w:rsidR="00DB2508" w:rsidRPr="009C1A07">
        <w:rPr>
          <w:rFonts w:ascii="Arial" w:eastAsia="Calibri" w:hAnsi="Arial" w:cs="Arial"/>
          <w:bCs/>
          <w:lang w:eastAsia="x-none"/>
        </w:rPr>
        <w:t>PVM</w:t>
      </w:r>
      <w:r w:rsidR="00DB2508" w:rsidRPr="009C1A07">
        <w:rPr>
          <w:rFonts w:ascii="Arial" w:eastAsia="Calibri" w:hAnsi="Arial" w:cs="Arial"/>
          <w:lang w:eastAsia="x-none"/>
        </w:rPr>
        <w:t xml:space="preserve">. Preliminariai sutarčiai taikomas </w:t>
      </w:r>
      <w:r w:rsidR="00DB2508">
        <w:rPr>
          <w:rFonts w:ascii="Arial" w:eastAsia="Calibri" w:hAnsi="Arial" w:cs="Arial"/>
          <w:lang w:eastAsia="x-none"/>
        </w:rPr>
        <w:t>21</w:t>
      </w:r>
      <w:r w:rsidR="00DB2508" w:rsidRPr="009C1A07">
        <w:rPr>
          <w:rFonts w:ascii="Arial" w:eastAsia="Calibri" w:hAnsi="Arial" w:cs="Arial"/>
          <w:color w:val="538135" w:themeColor="accent6" w:themeShade="BF"/>
          <w:lang w:eastAsia="x-none"/>
        </w:rPr>
        <w:t xml:space="preserve"> </w:t>
      </w:r>
      <w:r w:rsidR="00DB2508" w:rsidRPr="009C1A07">
        <w:rPr>
          <w:rFonts w:ascii="Arial" w:eastAsia="Calibri" w:hAnsi="Arial" w:cs="Arial"/>
          <w:lang w:eastAsia="x-none"/>
        </w:rPr>
        <w:t xml:space="preserve">proc. dydžio PVM. Preliminarios sutarties maksimali kaina, įskaitant PVM – </w:t>
      </w:r>
      <w:r w:rsidR="00DB2508">
        <w:rPr>
          <w:rFonts w:ascii="Arial" w:eastAsia="Calibri" w:hAnsi="Arial" w:cs="Arial"/>
          <w:lang w:eastAsia="x-none"/>
        </w:rPr>
        <w:t>806984,71 (aštuoni šimtai šeši tūkstančiai devyni šimtai aštuoniasdešimt keturi 0,71) EUR</w:t>
      </w:r>
      <w:r w:rsidR="00AC4CDF">
        <w:rPr>
          <w:rFonts w:ascii="Arial" w:eastAsia="Calibri" w:hAnsi="Arial" w:cs="Arial"/>
          <w:lang w:eastAsia="x-none"/>
        </w:rPr>
        <w:t>.</w:t>
      </w:r>
    </w:p>
    <w:p w14:paraId="054B9396" w14:textId="6033BC5D" w:rsidR="00D87AE3" w:rsidRPr="00A11229" w:rsidRDefault="00D87AE3"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w:t>
      </w:r>
      <w:proofErr w:type="spellStart"/>
      <w:r w:rsidR="00DD0FF8" w:rsidRPr="00A11229">
        <w:rPr>
          <w:rFonts w:ascii="Arial" w:eastAsia="Calibri" w:hAnsi="Arial" w:cs="Arial"/>
          <w:i/>
          <w:iCs/>
          <w:color w:val="FF0000"/>
          <w:lang w:eastAsia="x-none"/>
        </w:rPr>
        <w:t>p.o.d</w:t>
      </w:r>
      <w:proofErr w:type="spellEnd"/>
      <w:r w:rsidR="00DD0FF8" w:rsidRPr="00A11229">
        <w:rPr>
          <w:rFonts w:ascii="Arial" w:eastAsia="Calibri" w:hAnsi="Arial" w:cs="Arial"/>
          <w:i/>
          <w:iCs/>
          <w:color w:val="FF0000"/>
          <w:lang w:eastAsia="x-none"/>
        </w:rPr>
        <w:t xml:space="preserve">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1"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1"/>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2" w:name="_Hlk148521871"/>
      <w:r w:rsidR="005D3420" w:rsidRPr="001B3427">
        <w:rPr>
          <w:rFonts w:ascii="Arial" w:hAnsi="Arial" w:cs="Arial"/>
          <w:sz w:val="22"/>
          <w:szCs w:val="22"/>
          <w:lang w:val="lt-LT"/>
        </w:rPr>
        <w:t>Duomenų agentūra</w:t>
      </w:r>
      <w:bookmarkEnd w:id="12"/>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240A28"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9"/>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3"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w:t>
      </w:r>
      <w:r w:rsidRPr="00A11229">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3"/>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4"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4"/>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5"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5"/>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w:t>
      </w:r>
      <w:r w:rsidR="00F27F5C" w:rsidRPr="00A11229">
        <w:rPr>
          <w:rFonts w:ascii="Arial" w:hAnsi="Arial" w:cs="Arial"/>
        </w:rPr>
        <w:lastRenderedPageBreak/>
        <w:t>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6"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6"/>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 xml:space="preserve">reikalauti nušalinti nuo darbo neblaivius ar darbų saugos reikalavimus pažeidžiančius </w:t>
      </w:r>
      <w:r w:rsidR="004E3D78" w:rsidRPr="00A11229">
        <w:rPr>
          <w:rFonts w:ascii="Arial" w:hAnsi="Arial" w:cs="Arial"/>
          <w:sz w:val="22"/>
          <w:szCs w:val="22"/>
          <w:lang w:val="lt-LT"/>
        </w:rPr>
        <w:lastRenderedPageBreak/>
        <w:t>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7"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7"/>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8"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8"/>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9"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9"/>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20" w:name="_Hlk41552558"/>
      <w:bookmarkStart w:id="21" w:name="_Hlk28336466"/>
      <w:bookmarkStart w:id="22"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20"/>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1"/>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04126B49" w14:textId="7D67B2E6" w:rsidR="00BE7029" w:rsidRPr="00A11229" w:rsidRDefault="00BE7029" w:rsidP="001E1150">
      <w:pPr>
        <w:pStyle w:val="Pagrindinistekstas"/>
        <w:tabs>
          <w:tab w:val="left" w:pos="0"/>
          <w:tab w:val="left" w:pos="426"/>
          <w:tab w:val="left" w:pos="709"/>
        </w:tabs>
        <w:spacing w:after="0" w:line="240" w:lineRule="auto"/>
        <w:rPr>
          <w:rFonts w:ascii="Arial" w:hAnsi="Arial" w:cs="Arial"/>
        </w:rPr>
      </w:pPr>
      <w:r w:rsidRPr="00A11229">
        <w:rPr>
          <w:rFonts w:ascii="Arial" w:hAnsi="Arial" w:cs="Arial"/>
          <w:b/>
          <w:caps/>
          <w:color w:val="FF0000"/>
        </w:rPr>
        <w:tab/>
      </w:r>
      <w:r w:rsidR="00C238B5" w:rsidRPr="00A11229">
        <w:rPr>
          <w:rFonts w:ascii="Arial" w:hAnsi="Arial" w:cs="Arial"/>
        </w:rPr>
        <w:t>10</w:t>
      </w:r>
      <w:r w:rsidRPr="00A11229">
        <w:rPr>
          <w:rFonts w:ascii="Arial" w:hAnsi="Arial" w:cs="Arial"/>
        </w:rPr>
        <w:t xml:space="preserve">.1. Iki Sutarties vykdymo pradžios </w:t>
      </w:r>
      <w:r w:rsidR="00335148" w:rsidRPr="00A11229">
        <w:rPr>
          <w:rFonts w:ascii="Arial" w:hAnsi="Arial" w:cs="Arial"/>
        </w:rPr>
        <w:t>Paslaugų tei</w:t>
      </w:r>
      <w:r w:rsidRPr="00A11229">
        <w:rPr>
          <w:rFonts w:ascii="Arial" w:hAnsi="Arial" w:cs="Arial"/>
        </w:rPr>
        <w:t xml:space="preserve">kėjas įsipareigoja </w:t>
      </w:r>
      <w:r w:rsidR="00335148" w:rsidRPr="00A11229">
        <w:rPr>
          <w:rFonts w:ascii="Arial" w:hAnsi="Arial" w:cs="Arial"/>
        </w:rPr>
        <w:t>Užsakovui</w:t>
      </w:r>
      <w:r w:rsidRPr="00A11229">
        <w:rPr>
          <w:rFonts w:ascii="Arial" w:hAnsi="Arial" w:cs="Arial"/>
        </w:rPr>
        <w:t xml:space="preserve"> pranešti tuo metu žinomo </w:t>
      </w:r>
      <w:r w:rsidR="00594940" w:rsidRPr="00A11229">
        <w:rPr>
          <w:rFonts w:ascii="Arial" w:hAnsi="Arial" w:cs="Arial"/>
        </w:rPr>
        <w:t>S</w:t>
      </w:r>
      <w:r w:rsidRPr="00A11229">
        <w:rPr>
          <w:rFonts w:ascii="Arial" w:hAnsi="Arial" w:cs="Arial"/>
        </w:rPr>
        <w:t>ubte</w:t>
      </w:r>
      <w:r w:rsidR="00594940" w:rsidRPr="00A11229">
        <w:rPr>
          <w:rFonts w:ascii="Arial" w:hAnsi="Arial" w:cs="Arial"/>
        </w:rPr>
        <w:t>i</w:t>
      </w:r>
      <w:r w:rsidRPr="00A11229">
        <w:rPr>
          <w:rFonts w:ascii="Arial" w:hAnsi="Arial" w:cs="Arial"/>
        </w:rPr>
        <w:t xml:space="preserve">kėjo pavadinimą, kontaktinius duomenis ir jo atstovus. </w:t>
      </w:r>
      <w:r w:rsidR="00335148" w:rsidRPr="00A11229">
        <w:rPr>
          <w:rFonts w:ascii="Arial" w:hAnsi="Arial" w:cs="Arial"/>
        </w:rPr>
        <w:t>Paslaugų tei</w:t>
      </w:r>
      <w:r w:rsidRPr="00A11229">
        <w:rPr>
          <w:rFonts w:ascii="Arial" w:hAnsi="Arial" w:cs="Arial"/>
        </w:rPr>
        <w:t xml:space="preserve">kėjas privalo </w:t>
      </w:r>
      <w:r w:rsidR="00594940" w:rsidRPr="00A11229">
        <w:rPr>
          <w:rFonts w:ascii="Arial" w:hAnsi="Arial" w:cs="Arial"/>
        </w:rPr>
        <w:t xml:space="preserve">Sutarties </w:t>
      </w:r>
      <w:r w:rsidRPr="00A11229">
        <w:rPr>
          <w:rFonts w:ascii="Arial" w:hAnsi="Arial" w:cs="Arial"/>
        </w:rPr>
        <w:t xml:space="preserve">Bendrosiose sąlygose nustatyta tvarka ir terminais informuoti </w:t>
      </w:r>
      <w:r w:rsidR="00335148" w:rsidRPr="00A11229">
        <w:rPr>
          <w:rFonts w:ascii="Arial" w:hAnsi="Arial" w:cs="Arial"/>
        </w:rPr>
        <w:t>Užsakovą</w:t>
      </w:r>
      <w:r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lastRenderedPageBreak/>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lastRenderedPageBreak/>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3" w:name="part_8f4dadbdf27c4882b72f57a56c9631ad"/>
      <w:bookmarkStart w:id="24" w:name="part_9fd9687904354f69bb532178a7959ebe"/>
      <w:bookmarkEnd w:id="22"/>
      <w:bookmarkEnd w:id="23"/>
      <w:bookmarkEnd w:id="24"/>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5" w:name="_Toc438559501"/>
      <w:bookmarkStart w:id="26"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3B6101E5" w:rsidR="00BE7029" w:rsidRPr="00A11229" w:rsidRDefault="00C238B5" w:rsidP="00EE7ED0">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w:t>
      </w:r>
      <w:r w:rsidR="009878E2" w:rsidRPr="00A11229">
        <w:rPr>
          <w:rFonts w:ascii="Arial" w:hAnsi="Arial" w:cs="Arial"/>
          <w:color w:val="000000"/>
          <w:sz w:val="22"/>
          <w:szCs w:val="22"/>
          <w:lang w:val="lt-LT"/>
        </w:rPr>
        <w:lastRenderedPageBreak/>
        <w:t xml:space="preserve">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785AABE9" w14:textId="32750EA0" w:rsidR="00E641B5" w:rsidRPr="00A11229" w:rsidRDefault="00E641B5" w:rsidP="00EE7ED0">
      <w:pPr>
        <w:widowControl w:val="0"/>
        <w:spacing w:after="0" w:line="240" w:lineRule="auto"/>
        <w:ind w:firstLine="360"/>
        <w:jc w:val="both"/>
        <w:rPr>
          <w:rFonts w:ascii="Arial" w:hAnsi="Arial" w:cs="Arial"/>
          <w:lang w:eastAsia="x-none"/>
        </w:rPr>
      </w:pP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5DE49524" w:rsidR="00611A06"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253A7400" w14:textId="24C1575D" w:rsidR="001E1150" w:rsidRPr="001E1150" w:rsidRDefault="001E1150"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7 priedas -</w:t>
      </w:r>
      <w:r w:rsidRPr="001E1150">
        <w:rPr>
          <w:rStyle w:val="Laukeliai"/>
          <w:rFonts w:eastAsia="Times New Roman"/>
          <w:b/>
          <w:sz w:val="22"/>
        </w:rPr>
        <w:t xml:space="preserve"> </w:t>
      </w:r>
      <w:r w:rsidRPr="001E1150">
        <w:rPr>
          <w:rStyle w:val="Laukeliai"/>
          <w:rFonts w:eastAsia="Times New Roman"/>
          <w:sz w:val="22"/>
        </w:rPr>
        <w:t>Atsakingų asmenų kontaktiniai duomenys</w:t>
      </w:r>
    </w:p>
    <w:p w14:paraId="170AF6BD" w14:textId="77777777" w:rsidR="004C0CF5" w:rsidRPr="001E1150" w:rsidRDefault="004C0CF5" w:rsidP="00EE7ED0">
      <w:pPr>
        <w:widowControl w:val="0"/>
        <w:spacing w:after="0" w:line="240" w:lineRule="auto"/>
        <w:ind w:firstLine="360"/>
        <w:jc w:val="both"/>
        <w:rPr>
          <w:rFonts w:ascii="Arial" w:hAnsi="Arial" w:cs="Arial"/>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5"/>
      <w:bookmarkEnd w:id="26"/>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A11229" w14:paraId="4888E189" w14:textId="77777777" w:rsidTr="00991E56">
        <w:trPr>
          <w:trHeight w:val="342"/>
        </w:trPr>
        <w:tc>
          <w:tcPr>
            <w:tcW w:w="4986"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A10AED2" w14:textId="77777777" w:rsidR="00DB2508" w:rsidRPr="00AF4B8B" w:rsidRDefault="00DB2508" w:rsidP="00DB2508">
            <w:pPr>
              <w:pStyle w:val="ATekstas"/>
              <w:ind w:left="360" w:firstLine="0"/>
              <w:rPr>
                <w:rFonts w:ascii="Arial" w:hAnsi="Arial" w:cs="Arial"/>
                <w:b/>
                <w:sz w:val="22"/>
                <w:szCs w:val="22"/>
              </w:rPr>
            </w:pPr>
            <w:r w:rsidRPr="003221CB">
              <w:rPr>
                <w:rFonts w:ascii="Arial" w:hAnsi="Arial" w:cs="Arial"/>
                <w:b/>
                <w:iCs/>
                <w:sz w:val="22"/>
                <w:szCs w:val="22"/>
                <w:lang w:eastAsia="ar-SA"/>
              </w:rPr>
              <w:t>UAB „</w:t>
            </w:r>
            <w:proofErr w:type="spellStart"/>
            <w:r>
              <w:rPr>
                <w:rFonts w:ascii="Arial" w:hAnsi="Arial" w:cs="Arial"/>
                <w:b/>
                <w:iCs/>
                <w:sz w:val="22"/>
                <w:szCs w:val="22"/>
                <w:lang w:eastAsia="ar-SA"/>
              </w:rPr>
              <w:t>Retma</w:t>
            </w:r>
            <w:proofErr w:type="spellEnd"/>
            <w:r>
              <w:rPr>
                <w:rFonts w:ascii="Arial" w:hAnsi="Arial" w:cs="Arial"/>
                <w:b/>
                <w:iCs/>
                <w:sz w:val="22"/>
                <w:szCs w:val="22"/>
                <w:lang w:eastAsia="ar-SA"/>
              </w:rPr>
              <w:t xml:space="preserve"> LT</w:t>
            </w:r>
            <w:r w:rsidRPr="003221CB">
              <w:rPr>
                <w:rFonts w:ascii="Arial" w:hAnsi="Arial" w:cs="Arial"/>
                <w:b/>
                <w:iCs/>
                <w:sz w:val="22"/>
                <w:szCs w:val="22"/>
                <w:lang w:eastAsia="ar-SA"/>
              </w:rPr>
              <w:t>“</w:t>
            </w:r>
          </w:p>
          <w:p w14:paraId="0F444146" w14:textId="0FEF3437" w:rsidR="00540279" w:rsidRPr="00A11229" w:rsidRDefault="00540279"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F5527B" w:rsidRPr="00A11229" w14:paraId="78E67562" w14:textId="77777777" w:rsidTr="00991E56">
        <w:trPr>
          <w:trHeight w:val="682"/>
        </w:trPr>
        <w:tc>
          <w:tcPr>
            <w:tcW w:w="4986" w:type="dxa"/>
            <w:shd w:val="clear" w:color="auto" w:fill="auto"/>
          </w:tcPr>
          <w:p w14:paraId="61E3FEC3"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Įmonės kodas 132340880</w:t>
            </w:r>
          </w:p>
          <w:p w14:paraId="02B15F47"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PVM mokėtojo kodas LT323408811</w:t>
            </w:r>
          </w:p>
          <w:p w14:paraId="69A0D180"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Registracijos adresas: Pramonės pr. 11A, 51327 Kaunas</w:t>
            </w:r>
          </w:p>
          <w:p w14:paraId="599209DF"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Buveinės adresas: Savanorių pr. 176, 03154 Vilnius</w:t>
            </w:r>
          </w:p>
          <w:p w14:paraId="52918FD8" w14:textId="77777777" w:rsidR="001E1150" w:rsidRPr="001E1150" w:rsidRDefault="001E1150" w:rsidP="001E1150">
            <w:pPr>
              <w:suppressAutoHyphens/>
              <w:spacing w:after="0" w:line="240" w:lineRule="auto"/>
              <w:rPr>
                <w:rFonts w:ascii="Arial" w:hAnsi="Arial" w:cs="Arial"/>
                <w:lang w:eastAsia="ar-SA"/>
              </w:rPr>
            </w:pPr>
            <w:r w:rsidRPr="001E1150">
              <w:rPr>
                <w:rFonts w:ascii="Arial" w:hAnsi="Arial" w:cs="Arial"/>
                <w:lang w:eastAsia="ar-SA"/>
              </w:rPr>
              <w:t xml:space="preserve">Užsakovo Trakų regioninio padalinio kontaktinis adresas: Miškininkų g.8, </w:t>
            </w:r>
            <w:proofErr w:type="spellStart"/>
            <w:r w:rsidRPr="001E1150">
              <w:rPr>
                <w:rFonts w:ascii="Arial" w:hAnsi="Arial" w:cs="Arial"/>
                <w:lang w:eastAsia="ar-SA"/>
              </w:rPr>
              <w:t>Rubežių</w:t>
            </w:r>
            <w:proofErr w:type="spellEnd"/>
            <w:r w:rsidRPr="001E1150">
              <w:rPr>
                <w:rFonts w:ascii="Arial" w:hAnsi="Arial" w:cs="Arial"/>
                <w:lang w:eastAsia="ar-SA"/>
              </w:rPr>
              <w:t xml:space="preserve"> k., Trakų r.</w:t>
            </w:r>
          </w:p>
          <w:p w14:paraId="72BEA35D" w14:textId="0D7879C4" w:rsidR="00540279" w:rsidRPr="00A11229" w:rsidRDefault="00540279" w:rsidP="006F7120">
            <w:pPr>
              <w:suppressAutoHyphens/>
              <w:spacing w:after="0" w:line="240" w:lineRule="auto"/>
              <w:rPr>
                <w:rFonts w:ascii="Arial" w:eastAsia="Times New Roman" w:hAnsi="Arial" w:cs="Arial"/>
                <w:bCs/>
                <w:i/>
                <w:iCs/>
                <w:lang w:eastAsia="ar-SA"/>
              </w:rPr>
            </w:pPr>
          </w:p>
        </w:tc>
        <w:tc>
          <w:tcPr>
            <w:tcW w:w="4636" w:type="dxa"/>
            <w:shd w:val="clear" w:color="auto" w:fill="auto"/>
          </w:tcPr>
          <w:p w14:paraId="588039FE" w14:textId="77777777" w:rsidR="00DB2508" w:rsidRPr="003221CB" w:rsidRDefault="00DB2508" w:rsidP="00DB2508">
            <w:pPr>
              <w:suppressAutoHyphens/>
              <w:spacing w:after="0" w:line="240" w:lineRule="auto"/>
              <w:rPr>
                <w:rFonts w:ascii="Arial" w:hAnsi="Arial" w:cs="Arial"/>
                <w:lang w:eastAsia="ar-SA"/>
              </w:rPr>
            </w:pPr>
            <w:r w:rsidRPr="003221CB">
              <w:rPr>
                <w:rFonts w:ascii="Arial" w:hAnsi="Arial" w:cs="Arial"/>
                <w:lang w:eastAsia="ar-SA"/>
              </w:rPr>
              <w:t xml:space="preserve">Įmonės kodas </w:t>
            </w:r>
            <w:r>
              <w:rPr>
                <w:rFonts w:ascii="Arial" w:hAnsi="Arial" w:cs="Arial"/>
                <w:lang w:eastAsia="ar-SA"/>
              </w:rPr>
              <w:t>302499601</w:t>
            </w:r>
          </w:p>
          <w:p w14:paraId="4A3DAEB2" w14:textId="77777777" w:rsidR="00DB2508" w:rsidRPr="00DB2508" w:rsidRDefault="00DB2508" w:rsidP="00DB2508">
            <w:pPr>
              <w:suppressAutoHyphens/>
              <w:spacing w:after="0" w:line="240" w:lineRule="auto"/>
              <w:rPr>
                <w:rFonts w:ascii="Arial" w:hAnsi="Arial" w:cs="Arial"/>
                <w:lang w:eastAsia="ar-SA"/>
              </w:rPr>
            </w:pPr>
            <w:r w:rsidRPr="00DB2508">
              <w:rPr>
                <w:rFonts w:ascii="Arial" w:hAnsi="Arial" w:cs="Arial"/>
                <w:lang w:eastAsia="ar-SA"/>
              </w:rPr>
              <w:t xml:space="preserve">PVM mokėtojo kodas </w:t>
            </w:r>
            <w:r>
              <w:rPr>
                <w:rFonts w:ascii="Arial" w:hAnsi="Arial" w:cs="Arial"/>
                <w:lang w:eastAsia="ar-SA"/>
              </w:rPr>
              <w:t>LT100005612517</w:t>
            </w:r>
          </w:p>
          <w:p w14:paraId="3B63D24F" w14:textId="77777777" w:rsidR="00DB2508" w:rsidRPr="00DB2508" w:rsidRDefault="00DB2508" w:rsidP="00DB2508">
            <w:pPr>
              <w:suppressAutoHyphens/>
              <w:spacing w:after="0" w:line="240" w:lineRule="auto"/>
              <w:rPr>
                <w:rFonts w:ascii="Arial" w:hAnsi="Arial" w:cs="Arial"/>
                <w:lang w:eastAsia="ar-SA"/>
              </w:rPr>
            </w:pPr>
            <w:r w:rsidRPr="00DB2508">
              <w:rPr>
                <w:rFonts w:ascii="Arial" w:hAnsi="Arial" w:cs="Arial"/>
                <w:lang w:eastAsia="ar-SA"/>
              </w:rPr>
              <w:t xml:space="preserve">Registruotos buveinės adresas: Alyvų g. 17, </w:t>
            </w:r>
            <w:proofErr w:type="spellStart"/>
            <w:r w:rsidRPr="00DB2508">
              <w:rPr>
                <w:rFonts w:ascii="Arial" w:hAnsi="Arial" w:cs="Arial"/>
                <w:lang w:eastAsia="ar-SA"/>
              </w:rPr>
              <w:t>Petronys</w:t>
            </w:r>
            <w:proofErr w:type="spellEnd"/>
            <w:r w:rsidRPr="00DB2508">
              <w:rPr>
                <w:rFonts w:ascii="Arial" w:hAnsi="Arial" w:cs="Arial"/>
                <w:lang w:eastAsia="ar-SA"/>
              </w:rPr>
              <w:t xml:space="preserve">, Ukmergės r. </w:t>
            </w:r>
          </w:p>
          <w:p w14:paraId="7F87ECE6" w14:textId="77777777" w:rsidR="00DB2508" w:rsidRPr="00DB2508" w:rsidRDefault="00DB2508" w:rsidP="00DB2508">
            <w:pPr>
              <w:suppressAutoHyphens/>
              <w:spacing w:after="0" w:line="240" w:lineRule="auto"/>
              <w:rPr>
                <w:rFonts w:ascii="Arial" w:hAnsi="Arial" w:cs="Arial"/>
                <w:lang w:eastAsia="ar-SA"/>
              </w:rPr>
            </w:pPr>
          </w:p>
          <w:p w14:paraId="1C982958" w14:textId="77777777" w:rsidR="00DB2508" w:rsidRPr="00DB2508" w:rsidRDefault="00DB2508" w:rsidP="00DB2508">
            <w:pPr>
              <w:suppressAutoHyphens/>
              <w:spacing w:after="0" w:line="240" w:lineRule="auto"/>
              <w:rPr>
                <w:rFonts w:ascii="Arial" w:hAnsi="Arial" w:cs="Arial"/>
                <w:lang w:eastAsia="ar-SA"/>
              </w:rPr>
            </w:pPr>
          </w:p>
          <w:p w14:paraId="1476DD21" w14:textId="77777777" w:rsidR="00DB2508" w:rsidRPr="00DB2508" w:rsidRDefault="00DB2508" w:rsidP="00DB2508">
            <w:pPr>
              <w:suppressAutoHyphens/>
              <w:spacing w:after="0" w:line="240" w:lineRule="auto"/>
              <w:rPr>
                <w:rFonts w:ascii="Arial" w:hAnsi="Arial" w:cs="Arial"/>
                <w:lang w:eastAsia="ar-SA"/>
              </w:rPr>
            </w:pPr>
          </w:p>
          <w:p w14:paraId="431F9A39" w14:textId="77777777" w:rsidR="00540279" w:rsidRDefault="00540279" w:rsidP="00DB2508">
            <w:pPr>
              <w:suppressAutoHyphens/>
              <w:spacing w:after="0" w:line="240" w:lineRule="auto"/>
              <w:rPr>
                <w:rFonts w:ascii="Arial" w:eastAsia="Times New Roman" w:hAnsi="Arial" w:cs="Arial"/>
                <w:bCs/>
                <w:iCs/>
                <w:lang w:eastAsia="ar-SA"/>
              </w:rPr>
            </w:pPr>
          </w:p>
          <w:p w14:paraId="5354D7C5" w14:textId="0D925DA7" w:rsidR="006F7120" w:rsidRPr="00A11229" w:rsidRDefault="006F7120" w:rsidP="00DB2508">
            <w:pPr>
              <w:suppressAutoHyphens/>
              <w:spacing w:after="0" w:line="240" w:lineRule="auto"/>
              <w:rPr>
                <w:rFonts w:ascii="Arial" w:eastAsia="Times New Roman" w:hAnsi="Arial" w:cs="Arial"/>
                <w:bCs/>
                <w:iCs/>
                <w:lang w:eastAsia="ar-SA"/>
              </w:rPr>
            </w:pPr>
          </w:p>
        </w:tc>
      </w:tr>
      <w:tr w:rsidR="001E1150" w14:paraId="139889A1" w14:textId="77777777" w:rsidTr="001E1150">
        <w:trPr>
          <w:trHeight w:val="68"/>
        </w:trPr>
        <w:tc>
          <w:tcPr>
            <w:tcW w:w="4986" w:type="dxa"/>
            <w:shd w:val="clear" w:color="auto" w:fill="auto"/>
          </w:tcPr>
          <w:p w14:paraId="3294EEC9" w14:textId="77777777" w:rsidR="001E1150" w:rsidRDefault="001E1150" w:rsidP="001E115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636" w:type="dxa"/>
            <w:shd w:val="clear" w:color="auto" w:fill="auto"/>
          </w:tcPr>
          <w:p w14:paraId="16995682" w14:textId="7F18953E" w:rsidR="001E1150" w:rsidRPr="001E1150" w:rsidRDefault="00003785" w:rsidP="001E1150">
            <w:pPr>
              <w:suppressAutoHyphens/>
              <w:spacing w:after="0" w:line="240" w:lineRule="auto"/>
              <w:ind w:firstLine="360"/>
              <w:rPr>
                <w:rFonts w:ascii="Arial" w:hAnsi="Arial" w:cs="Arial"/>
                <w:lang w:eastAsia="ar-SA"/>
              </w:rPr>
            </w:pPr>
            <w:r>
              <w:rPr>
                <w:rFonts w:ascii="Arial" w:hAnsi="Arial" w:cs="Arial"/>
                <w:lang w:eastAsia="ar-SA"/>
              </w:rPr>
              <w:t xml:space="preserve">Direktorius </w:t>
            </w:r>
            <w:r w:rsidR="00DB2508">
              <w:rPr>
                <w:rFonts w:ascii="Arial" w:hAnsi="Arial" w:cs="Arial"/>
                <w:lang w:eastAsia="ar-SA"/>
              </w:rPr>
              <w:t>Darius Kinta</w:t>
            </w:r>
          </w:p>
        </w:tc>
      </w:tr>
    </w:tbl>
    <w:p w14:paraId="325487CD" w14:textId="77777777" w:rsidR="00B46FF9" w:rsidRDefault="00B46FF9" w:rsidP="00EE7ED0">
      <w:pPr>
        <w:spacing w:after="0" w:line="240" w:lineRule="auto"/>
        <w:ind w:firstLine="360"/>
        <w:rPr>
          <w:rFonts w:ascii="Arial" w:hAnsi="Arial" w:cs="Arial"/>
          <w:noProof/>
          <w:lang w:eastAsia="x-none"/>
        </w:rPr>
      </w:pPr>
    </w:p>
    <w:p w14:paraId="6888D543" w14:textId="0014A041"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6108AC8A"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p>
    <w:p w14:paraId="24D0083F" w14:textId="56F8817E"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A11229">
        <w:rPr>
          <w:rFonts w:ascii="Arial" w:hAnsi="Arial" w:cs="Arial"/>
          <w:i/>
          <w:iCs/>
          <w:noProof/>
          <w:color w:val="FF0000"/>
          <w:lang w:eastAsia="x-none"/>
        </w:rPr>
        <w:t>(jei taikoma)</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bookmarkStart w:id="27" w:name="_GoBack"/>
      <w:bookmarkEnd w:id="27"/>
    </w:p>
    <w:sectPr w:rsidR="00BD454A"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30C0D" w14:textId="77777777" w:rsidR="00240A28" w:rsidRDefault="00240A28">
      <w:pPr>
        <w:spacing w:after="0" w:line="240" w:lineRule="auto"/>
      </w:pPr>
      <w:r>
        <w:separator/>
      </w:r>
    </w:p>
  </w:endnote>
  <w:endnote w:type="continuationSeparator" w:id="0">
    <w:p w14:paraId="2406F440" w14:textId="77777777" w:rsidR="00240A28" w:rsidRDefault="00240A28">
      <w:pPr>
        <w:spacing w:after="0" w:line="240" w:lineRule="auto"/>
      </w:pPr>
      <w:r>
        <w:continuationSeparator/>
      </w:r>
    </w:p>
  </w:endnote>
  <w:endnote w:type="continuationNotice" w:id="1">
    <w:p w14:paraId="3C5ADEC4" w14:textId="77777777" w:rsidR="00240A28" w:rsidRDefault="00240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B49E7" w14:textId="77777777" w:rsidR="00240A28" w:rsidRDefault="00240A28">
      <w:pPr>
        <w:spacing w:after="0" w:line="240" w:lineRule="auto"/>
      </w:pPr>
      <w:r>
        <w:separator/>
      </w:r>
    </w:p>
  </w:footnote>
  <w:footnote w:type="continuationSeparator" w:id="0">
    <w:p w14:paraId="3CEC351F" w14:textId="77777777" w:rsidR="00240A28" w:rsidRDefault="00240A28">
      <w:pPr>
        <w:spacing w:after="0" w:line="240" w:lineRule="auto"/>
      </w:pPr>
      <w:r>
        <w:continuationSeparator/>
      </w:r>
    </w:p>
  </w:footnote>
  <w:footnote w:type="continuationNotice" w:id="1">
    <w:p w14:paraId="4A3335C4" w14:textId="77777777" w:rsidR="00240A28" w:rsidRDefault="00240A28">
      <w:pPr>
        <w:spacing w:after="0" w:line="240" w:lineRule="auto"/>
      </w:pPr>
    </w:p>
  </w:footnote>
  <w:footnote w:id="2">
    <w:p w14:paraId="24B476E4" w14:textId="512DBB56" w:rsidR="002B466B" w:rsidRPr="00666F40" w:rsidRDefault="002B466B">
      <w:pPr>
        <w:pStyle w:val="Puslapioinaostekstas"/>
      </w:pPr>
      <w:r>
        <w:rPr>
          <w:rStyle w:val="Puslapioinaosnuoroda"/>
        </w:rPr>
        <w:footnoteRef/>
      </w:r>
      <w:r>
        <w:t xml:space="preserve"> T.y. laikotarpiu </w:t>
      </w:r>
      <w:r>
        <w:rPr>
          <w:lang w:val="en-US"/>
        </w:rPr>
        <w:t>nuo sutarties sudarymo</w:t>
      </w:r>
      <w:r w:rsidRPr="00C073B1">
        <w:rPr>
          <w:lang w:val="en-US"/>
        </w:rPr>
        <w:t xml:space="preserve"> iki 202</w:t>
      </w:r>
      <w:r>
        <w:rPr>
          <w:lang w:val="en-US"/>
        </w:rPr>
        <w:t>6</w:t>
      </w:r>
      <w:r w:rsidRPr="00C073B1">
        <w:rPr>
          <w:lang w:val="en-US"/>
        </w:rPr>
        <w:t xml:space="preserve"> m. sausio 31 d.</w:t>
      </w:r>
      <w:r>
        <w:rPr>
          <w:lang w:val="en-US"/>
        </w:rPr>
        <w:t xml:space="preserve"> su  galimybe pratęsti sutartį du kartus po  12 mėn.</w:t>
      </w:r>
      <w:r>
        <w:t xml:space="preserve">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2B466B" w:rsidRPr="006A30C4" w:rsidRDefault="002B466B">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2B466B" w:rsidRDefault="002B46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9269" w:type="dxa"/>
      <w:tblLayout w:type="fixed"/>
      <w:tblLook w:val="06A0" w:firstRow="1" w:lastRow="0" w:firstColumn="1" w:lastColumn="0" w:noHBand="1" w:noVBand="1"/>
    </w:tblPr>
    <w:tblGrid>
      <w:gridCol w:w="9639"/>
      <w:gridCol w:w="3210"/>
      <w:gridCol w:w="3210"/>
      <w:gridCol w:w="3210"/>
    </w:tblGrid>
    <w:tr w:rsidR="002B466B" w14:paraId="614AC6F8" w14:textId="77777777" w:rsidTr="004B5840">
      <w:tc>
        <w:tcPr>
          <w:tcW w:w="9639" w:type="dxa"/>
        </w:tcPr>
        <w:p w14:paraId="0DEE14FA" w14:textId="28252067" w:rsidR="002B466B" w:rsidRDefault="002B466B" w:rsidP="009F7FEC">
          <w:pPr>
            <w:tabs>
              <w:tab w:val="center" w:pos="4819"/>
              <w:tab w:val="right" w:pos="9638"/>
            </w:tabs>
            <w:spacing w:after="0" w:line="240" w:lineRule="auto"/>
            <w:jc w:val="right"/>
            <w:rPr>
              <w:szCs w:val="24"/>
            </w:rPr>
          </w:pPr>
        </w:p>
      </w:tc>
      <w:tc>
        <w:tcPr>
          <w:tcW w:w="3210" w:type="dxa"/>
        </w:tcPr>
        <w:p w14:paraId="7BC891E5" w14:textId="77777777" w:rsidR="002B466B" w:rsidRDefault="002B466B" w:rsidP="00270BBB">
          <w:pPr>
            <w:pStyle w:val="Antrats"/>
            <w:jc w:val="center"/>
            <w:rPr>
              <w:szCs w:val="24"/>
            </w:rPr>
          </w:pPr>
        </w:p>
      </w:tc>
      <w:tc>
        <w:tcPr>
          <w:tcW w:w="3210" w:type="dxa"/>
        </w:tcPr>
        <w:p w14:paraId="41E27089" w14:textId="32A4EA98" w:rsidR="002B466B" w:rsidRDefault="002B466B" w:rsidP="00270BBB">
          <w:pPr>
            <w:pStyle w:val="Antrats"/>
            <w:jc w:val="center"/>
            <w:rPr>
              <w:szCs w:val="24"/>
            </w:rPr>
          </w:pPr>
        </w:p>
      </w:tc>
      <w:tc>
        <w:tcPr>
          <w:tcW w:w="3210" w:type="dxa"/>
        </w:tcPr>
        <w:p w14:paraId="7ED6B54E" w14:textId="1D6546DD" w:rsidR="002B466B" w:rsidRDefault="002B466B" w:rsidP="00270BBB">
          <w:pPr>
            <w:pStyle w:val="Antrats"/>
            <w:ind w:right="-115"/>
            <w:jc w:val="right"/>
            <w:rPr>
              <w:szCs w:val="24"/>
            </w:rPr>
          </w:pPr>
        </w:p>
      </w:tc>
    </w:tr>
  </w:tbl>
  <w:p w14:paraId="3EB13ED0" w14:textId="3C144EAE" w:rsidR="002B466B" w:rsidRDefault="002B466B"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2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5"/>
  </w:num>
  <w:num w:numId="20">
    <w:abstractNumId w:val="1"/>
  </w:num>
  <w:num w:numId="21">
    <w:abstractNumId w:val="0"/>
  </w:num>
  <w:num w:numId="22">
    <w:abstractNumId w:val="13"/>
  </w:num>
  <w:num w:numId="23">
    <w:abstractNumId w:val="8"/>
  </w:num>
  <w:num w:numId="24">
    <w:abstractNumId w:val="23"/>
  </w:num>
  <w:num w:numId="25">
    <w:abstractNumId w:val="3"/>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3785"/>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3330"/>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2E8E"/>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A7B00"/>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150"/>
    <w:rsid w:val="001E12A6"/>
    <w:rsid w:val="001E237D"/>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A28"/>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466B"/>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01B6F"/>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4F6409"/>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89E"/>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D5E84"/>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352E"/>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120"/>
    <w:rsid w:val="006F7C67"/>
    <w:rsid w:val="007005FE"/>
    <w:rsid w:val="00700CEE"/>
    <w:rsid w:val="00702092"/>
    <w:rsid w:val="00703002"/>
    <w:rsid w:val="00707AD9"/>
    <w:rsid w:val="00716196"/>
    <w:rsid w:val="00722AE9"/>
    <w:rsid w:val="00723668"/>
    <w:rsid w:val="007236B0"/>
    <w:rsid w:val="00727272"/>
    <w:rsid w:val="00731071"/>
    <w:rsid w:val="007347CA"/>
    <w:rsid w:val="00734CE4"/>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37DB"/>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560C9"/>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019"/>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5CCD"/>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47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CDF"/>
    <w:rsid w:val="00AC4D9A"/>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46FF9"/>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2C44"/>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0EBB"/>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2508"/>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8FD"/>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3B63"/>
    <w:rsid w:val="00EE4273"/>
    <w:rsid w:val="00EE427A"/>
    <w:rsid w:val="00EE56EF"/>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8810233">
      <w:bodyDiv w:val="1"/>
      <w:marLeft w:val="0"/>
      <w:marRight w:val="0"/>
      <w:marTop w:val="0"/>
      <w:marBottom w:val="0"/>
      <w:divBdr>
        <w:top w:val="none" w:sz="0" w:space="0" w:color="auto"/>
        <w:left w:val="none" w:sz="0" w:space="0" w:color="auto"/>
        <w:bottom w:val="none" w:sz="0" w:space="0" w:color="auto"/>
        <w:right w:val="none" w:sz="0" w:space="0" w:color="auto"/>
      </w:divBdr>
    </w:div>
    <w:div w:id="194688646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7101747">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06273962">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706D-3CFE-49CD-8D37-2CD479F2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35436</Words>
  <Characters>20199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Sigitas Radzevičius | VMU</cp:lastModifiedBy>
  <cp:revision>3</cp:revision>
  <cp:lastPrinted>2022-11-22T05:00:00Z</cp:lastPrinted>
  <dcterms:created xsi:type="dcterms:W3CDTF">2025-02-13T15:26:00Z</dcterms:created>
  <dcterms:modified xsi:type="dcterms:W3CDTF">2025-02-13T15:27:00Z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