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5082B" w14:textId="78AC7E92" w:rsidR="00711216" w:rsidRPr="009B644E" w:rsidRDefault="00F6252A" w:rsidP="00711216">
      <w:pPr>
        <w:ind w:left="5184"/>
        <w:contextualSpacing/>
        <w:rPr>
          <w:rFonts w:ascii="Times New Roman" w:hAnsi="Times New Roman" w:cs="Times New Roman"/>
          <w:sz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9B644E">
        <w:rPr>
          <w:rFonts w:ascii="Times New Roman" w:hAnsi="Times New Roman" w:cs="Times New Roman"/>
          <w:sz w:val="24"/>
        </w:rPr>
        <w:t>20</w:t>
      </w:r>
      <w:r>
        <w:rPr>
          <w:rFonts w:ascii="Times New Roman" w:hAnsi="Times New Roman" w:cs="Times New Roman"/>
          <w:sz w:val="24"/>
        </w:rPr>
        <w:t>20</w:t>
      </w:r>
      <w:r w:rsidRPr="009B644E">
        <w:rPr>
          <w:rFonts w:ascii="Times New Roman" w:hAnsi="Times New Roman" w:cs="Times New Roman"/>
          <w:sz w:val="24"/>
        </w:rPr>
        <w:t xml:space="preserve"> </w:t>
      </w:r>
      <w:r w:rsidR="00711216" w:rsidRPr="009B644E">
        <w:rPr>
          <w:rFonts w:ascii="Times New Roman" w:hAnsi="Times New Roman" w:cs="Times New Roman"/>
          <w:sz w:val="24"/>
        </w:rPr>
        <w:t>m.                                  d.</w:t>
      </w:r>
    </w:p>
    <w:p w14:paraId="0317442C" w14:textId="77777777" w:rsidR="00711216" w:rsidRPr="009B644E" w:rsidRDefault="00711216" w:rsidP="00711216">
      <w:pPr>
        <w:ind w:left="5184"/>
        <w:contextualSpacing/>
        <w:rPr>
          <w:rFonts w:ascii="Times New Roman" w:hAnsi="Times New Roman" w:cs="Times New Roman"/>
          <w:sz w:val="24"/>
        </w:rPr>
      </w:pPr>
      <w:r w:rsidRPr="009B644E">
        <w:rPr>
          <w:rFonts w:ascii="Times New Roman" w:hAnsi="Times New Roman" w:cs="Times New Roman"/>
          <w:sz w:val="24"/>
        </w:rPr>
        <w:t xml:space="preserve">Paslaugų viešojo pirkimo-pardavimo </w:t>
      </w:r>
    </w:p>
    <w:p w14:paraId="2E9F0AB3" w14:textId="77777777" w:rsidR="00711216" w:rsidRPr="009B644E" w:rsidRDefault="00711216" w:rsidP="00711216">
      <w:pPr>
        <w:ind w:left="5184"/>
        <w:contextualSpacing/>
        <w:rPr>
          <w:rFonts w:ascii="Times New Roman" w:hAnsi="Times New Roman" w:cs="Times New Roman"/>
          <w:bCs/>
          <w:sz w:val="24"/>
        </w:rPr>
      </w:pPr>
      <w:r w:rsidRPr="009B644E">
        <w:rPr>
          <w:rFonts w:ascii="Times New Roman" w:hAnsi="Times New Roman" w:cs="Times New Roman"/>
          <w:bCs/>
          <w:sz w:val="24"/>
        </w:rPr>
        <w:t xml:space="preserve">sutarties Nr. </w:t>
      </w:r>
    </w:p>
    <w:p w14:paraId="266A5025" w14:textId="57916120" w:rsidR="00711216" w:rsidRPr="009B644E" w:rsidRDefault="00711216" w:rsidP="00711216">
      <w:pPr>
        <w:ind w:left="5184"/>
        <w:rPr>
          <w:rFonts w:ascii="Times New Roman" w:hAnsi="Times New Roman" w:cs="Times New Roman"/>
          <w:sz w:val="24"/>
        </w:rPr>
      </w:pPr>
      <w:r>
        <w:rPr>
          <w:rFonts w:ascii="Times New Roman" w:hAnsi="Times New Roman" w:cs="Times New Roman"/>
          <w:sz w:val="24"/>
        </w:rPr>
        <w:t xml:space="preserve">1 </w:t>
      </w:r>
      <w:r w:rsidRPr="009B644E">
        <w:rPr>
          <w:rFonts w:ascii="Times New Roman" w:hAnsi="Times New Roman" w:cs="Times New Roman"/>
          <w:sz w:val="24"/>
        </w:rPr>
        <w:t>priedas</w:t>
      </w:r>
    </w:p>
    <w:p w14:paraId="0E91A9E8" w14:textId="6FB21639" w:rsidR="00F372C9" w:rsidRPr="007B004A" w:rsidRDefault="00F372C9" w:rsidP="00F63E39">
      <w:pPr>
        <w:spacing w:before="60" w:after="60" w:line="240" w:lineRule="auto"/>
        <w:ind w:left="-709"/>
        <w:jc w:val="center"/>
        <w:rPr>
          <w:rFonts w:ascii="Calibri Light" w:hAnsi="Calibri Light" w:cs="Calibri Light"/>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bookmarkEnd w:id="14"/>
    <w:p w14:paraId="59247104" w14:textId="3471A1EA" w:rsidR="00E23E60" w:rsidRPr="00121909" w:rsidRDefault="00E23E60" w:rsidP="00E23E60">
      <w:pPr>
        <w:pStyle w:val="Betarp"/>
        <w:jc w:val="center"/>
        <w:rPr>
          <w:rFonts w:ascii="Times New Roman" w:hAnsi="Times New Roman" w:cs="Times New Roman"/>
          <w:b/>
          <w:sz w:val="24"/>
          <w:szCs w:val="24"/>
          <w:lang w:val="lt-LT"/>
        </w:rPr>
      </w:pPr>
      <w:r w:rsidRPr="00121909">
        <w:rPr>
          <w:rFonts w:ascii="Times New Roman" w:hAnsi="Times New Roman" w:cs="Times New Roman"/>
          <w:b/>
          <w:sz w:val="24"/>
          <w:szCs w:val="24"/>
          <w:lang w:val="lt-LT"/>
        </w:rPr>
        <w:t>TECHNINĖ SPECIFIKACIJA</w:t>
      </w:r>
    </w:p>
    <w:p w14:paraId="66108E87" w14:textId="77777777" w:rsidR="00E23E60" w:rsidRPr="00121909" w:rsidRDefault="00E23E60" w:rsidP="00711216">
      <w:pPr>
        <w:pStyle w:val="Betarp"/>
        <w:ind w:firstLine="680"/>
        <w:jc w:val="center"/>
        <w:rPr>
          <w:rFonts w:ascii="Times New Roman" w:hAnsi="Times New Roman" w:cs="Times New Roman"/>
          <w:sz w:val="24"/>
          <w:szCs w:val="24"/>
          <w:lang w:val="lt-LT"/>
        </w:rPr>
      </w:pPr>
    </w:p>
    <w:p w14:paraId="2438B659" w14:textId="77777777" w:rsidR="00E23E60" w:rsidRDefault="00E23E60" w:rsidP="0074204A">
      <w:pPr>
        <w:autoSpaceDE w:val="0"/>
        <w:autoSpaceDN w:val="0"/>
        <w:adjustRightInd w:val="0"/>
        <w:spacing w:after="0" w:line="240" w:lineRule="auto"/>
        <w:jc w:val="center"/>
        <w:rPr>
          <w:rFonts w:ascii="Times New Roman" w:hAnsi="Times New Roman" w:cs="Times New Roman"/>
          <w:b/>
          <w:sz w:val="24"/>
          <w:szCs w:val="24"/>
          <w:lang w:val="lt"/>
        </w:rPr>
      </w:pPr>
      <w:r w:rsidRPr="00935B15">
        <w:rPr>
          <w:rFonts w:ascii="Times New Roman" w:hAnsi="Times New Roman" w:cs="Times New Roman"/>
          <w:b/>
          <w:sz w:val="24"/>
          <w:szCs w:val="24"/>
          <w:lang w:val="lt"/>
        </w:rPr>
        <w:t>PASLAUGŲ PAGRINDIMAS</w:t>
      </w:r>
    </w:p>
    <w:p w14:paraId="15A9C4DA" w14:textId="77777777" w:rsidR="00711216" w:rsidRPr="00935B15" w:rsidRDefault="00711216" w:rsidP="00711216">
      <w:pPr>
        <w:autoSpaceDE w:val="0"/>
        <w:autoSpaceDN w:val="0"/>
        <w:adjustRightInd w:val="0"/>
        <w:spacing w:after="0" w:line="240" w:lineRule="auto"/>
        <w:ind w:firstLine="680"/>
        <w:jc w:val="center"/>
        <w:rPr>
          <w:rFonts w:ascii="Times New Roman" w:hAnsi="Times New Roman" w:cs="Times New Roman"/>
          <w:b/>
          <w:sz w:val="24"/>
          <w:szCs w:val="24"/>
          <w:lang w:val="lt"/>
        </w:rPr>
      </w:pPr>
    </w:p>
    <w:p w14:paraId="2EB83DFD" w14:textId="7472DEB3" w:rsidR="00E23E60" w:rsidRPr="00935B15" w:rsidRDefault="00E23E60" w:rsidP="00711216">
      <w:pPr>
        <w:spacing w:after="0" w:line="240" w:lineRule="auto"/>
        <w:ind w:firstLine="680"/>
        <w:rPr>
          <w:rFonts w:ascii="Times New Roman" w:eastAsia="Times New Roman" w:hAnsi="Times New Roman" w:cs="Times New Roman"/>
          <w:sz w:val="24"/>
          <w:szCs w:val="24"/>
          <w:lang w:val="lt"/>
        </w:rPr>
      </w:pPr>
      <w:r w:rsidRPr="00935B15">
        <w:rPr>
          <w:rFonts w:ascii="Times New Roman" w:eastAsia="Times New Roman" w:hAnsi="Times New Roman" w:cs="Times New Roman"/>
          <w:sz w:val="24"/>
          <w:szCs w:val="24"/>
          <w:lang w:val="lt"/>
        </w:rPr>
        <w:t xml:space="preserve">Vidaus reikalų ministerija įgyvendina iš Europos Sąjungos struktūrinių fondų lėšų bendrai finansuojamą projektą Nr. 10.1.3-ESFA-V-918-01-0014 „Viešojo sektoriaus įstaigų teikiamų paslaugų ir gyventojų aptarnavimo kokybės gerinimo sprendimai“ (2019 m. birželio 20 d. </w:t>
      </w:r>
      <w:r w:rsidR="00070331">
        <w:rPr>
          <w:rFonts w:ascii="Times New Roman" w:eastAsia="Times New Roman" w:hAnsi="Times New Roman" w:cs="Times New Roman"/>
          <w:sz w:val="24"/>
          <w:szCs w:val="24"/>
          <w:lang w:val="lt"/>
        </w:rPr>
        <w:t>i</w:t>
      </w:r>
      <w:r w:rsidR="00070331" w:rsidRPr="00935B15">
        <w:rPr>
          <w:rFonts w:ascii="Times New Roman" w:eastAsia="Times New Roman" w:hAnsi="Times New Roman" w:cs="Times New Roman"/>
          <w:sz w:val="24"/>
          <w:szCs w:val="24"/>
          <w:lang w:val="lt"/>
        </w:rPr>
        <w:t xml:space="preserve">š </w:t>
      </w:r>
      <w:r w:rsidRPr="00935B15">
        <w:rPr>
          <w:rFonts w:ascii="Times New Roman" w:eastAsia="Times New Roman" w:hAnsi="Times New Roman" w:cs="Times New Roman"/>
          <w:sz w:val="24"/>
          <w:szCs w:val="24"/>
          <w:lang w:val="lt"/>
        </w:rPr>
        <w:t>Europos Sąjungos struktūrinių fondų lėšų bendrai finansuojamo projekto Nr. 10.1.3-ESFA-V-918-01-0014 V-918-01-0014 ,,Viešojo sektoriaus įstaigų teikiamų paslaugų ir gyventojų aptarnavimo kokybės gerinimo sprendimai</w:t>
      </w:r>
      <w:r w:rsidR="00070331" w:rsidRPr="00070331">
        <w:rPr>
          <w:rFonts w:ascii="Times New Roman" w:eastAsia="Times New Roman" w:hAnsi="Times New Roman" w:cs="Times New Roman"/>
          <w:sz w:val="24"/>
          <w:szCs w:val="24"/>
          <w:lang w:val="lt"/>
        </w:rPr>
        <w:t>“</w:t>
      </w:r>
      <w:r w:rsidR="00070331" w:rsidRPr="00935B15">
        <w:rPr>
          <w:rFonts w:ascii="Times New Roman" w:eastAsia="Times New Roman" w:hAnsi="Times New Roman" w:cs="Times New Roman"/>
          <w:sz w:val="24"/>
          <w:szCs w:val="24"/>
          <w:lang w:val="lt"/>
        </w:rPr>
        <w:t xml:space="preserve"> </w:t>
      </w:r>
      <w:r w:rsidRPr="00935B15">
        <w:rPr>
          <w:rFonts w:ascii="Times New Roman" w:eastAsia="Times New Roman" w:hAnsi="Times New Roman" w:cs="Times New Roman"/>
          <w:sz w:val="24"/>
          <w:szCs w:val="24"/>
          <w:lang w:val="lt"/>
        </w:rPr>
        <w:t>sutartis Nr. 10.1.3-ESFA-V-918-01-0014/1S-222). Paslaugos bus apmokamos iš šiam projektui įgyvendinti skirtų lėšų.</w:t>
      </w:r>
    </w:p>
    <w:p w14:paraId="6D2EDB97" w14:textId="77777777" w:rsidR="00E23E60" w:rsidRPr="00935B15" w:rsidRDefault="00E23E60" w:rsidP="00711216">
      <w:pPr>
        <w:pStyle w:val="Betarp"/>
        <w:ind w:firstLine="680"/>
        <w:jc w:val="center"/>
        <w:rPr>
          <w:rFonts w:ascii="Times New Roman" w:hAnsi="Times New Roman" w:cs="Times New Roman"/>
          <w:b/>
          <w:sz w:val="24"/>
          <w:szCs w:val="24"/>
          <w:lang w:val="lt"/>
        </w:rPr>
      </w:pPr>
    </w:p>
    <w:p w14:paraId="39AB110A" w14:textId="77777777" w:rsidR="00E23E60" w:rsidRDefault="00E23E60" w:rsidP="0074204A">
      <w:pPr>
        <w:autoSpaceDE w:val="0"/>
        <w:autoSpaceDN w:val="0"/>
        <w:adjustRightInd w:val="0"/>
        <w:spacing w:after="0" w:line="240" w:lineRule="auto"/>
        <w:jc w:val="center"/>
        <w:rPr>
          <w:rFonts w:ascii="Times New Roman" w:hAnsi="Times New Roman" w:cs="Times New Roman"/>
          <w:b/>
          <w:sz w:val="24"/>
          <w:szCs w:val="24"/>
          <w:lang w:val="lt"/>
        </w:rPr>
      </w:pPr>
      <w:r w:rsidRPr="00935B15">
        <w:rPr>
          <w:rFonts w:ascii="Times New Roman" w:hAnsi="Times New Roman" w:cs="Times New Roman"/>
          <w:b/>
          <w:sz w:val="24"/>
          <w:szCs w:val="24"/>
          <w:lang w:val="lt"/>
        </w:rPr>
        <w:t>PIRKIMO OBJEKTAS</w:t>
      </w:r>
    </w:p>
    <w:p w14:paraId="168B3204" w14:textId="77777777" w:rsidR="00711216" w:rsidRPr="00935B15" w:rsidRDefault="00711216" w:rsidP="00711216">
      <w:pPr>
        <w:autoSpaceDE w:val="0"/>
        <w:autoSpaceDN w:val="0"/>
        <w:adjustRightInd w:val="0"/>
        <w:spacing w:after="0" w:line="240" w:lineRule="auto"/>
        <w:ind w:firstLine="680"/>
        <w:jc w:val="center"/>
        <w:rPr>
          <w:rFonts w:ascii="Times New Roman" w:hAnsi="Times New Roman" w:cs="Times New Roman"/>
          <w:b/>
          <w:sz w:val="24"/>
          <w:szCs w:val="24"/>
          <w:lang w:val="lt"/>
        </w:rPr>
      </w:pPr>
    </w:p>
    <w:p w14:paraId="72B976BC" w14:textId="7C4A23F0"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Besikeičianti aplinka ir didėjantys visuomenės reikalavimai viešojo valdymo kokybei verčia nuolat ieškoti naujų būdų kaip pagerinti viešojo sektoriaus įstaigų (toliau – įstaigos) veiklos rezultatus visose jų veiklos srityse. Ypatingas dėmesys turi būti skiriamas toms įstaigų veiklos sritims, kurios yra aktualiausios visuomenei –</w:t>
      </w:r>
      <w:r w:rsidR="00BD2CDA">
        <w:rPr>
          <w:rFonts w:ascii="Times New Roman" w:hAnsi="Times New Roman"/>
          <w:sz w:val="24"/>
          <w:szCs w:val="24"/>
          <w:lang w:val="lt"/>
        </w:rPr>
        <w:t xml:space="preserve"> </w:t>
      </w:r>
      <w:r w:rsidRPr="00121909">
        <w:rPr>
          <w:rFonts w:ascii="Times New Roman" w:hAnsi="Times New Roman"/>
          <w:sz w:val="24"/>
          <w:szCs w:val="24"/>
          <w:lang w:val="lt"/>
        </w:rPr>
        <w:t>asmenų aptarnavimo ir viešųjų ir administracinių paslaugų teikimo gerinimui.</w:t>
      </w:r>
    </w:p>
    <w:p w14:paraId="500CFCC9" w14:textId="77777777" w:rsidR="00E23E60" w:rsidRPr="00121909" w:rsidRDefault="00E23E60" w:rsidP="00711216">
      <w:pPr>
        <w:pStyle w:val="Betarp"/>
        <w:ind w:firstLine="680"/>
        <w:rPr>
          <w:rFonts w:ascii="Times New Roman" w:hAnsi="Times New Roman" w:cs="Times New Roman"/>
          <w:sz w:val="24"/>
          <w:szCs w:val="24"/>
          <w:lang w:val="lt"/>
        </w:rPr>
      </w:pPr>
      <w:r w:rsidRPr="00121909">
        <w:rPr>
          <w:rFonts w:ascii="Times New Roman" w:hAnsi="Times New Roman"/>
          <w:sz w:val="24"/>
          <w:szCs w:val="24"/>
          <w:lang w:val="lt"/>
        </w:rPr>
        <w:lastRenderedPageBreak/>
        <w:t xml:space="preserve">Įstaigos deda nemažai pastangų siekdamos pagerinti savo veiklos rezultatyvumą. Jos diegia įvairius kokybės vadybos metodus, asmenų aptarnavimo standartus, perkelia paslaugų teikimą į elektroninę erdvę, kad asmuo galėtų paslaugas užsisakyti/gauti jam patogiu laiku ir patogioje vietoje, atlieka paslaugų gavėjų apklausas, vykdo kitas veiklos, paslaugų teikimo ir asmenų aptarnavimo gerinimo priemones. Tačiau šiuo metu nėra vieningos vertinimo sistemos, kuri leistų </w:t>
      </w:r>
      <w:r w:rsidRPr="00121909">
        <w:rPr>
          <w:rFonts w:ascii="Times New Roman" w:hAnsi="Times New Roman" w:cs="Times New Roman"/>
          <w:sz w:val="24"/>
          <w:szCs w:val="24"/>
          <w:lang w:val="lt"/>
        </w:rPr>
        <w:t xml:space="preserve">stebėti ir vertinti visas šias įstaigų iniciatyvas ir jų pastangas gerinant  paslaugų teikimo ir asmenų aptarnavimo kokybę. Nėra nustatytų vieningų vertinimo kriterijų, kuriais remiantis galima būtų įvertinti ir palyginti tiek visas įstaigas pagal jų orientaciją į teikiamų paslaugų ir asmenų aptarnavimo kokybės gerinimą, tiek atskirą įstaigą, kiek ji pažengusi paslaugų teikimo ir (ar) asmenų aptarnavimo kokybės gerinimo srityje. </w:t>
      </w:r>
    </w:p>
    <w:p w14:paraId="1D4A99D7" w14:textId="77777777" w:rsidR="00E23E60" w:rsidRPr="00121909" w:rsidRDefault="00E23E60" w:rsidP="00711216">
      <w:pPr>
        <w:pStyle w:val="Betarp"/>
        <w:ind w:firstLine="680"/>
        <w:rPr>
          <w:rFonts w:ascii="Times New Roman" w:hAnsi="Times New Roman" w:cs="Times New Roman"/>
          <w:sz w:val="24"/>
          <w:szCs w:val="24"/>
          <w:lang w:val="lt"/>
        </w:rPr>
      </w:pPr>
      <w:r w:rsidRPr="00121909">
        <w:rPr>
          <w:rFonts w:ascii="Times New Roman" w:hAnsi="Times New Roman" w:cs="Times New Roman"/>
          <w:sz w:val="24"/>
          <w:szCs w:val="24"/>
          <w:lang w:val="lt"/>
        </w:rPr>
        <w:t>Vidaus reikalų ministerija, siekdama paskatinti įstaigas aktyviai prisidėti prie viešojo valdymo kokybės kūrimo bei sudaryti sąlygas įstaigoms tarpusavyje pasidalinti jau turima gerąja patirtimi, yra suplanavusi atnaujinti gerosios patirties pavyzdžių atrankas. Atsižvelgiant į tai, tikslinga įstaigas vertinti pagal vieningus kriterijus.</w:t>
      </w:r>
    </w:p>
    <w:p w14:paraId="51FC9962" w14:textId="4351BC07" w:rsidR="00E23E60" w:rsidRPr="00121909" w:rsidRDefault="00E23E60" w:rsidP="00711216">
      <w:pPr>
        <w:autoSpaceDE w:val="0"/>
        <w:autoSpaceDN w:val="0"/>
        <w:adjustRightInd w:val="0"/>
        <w:spacing w:after="0" w:line="240" w:lineRule="auto"/>
        <w:ind w:firstLine="680"/>
        <w:rPr>
          <w:rFonts w:ascii="Times New Roman" w:hAnsi="Times New Roman" w:cs="Times New Roman"/>
          <w:sz w:val="24"/>
          <w:szCs w:val="24"/>
          <w:lang w:val="lt"/>
        </w:rPr>
      </w:pPr>
      <w:r w:rsidRPr="00121909">
        <w:rPr>
          <w:rFonts w:ascii="Times New Roman" w:hAnsi="Times New Roman" w:cs="Times New Roman"/>
          <w:sz w:val="24"/>
          <w:szCs w:val="24"/>
          <w:lang w:val="lt"/>
        </w:rPr>
        <w:t>Todėl siekiant sukurti aplink</w:t>
      </w:r>
      <w:r w:rsidRPr="00121909">
        <w:rPr>
          <w:rFonts w:ascii="TimesNewRoman" w:hAnsi="TimesNewRoman" w:cs="TimesNewRoman"/>
          <w:sz w:val="24"/>
          <w:szCs w:val="24"/>
          <w:lang w:val="lt"/>
        </w:rPr>
        <w:t xml:space="preserve">ą </w:t>
      </w:r>
      <w:r w:rsidRPr="00121909">
        <w:rPr>
          <w:rFonts w:ascii="Times New Roman" w:hAnsi="Times New Roman" w:cs="Times New Roman"/>
          <w:sz w:val="24"/>
          <w:szCs w:val="24"/>
          <w:lang w:val="lt"/>
        </w:rPr>
        <w:t>nuolatiniam paslaugas teikiančių ir gyventojus aptarnaujančių įstaigų veiklos kokyb</w:t>
      </w:r>
      <w:r w:rsidRPr="00121909">
        <w:rPr>
          <w:rFonts w:ascii="TimesNewRoman" w:hAnsi="TimesNewRoman" w:cs="TimesNewRoman"/>
          <w:sz w:val="24"/>
          <w:szCs w:val="24"/>
          <w:lang w:val="lt"/>
        </w:rPr>
        <w:t>ė</w:t>
      </w:r>
      <w:r w:rsidRPr="00121909">
        <w:rPr>
          <w:rFonts w:ascii="Times New Roman" w:hAnsi="Times New Roman" w:cs="Times New Roman"/>
          <w:sz w:val="24"/>
          <w:szCs w:val="24"/>
          <w:lang w:val="lt"/>
        </w:rPr>
        <w:t xml:space="preserve">s valdymui, vertinimui ir tobulinimui, paskatinti gerųjų įstaigų veiklos pavyzdžių plėtrą, būtina sukurti vieningą įstaigų orientacijos į paslaugų ir aptarnavimo kokybę stebėsenos ir vertinimo sistemą.  </w:t>
      </w:r>
    </w:p>
    <w:p w14:paraId="62951AFE" w14:textId="77777777" w:rsidR="00E23E60" w:rsidRPr="00121909" w:rsidRDefault="00E23E60" w:rsidP="00711216">
      <w:pPr>
        <w:spacing w:after="0" w:line="240" w:lineRule="auto"/>
        <w:ind w:firstLine="680"/>
        <w:rPr>
          <w:rFonts w:ascii="Times New Roman" w:hAnsi="Times New Roman" w:cs="Times New Roman"/>
          <w:sz w:val="24"/>
          <w:szCs w:val="24"/>
          <w:lang w:val="lt"/>
        </w:rPr>
      </w:pPr>
      <w:r w:rsidRPr="00121909">
        <w:rPr>
          <w:rFonts w:ascii="Times New Roman" w:hAnsi="Times New Roman" w:cs="Times New Roman"/>
          <w:sz w:val="24"/>
          <w:szCs w:val="24"/>
          <w:lang w:val="lt"/>
        </w:rPr>
        <w:t>Atsižvelgiant į tai, perkamos</w:t>
      </w:r>
      <w:r w:rsidRPr="00121909">
        <w:rPr>
          <w:lang w:val="lt"/>
        </w:rPr>
        <w:t xml:space="preserve"> </w:t>
      </w:r>
      <w:r w:rsidRPr="00121909">
        <w:rPr>
          <w:rFonts w:ascii="Times New Roman" w:hAnsi="Times New Roman" w:cs="Times New Roman"/>
          <w:sz w:val="24"/>
          <w:szCs w:val="24"/>
          <w:lang w:val="lt"/>
        </w:rPr>
        <w:t>paslaugas teikiančių ir gyventojus aptarnaujančių įstaigų orientacijos į paslaugų ir aptarnavimo kokybę vertinimo ir stebėsenos</w:t>
      </w:r>
      <w:r w:rsidRPr="00121909">
        <w:rPr>
          <w:rFonts w:ascii="Times New Roman" w:hAnsi="Times New Roman" w:cs="Times New Roman"/>
          <w:b/>
          <w:sz w:val="24"/>
          <w:szCs w:val="24"/>
          <w:lang w:val="lt"/>
        </w:rPr>
        <w:t xml:space="preserve"> </w:t>
      </w:r>
      <w:r w:rsidRPr="00121909">
        <w:rPr>
          <w:rFonts w:ascii="Times New Roman" w:hAnsi="Times New Roman" w:cs="Times New Roman"/>
          <w:sz w:val="24"/>
          <w:szCs w:val="24"/>
          <w:lang w:val="lt"/>
        </w:rPr>
        <w:t>paslaugos:</w:t>
      </w:r>
    </w:p>
    <w:p w14:paraId="0D396CAD" w14:textId="77777777" w:rsidR="00E23E60" w:rsidRPr="00121909" w:rsidRDefault="00E23E60" w:rsidP="00711216">
      <w:pPr>
        <w:spacing w:after="0" w:line="240" w:lineRule="auto"/>
        <w:ind w:firstLine="680"/>
        <w:rPr>
          <w:rFonts w:ascii="Times New Roman" w:hAnsi="Times New Roman"/>
          <w:sz w:val="24"/>
          <w:szCs w:val="24"/>
          <w:lang w:val="lt"/>
        </w:rPr>
      </w:pPr>
      <w:r w:rsidRPr="00121909">
        <w:rPr>
          <w:rFonts w:ascii="Times New Roman" w:hAnsi="Times New Roman" w:cs="Times New Roman"/>
          <w:sz w:val="24"/>
          <w:szCs w:val="24"/>
          <w:lang w:val="lt"/>
        </w:rPr>
        <w:t>1)</w:t>
      </w:r>
      <w:r w:rsidRPr="00121909">
        <w:rPr>
          <w:rFonts w:ascii="Times New Roman" w:hAnsi="Times New Roman"/>
          <w:b/>
          <w:sz w:val="24"/>
          <w:szCs w:val="24"/>
          <w:lang w:val="lt"/>
        </w:rPr>
        <w:t xml:space="preserve"> </w:t>
      </w:r>
      <w:r w:rsidRPr="00121909">
        <w:rPr>
          <w:rFonts w:ascii="Times New Roman" w:hAnsi="Times New Roman"/>
          <w:sz w:val="24"/>
          <w:szCs w:val="24"/>
          <w:lang w:val="lt"/>
        </w:rPr>
        <w:t>taikomojo pobūdžio studijos „Paslaugas teikiančių ir gyventojus aptarnaujančių viešojo sektoriaus įstaigų orientacijos į paslaugų ir aptarnavimo kokybę vertinimo  ir stebėsenos metodika“ parengimo paslaugos;</w:t>
      </w:r>
    </w:p>
    <w:p w14:paraId="6F0AD9A0" w14:textId="77777777" w:rsidR="00E23E60" w:rsidRPr="00121909" w:rsidRDefault="00E23E60" w:rsidP="00711216">
      <w:pPr>
        <w:spacing w:after="0" w:line="240" w:lineRule="auto"/>
        <w:ind w:firstLine="680"/>
        <w:rPr>
          <w:rFonts w:ascii="Times New Roman" w:hAnsi="Times New Roman" w:cs="Times New Roman"/>
          <w:sz w:val="24"/>
          <w:szCs w:val="24"/>
          <w:lang w:val="lt"/>
        </w:rPr>
      </w:pPr>
      <w:r w:rsidRPr="00121909">
        <w:rPr>
          <w:rFonts w:ascii="Times New Roman" w:hAnsi="Times New Roman"/>
          <w:sz w:val="24"/>
          <w:szCs w:val="24"/>
          <w:lang w:val="lt"/>
        </w:rPr>
        <w:t>2) įstaigų orientacijos į paslaugų ir aptarnavimo kokybę bandomosios stebėsenos atlikimo paslaugos.</w:t>
      </w:r>
    </w:p>
    <w:p w14:paraId="0E4BB27C" w14:textId="77777777" w:rsidR="00E23E60" w:rsidRDefault="00E23E60" w:rsidP="00711216">
      <w:pPr>
        <w:autoSpaceDE w:val="0"/>
        <w:autoSpaceDN w:val="0"/>
        <w:adjustRightInd w:val="0"/>
        <w:spacing w:after="0" w:line="240" w:lineRule="auto"/>
        <w:ind w:firstLine="680"/>
        <w:rPr>
          <w:rFonts w:ascii="Times New Roman" w:hAnsi="Times New Roman" w:cs="Times New Roman"/>
          <w:sz w:val="24"/>
          <w:szCs w:val="24"/>
          <w:lang w:val="lt"/>
        </w:rPr>
      </w:pPr>
    </w:p>
    <w:p w14:paraId="3143EBE6" w14:textId="77777777" w:rsidR="00711216" w:rsidRPr="00121909" w:rsidRDefault="00711216" w:rsidP="00711216">
      <w:pPr>
        <w:autoSpaceDE w:val="0"/>
        <w:autoSpaceDN w:val="0"/>
        <w:adjustRightInd w:val="0"/>
        <w:spacing w:after="0" w:line="240" w:lineRule="auto"/>
        <w:ind w:firstLine="680"/>
        <w:rPr>
          <w:rFonts w:ascii="Times New Roman" w:hAnsi="Times New Roman" w:cs="Times New Roman"/>
          <w:sz w:val="24"/>
          <w:szCs w:val="24"/>
          <w:lang w:val="lt"/>
        </w:rPr>
      </w:pPr>
    </w:p>
    <w:p w14:paraId="090AED22" w14:textId="77777777" w:rsidR="00E23E60" w:rsidRDefault="00E23E60" w:rsidP="0074204A">
      <w:pPr>
        <w:autoSpaceDE w:val="0"/>
        <w:autoSpaceDN w:val="0"/>
        <w:adjustRightInd w:val="0"/>
        <w:spacing w:after="0" w:line="240" w:lineRule="auto"/>
        <w:contextualSpacing/>
        <w:jc w:val="center"/>
        <w:rPr>
          <w:rFonts w:ascii="Times New Roman" w:hAnsi="Times New Roman" w:cs="Times New Roman"/>
          <w:b/>
          <w:sz w:val="24"/>
          <w:szCs w:val="24"/>
          <w:lang w:val="lt"/>
        </w:rPr>
      </w:pPr>
      <w:r w:rsidRPr="00935B15">
        <w:rPr>
          <w:rFonts w:ascii="Times New Roman" w:hAnsi="Times New Roman" w:cs="Times New Roman"/>
          <w:b/>
          <w:sz w:val="24"/>
          <w:szCs w:val="24"/>
          <w:lang w:val="lt"/>
        </w:rPr>
        <w:t>PERKAMŲ PASLAUGŲ DETALIZAVIMAS IR KELIAMI REIKALAVIMAI</w:t>
      </w:r>
    </w:p>
    <w:p w14:paraId="15BDA0E3" w14:textId="77777777" w:rsidR="00711216" w:rsidRPr="00935B15" w:rsidRDefault="00711216" w:rsidP="00711216">
      <w:pPr>
        <w:autoSpaceDE w:val="0"/>
        <w:autoSpaceDN w:val="0"/>
        <w:adjustRightInd w:val="0"/>
        <w:spacing w:after="0" w:line="240" w:lineRule="auto"/>
        <w:ind w:firstLine="680"/>
        <w:contextualSpacing/>
        <w:jc w:val="center"/>
        <w:rPr>
          <w:rFonts w:ascii="Times New Roman" w:hAnsi="Times New Roman" w:cs="Times New Roman"/>
          <w:b/>
          <w:sz w:val="24"/>
          <w:szCs w:val="24"/>
          <w:lang w:val="lt"/>
        </w:rPr>
      </w:pPr>
    </w:p>
    <w:p w14:paraId="0337D9AB" w14:textId="77777777" w:rsidR="00E23E60" w:rsidRPr="00121909" w:rsidRDefault="00E23E60" w:rsidP="00711216">
      <w:pPr>
        <w:pStyle w:val="Betarp"/>
        <w:ind w:firstLine="680"/>
        <w:rPr>
          <w:b/>
          <w:sz w:val="24"/>
          <w:szCs w:val="24"/>
          <w:lang w:val="lt"/>
        </w:rPr>
      </w:pPr>
      <w:r w:rsidRPr="00121909">
        <w:rPr>
          <w:rFonts w:ascii="Times New Roman" w:hAnsi="Times New Roman"/>
          <w:sz w:val="24"/>
          <w:szCs w:val="24"/>
          <w:lang w:val="lt"/>
        </w:rPr>
        <w:t xml:space="preserve">1. </w:t>
      </w:r>
      <w:r w:rsidRPr="00121909">
        <w:rPr>
          <w:rFonts w:ascii="Times New Roman" w:hAnsi="Times New Roman"/>
          <w:b/>
          <w:sz w:val="24"/>
          <w:szCs w:val="24"/>
          <w:lang w:val="lt"/>
        </w:rPr>
        <w:t>Parengti taikomojo pobūdžio studiją „Paslaugas teikiančių ir gyventojus aptarnaujančių viešojo sektoriaus įstaigų orientacijos į paslaugų ir aptarnavimo kokybę vertinimo  ir stebėsenos metodika“.</w:t>
      </w:r>
    </w:p>
    <w:p w14:paraId="10A61DF6" w14:textId="31A72C8A"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 xml:space="preserve">Studija skirta: parengti metodiką </w:t>
      </w:r>
      <w:r w:rsidRPr="00121909">
        <w:rPr>
          <w:rFonts w:ascii="Times New Roman" w:hAnsi="Times New Roman" w:cs="Times New Roman"/>
          <w:sz w:val="24"/>
          <w:szCs w:val="24"/>
          <w:lang w:val="lt"/>
        </w:rPr>
        <w:t>(su praktinėmis taikymo gairėmis), kuri leistų vertinti ir stebėti  įstaigų iniciatyvas ir jų pastangas gerinant teikiamų paslaugų ir aptarnavimo kokybę.</w:t>
      </w:r>
    </w:p>
    <w:p w14:paraId="4FD8199F" w14:textId="7777777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Studija turi apimti tokias dalis:</w:t>
      </w:r>
    </w:p>
    <w:p w14:paraId="305BBC88" w14:textId="7777777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1.1. užsienio valstybių (ne mažiau kaip 5 valstybių, iš kurių ne mažiau kaip 3 ES valstybės narės  ir ne mažiau  kaip 2 kitos valstybės)</w:t>
      </w:r>
      <w:r w:rsidRPr="00121909">
        <w:rPr>
          <w:rFonts w:ascii="Times New Roman" w:hAnsi="Times New Roman"/>
          <w:szCs w:val="24"/>
          <w:lang w:val="lt"/>
        </w:rPr>
        <w:t xml:space="preserve"> </w:t>
      </w:r>
      <w:r w:rsidRPr="00121909">
        <w:rPr>
          <w:rFonts w:ascii="Times New Roman" w:hAnsi="Times New Roman"/>
          <w:sz w:val="24"/>
          <w:szCs w:val="24"/>
          <w:lang w:val="lt"/>
        </w:rPr>
        <w:t>patirtis organizuojant ir atliekant viešojo sektoriaus įstaigų orientacijos į paslaugų ir aptarnavimo kokybę vertinimą ir stebėseną;</w:t>
      </w:r>
    </w:p>
    <w:p w14:paraId="4A5C8A18" w14:textId="7777777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1.2. nustatyti ir argumentuoti, kokia užsienio valstybių praktika galėtų būti pritaikyta Lietuvoje;</w:t>
      </w:r>
    </w:p>
    <w:p w14:paraId="5B2A88A5" w14:textId="7777777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1.3. parengtas ir išsamiai aprašytas vertinimo ir stebėsenos Lietuvoje modelis, kuriame:</w:t>
      </w:r>
    </w:p>
    <w:p w14:paraId="09C8F830" w14:textId="7777777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1.3.1. apibūdintos vertinimo sritys (jas charakterizuojantys vertinimo objektai);</w:t>
      </w:r>
    </w:p>
    <w:p w14:paraId="7DE5FF88" w14:textId="7777777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1.3.2. aprašytas vertinimo procesas (vertinime dalyvaujantys subjektai, jų vaidmuo/funkcijos/atsakomybės, vertinimo procedūros, veiksmų seka, naudojamos dokumentų formos, informacijos srautai ir kt.), vertinimo metodai ir parengta vieninga įstaigų vertinimo kriterijų sistema;</w:t>
      </w:r>
    </w:p>
    <w:p w14:paraId="7B890A26" w14:textId="77777777" w:rsidR="00E23E60" w:rsidRPr="00121909" w:rsidRDefault="00E23E60" w:rsidP="00711216">
      <w:pPr>
        <w:pStyle w:val="Betarp"/>
        <w:ind w:firstLine="680"/>
        <w:rPr>
          <w:rFonts w:ascii="Times New Roman" w:hAnsi="Times New Roman" w:cs="Times New Roman"/>
          <w:sz w:val="24"/>
          <w:szCs w:val="24"/>
          <w:lang w:val="lt"/>
        </w:rPr>
      </w:pPr>
      <w:r w:rsidRPr="00121909">
        <w:rPr>
          <w:rFonts w:ascii="Times New Roman" w:hAnsi="Times New Roman"/>
          <w:sz w:val="24"/>
          <w:szCs w:val="24"/>
          <w:lang w:val="lt"/>
        </w:rPr>
        <w:t>1.3.3. pateikta ir paaiškinta kiekvieno vertinimo kriterijaus samprata, aptarta jo reikšmė įvertinant įstaigos orientaciją į paslaugų teikimo ir aptarnavimo kokybę,</w:t>
      </w:r>
      <w:r w:rsidRPr="00121909">
        <w:rPr>
          <w:rFonts w:ascii="Times New Roman" w:hAnsi="Times New Roman" w:cs="Times New Roman"/>
          <w:sz w:val="24"/>
          <w:szCs w:val="24"/>
          <w:lang w:val="lt"/>
        </w:rPr>
        <w:t xml:space="preserve"> nustatytas kiekvieno iš jų svorio koeficientas;</w:t>
      </w:r>
    </w:p>
    <w:p w14:paraId="53575CD9" w14:textId="29F73259"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1.3.4. parengtas ir pagrįstas priemonių, didinančių įstaigų pastangas gerinti paslaugų ir aptarnavim</w:t>
      </w:r>
      <w:r w:rsidR="00BD2CDA">
        <w:rPr>
          <w:rFonts w:ascii="Times New Roman" w:hAnsi="Times New Roman"/>
          <w:sz w:val="24"/>
          <w:szCs w:val="24"/>
          <w:lang w:val="lt"/>
        </w:rPr>
        <w:t>o</w:t>
      </w:r>
      <w:r w:rsidRPr="00121909">
        <w:rPr>
          <w:rFonts w:ascii="Times New Roman" w:hAnsi="Times New Roman"/>
          <w:sz w:val="24"/>
          <w:szCs w:val="24"/>
          <w:lang w:val="lt"/>
        </w:rPr>
        <w:t xml:space="preserve"> kokybę, sąrašas;</w:t>
      </w:r>
    </w:p>
    <w:p w14:paraId="5991D336" w14:textId="0B5357C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1.4. metodikos nuostatos turi būti pakomentuotos, iliustruotos pavyzdžiais, praktinėmis situacijomis, turi būti pateikta išsamesnių metodinių nurodymų, rekomendacijų, kad metodikos nuostatos būtų lengviau ir aiškiau suprantamos ir nekiltų praktinių problemų vertinant įstaigas, kad vadovaujantis metodika galima būtų savarankiškai atlikti vertinimus. Taip pat turi būti aptarti kiti svarbūs su stebėsenos atlikimu susiję ypatumai.</w:t>
      </w:r>
    </w:p>
    <w:p w14:paraId="4A60AB6A" w14:textId="77777777" w:rsidR="00E23E60" w:rsidRPr="00121909" w:rsidRDefault="00E23E60" w:rsidP="00711216">
      <w:pPr>
        <w:pStyle w:val="Betarp"/>
        <w:ind w:firstLine="680"/>
        <w:rPr>
          <w:rFonts w:ascii="Times New Roman" w:hAnsi="Times New Roman"/>
          <w:sz w:val="24"/>
          <w:szCs w:val="24"/>
          <w:lang w:val="lt"/>
        </w:rPr>
      </w:pPr>
    </w:p>
    <w:p w14:paraId="799CD174" w14:textId="77777777" w:rsidR="00E23E60" w:rsidRPr="00121909" w:rsidRDefault="00E23E60" w:rsidP="00711216">
      <w:pPr>
        <w:pStyle w:val="Betarp"/>
        <w:ind w:firstLine="680"/>
        <w:rPr>
          <w:rFonts w:ascii="Times New Roman" w:hAnsi="Times New Roman"/>
          <w:b/>
          <w:sz w:val="24"/>
          <w:szCs w:val="24"/>
          <w:lang w:val="lt"/>
        </w:rPr>
      </w:pPr>
      <w:r w:rsidRPr="00121909">
        <w:rPr>
          <w:rFonts w:ascii="Times New Roman" w:hAnsi="Times New Roman"/>
          <w:b/>
          <w:sz w:val="24"/>
          <w:szCs w:val="24"/>
          <w:lang w:val="lt"/>
        </w:rPr>
        <w:t>2. Remiantis parengta metodika, atlikti įstaigų orientacijos į paslaugų ir aptarnavimo kokybę bandomąją stebėseną:</w:t>
      </w:r>
    </w:p>
    <w:p w14:paraId="101C4814" w14:textId="1DDF98EC"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 xml:space="preserve">2.1. parengti paslaugas teikiančių ir gyventojus aptarnaujančių viešojo sektoriaus įstaigų orientacijos į paslaugų ir aptarnavimo kokybę stebėsenos ataskaitą, kurioje turėtų būti pateikta išsami situacijos Lietuvoje apžvalga, atliktas Lietuvos situacijos palyginimas su užsienio valstybėmis, pateiktos rekomendacijos dėl </w:t>
      </w:r>
      <w:r w:rsidRPr="00121909">
        <w:rPr>
          <w:rFonts w:ascii="Times New Roman" w:hAnsi="Times New Roman" w:cs="Times New Roman"/>
          <w:sz w:val="24"/>
          <w:szCs w:val="24"/>
          <w:lang w:val="lt"/>
        </w:rPr>
        <w:t>įstaigų skatinimo labiau orientuotis į paslaugų ir aptarnavimo kokyb</w:t>
      </w:r>
      <w:r w:rsidR="00BD2CDA">
        <w:rPr>
          <w:rFonts w:ascii="Times New Roman" w:hAnsi="Times New Roman" w:cs="Times New Roman"/>
          <w:sz w:val="24"/>
          <w:szCs w:val="24"/>
          <w:lang w:val="lt-LT"/>
        </w:rPr>
        <w:t>ė</w:t>
      </w:r>
      <w:r w:rsidRPr="00121909">
        <w:rPr>
          <w:rFonts w:ascii="Times New Roman" w:hAnsi="Times New Roman" w:cs="Times New Roman"/>
          <w:sz w:val="24"/>
          <w:szCs w:val="24"/>
          <w:lang w:val="lt"/>
        </w:rPr>
        <w:t xml:space="preserve">s gerinimą ir kt. </w:t>
      </w:r>
    </w:p>
    <w:p w14:paraId="2805E156" w14:textId="77777777"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2.3. esant poreikiui pagal stebėsenos rezultatus patikslinti parengtą metodiką;</w:t>
      </w:r>
    </w:p>
    <w:p w14:paraId="04A27152" w14:textId="25FA57F9" w:rsidR="00E23E60" w:rsidRPr="00121909" w:rsidRDefault="00E23E60" w:rsidP="00711216">
      <w:pPr>
        <w:pStyle w:val="Betarp"/>
        <w:ind w:firstLine="680"/>
        <w:rPr>
          <w:rFonts w:ascii="Times New Roman" w:hAnsi="Times New Roman"/>
          <w:sz w:val="24"/>
          <w:szCs w:val="24"/>
          <w:lang w:val="lt"/>
        </w:rPr>
      </w:pPr>
      <w:r w:rsidRPr="00121909">
        <w:rPr>
          <w:rFonts w:ascii="Times New Roman" w:hAnsi="Times New Roman"/>
          <w:sz w:val="24"/>
          <w:szCs w:val="24"/>
          <w:lang w:val="lt"/>
        </w:rPr>
        <w:t xml:space="preserve">2.4. parengti sąvadą/katalogą, kuris būtų pateiktas kaip duomenų bazė </w:t>
      </w:r>
      <w:r w:rsidRPr="00BD2CDA">
        <w:rPr>
          <w:rFonts w:ascii="Times New Roman" w:hAnsi="Times New Roman"/>
          <w:i/>
          <w:sz w:val="24"/>
          <w:szCs w:val="24"/>
          <w:lang w:val="lt"/>
        </w:rPr>
        <w:t>MS Excel</w:t>
      </w:r>
      <w:r w:rsidRPr="00121909">
        <w:rPr>
          <w:rFonts w:ascii="Times New Roman" w:hAnsi="Times New Roman"/>
          <w:sz w:val="24"/>
          <w:szCs w:val="24"/>
          <w:lang w:val="lt"/>
        </w:rPr>
        <w:t xml:space="preserve"> (ar </w:t>
      </w:r>
      <w:r w:rsidRPr="00BD2CDA">
        <w:rPr>
          <w:rFonts w:ascii="Times New Roman" w:hAnsi="Times New Roman"/>
          <w:i/>
          <w:sz w:val="24"/>
          <w:szCs w:val="24"/>
          <w:lang w:val="lt"/>
        </w:rPr>
        <w:t>Access</w:t>
      </w:r>
      <w:r w:rsidRPr="00121909">
        <w:rPr>
          <w:rFonts w:ascii="Times New Roman" w:hAnsi="Times New Roman"/>
          <w:sz w:val="24"/>
          <w:szCs w:val="24"/>
          <w:lang w:val="lt"/>
        </w:rPr>
        <w:t>) formatu, kurioje būtų pateikti įstaigų vertinimo kriterijai ir įvairios jų charakteristikos, kurių informaciją būtų galima filtruoti pagal įvairius kriterijus (pvz.</w:t>
      </w:r>
      <w:r w:rsidR="00BD2CDA">
        <w:rPr>
          <w:rFonts w:ascii="Times New Roman" w:hAnsi="Times New Roman"/>
          <w:sz w:val="24"/>
          <w:szCs w:val="24"/>
          <w:lang w:val="lt"/>
        </w:rPr>
        <w:t>,</w:t>
      </w:r>
      <w:r w:rsidRPr="00121909">
        <w:rPr>
          <w:rFonts w:ascii="Times New Roman" w:hAnsi="Times New Roman"/>
          <w:sz w:val="24"/>
          <w:szCs w:val="24"/>
          <w:lang w:val="lt"/>
        </w:rPr>
        <w:t xml:space="preserve"> pagal su asmenų aptarnavimu susijusius kriterijus, pagal su paslaugų teikimu susijusius kriterijus,  pagal veiklas, turinčias didžiausią koreliaciją gyventojų pasitenkinimui ir pan.).</w:t>
      </w:r>
    </w:p>
    <w:p w14:paraId="66E1F86E" w14:textId="77777777" w:rsidR="00E23E60" w:rsidRPr="00121909" w:rsidRDefault="00E23E60" w:rsidP="00711216">
      <w:pPr>
        <w:pStyle w:val="Betarp"/>
        <w:ind w:firstLine="680"/>
        <w:rPr>
          <w:rFonts w:ascii="Times New Roman" w:hAnsi="Times New Roman" w:cs="Times New Roman"/>
          <w:sz w:val="24"/>
          <w:szCs w:val="24"/>
          <w:lang w:val="lt"/>
        </w:rPr>
      </w:pPr>
    </w:p>
    <w:p w14:paraId="06048329" w14:textId="77777777" w:rsidR="00E23E60" w:rsidRPr="00121909" w:rsidRDefault="00E23E60" w:rsidP="00711216">
      <w:pPr>
        <w:pStyle w:val="Betarp"/>
        <w:ind w:firstLine="680"/>
        <w:rPr>
          <w:rFonts w:ascii="Times New Roman" w:hAnsi="Times New Roman" w:cs="Times New Roman"/>
          <w:b/>
          <w:sz w:val="24"/>
          <w:szCs w:val="24"/>
          <w:lang w:val="nl-NL"/>
        </w:rPr>
      </w:pPr>
      <w:r w:rsidRPr="00121909">
        <w:rPr>
          <w:rFonts w:ascii="Times New Roman" w:hAnsi="Times New Roman" w:cs="Times New Roman"/>
          <w:b/>
          <w:sz w:val="24"/>
          <w:szCs w:val="24"/>
          <w:lang w:val="nl-NL"/>
        </w:rPr>
        <w:t>3. Bendrieji reikalavimai studijai ir ataskaitai:</w:t>
      </w:r>
    </w:p>
    <w:p w14:paraId="76285E49" w14:textId="77777777" w:rsidR="00E23E60" w:rsidRPr="00121909" w:rsidRDefault="00E23E60" w:rsidP="00711216">
      <w:pPr>
        <w:pStyle w:val="Betarp"/>
        <w:ind w:firstLine="680"/>
        <w:rPr>
          <w:rFonts w:ascii="Times New Roman" w:hAnsi="Times New Roman" w:cs="Times New Roman"/>
          <w:sz w:val="24"/>
          <w:szCs w:val="24"/>
          <w:lang w:val="nl-NL"/>
        </w:rPr>
      </w:pPr>
      <w:r w:rsidRPr="00121909">
        <w:rPr>
          <w:rFonts w:ascii="Times New Roman" w:hAnsi="Times New Roman" w:cs="Times New Roman"/>
          <w:sz w:val="24"/>
          <w:szCs w:val="24"/>
          <w:lang w:val="nl-NL"/>
        </w:rPr>
        <w:t xml:space="preserve">3.1. </w:t>
      </w:r>
      <w:r w:rsidRPr="00121909">
        <w:rPr>
          <w:rFonts w:ascii="Times New Roman" w:eastAsia="Times New Roman" w:hAnsi="Times New Roman" w:cs="Times New Roman"/>
          <w:sz w:val="24"/>
          <w:szCs w:val="24"/>
          <w:lang w:val="nl-NL"/>
        </w:rPr>
        <w:t xml:space="preserve">jie turi būti parengti taisyklinga lietuvių kalba, </w:t>
      </w:r>
      <w:r w:rsidRPr="00121909">
        <w:rPr>
          <w:rFonts w:ascii="Times New Roman" w:hAnsi="Times New Roman" w:cs="Times New Roman"/>
          <w:sz w:val="24"/>
          <w:szCs w:val="24"/>
          <w:lang w:val="nl-NL"/>
        </w:rPr>
        <w:t xml:space="preserve">juose neturi būti gramatikos ir/ar leksikos klaidų, vartojamos sąvokos semantine prasme turi būti taisyklingos; </w:t>
      </w:r>
    </w:p>
    <w:p w14:paraId="05B5FEAC" w14:textId="77777777" w:rsidR="00E23E60" w:rsidRPr="00121909" w:rsidRDefault="00E23E60" w:rsidP="00711216">
      <w:pPr>
        <w:pStyle w:val="Betarp"/>
        <w:ind w:firstLine="680"/>
        <w:rPr>
          <w:rFonts w:ascii="Times New Roman" w:hAnsi="Times New Roman" w:cs="Times New Roman"/>
          <w:sz w:val="24"/>
          <w:szCs w:val="24"/>
          <w:lang w:val="nl-NL"/>
        </w:rPr>
      </w:pPr>
      <w:r w:rsidRPr="00121909">
        <w:rPr>
          <w:rFonts w:ascii="Times New Roman" w:hAnsi="Times New Roman" w:cs="Times New Roman"/>
          <w:sz w:val="24"/>
          <w:szCs w:val="24"/>
          <w:lang w:val="nl-NL"/>
        </w:rPr>
        <w:t>3.2. turi būti užtikrinta, kad juose vartojamų sąvokų turinys atitiktų Lietuvos Respublikos teisės aktuose vartojamas sąvokas; turi būti pateikti iš užsienio kalbų išverstų sąvokų paaiškinimai;</w:t>
      </w:r>
    </w:p>
    <w:p w14:paraId="31F7D28B" w14:textId="77777777" w:rsidR="00E23E60" w:rsidRPr="00121909" w:rsidRDefault="00E23E60" w:rsidP="00711216">
      <w:pPr>
        <w:pStyle w:val="Betarp"/>
        <w:ind w:firstLine="680"/>
        <w:rPr>
          <w:rFonts w:ascii="Times New Roman" w:hAnsi="Times New Roman" w:cs="Times New Roman"/>
          <w:sz w:val="24"/>
          <w:szCs w:val="24"/>
          <w:lang w:val="nl-NL"/>
        </w:rPr>
      </w:pPr>
      <w:r w:rsidRPr="00121909">
        <w:rPr>
          <w:rFonts w:ascii="Times New Roman" w:hAnsi="Times New Roman" w:cs="Times New Roman"/>
          <w:sz w:val="24"/>
          <w:szCs w:val="24"/>
          <w:lang w:val="nl-NL"/>
        </w:rPr>
        <w:t>3.3.</w:t>
      </w:r>
      <w:r w:rsidRPr="00121909">
        <w:rPr>
          <w:rFonts w:ascii="Times New Roman" w:eastAsia="Times New Roman" w:hAnsi="Times New Roman" w:cs="Times New Roman"/>
          <w:sz w:val="24"/>
          <w:szCs w:val="24"/>
          <w:lang w:val="nl-NL"/>
        </w:rPr>
        <w:t xml:space="preserve"> turi būti iliustruoti lentelėmis, grafikais ir kitomis vaizdinėmis priemonėmis;</w:t>
      </w:r>
    </w:p>
    <w:p w14:paraId="0B54F1F8" w14:textId="77777777" w:rsidR="00E23E60" w:rsidRPr="00121909" w:rsidRDefault="00E23E60" w:rsidP="00711216">
      <w:pPr>
        <w:pStyle w:val="Betarp"/>
        <w:ind w:firstLine="680"/>
        <w:rPr>
          <w:rFonts w:ascii="Times New Roman" w:hAnsi="Times New Roman" w:cs="Times New Roman"/>
          <w:sz w:val="24"/>
          <w:szCs w:val="24"/>
          <w:lang w:val="nl-NL"/>
        </w:rPr>
      </w:pPr>
      <w:r w:rsidRPr="00121909">
        <w:rPr>
          <w:rFonts w:ascii="Times New Roman" w:hAnsi="Times New Roman" w:cs="Times New Roman"/>
          <w:sz w:val="24"/>
          <w:szCs w:val="24"/>
          <w:lang w:val="nl-NL"/>
        </w:rPr>
        <w:t xml:space="preserve">3.4. turi būti išdėstyti </w:t>
      </w:r>
      <w:r w:rsidRPr="00BD2CDA">
        <w:rPr>
          <w:rFonts w:ascii="Times New Roman" w:hAnsi="Times New Roman" w:cs="Times New Roman"/>
          <w:i/>
          <w:sz w:val="24"/>
          <w:szCs w:val="24"/>
          <w:lang w:val="nl-NL"/>
        </w:rPr>
        <w:t>Microsoft Word</w:t>
      </w:r>
      <w:r w:rsidRPr="00121909">
        <w:rPr>
          <w:rFonts w:ascii="Times New Roman" w:hAnsi="Times New Roman" w:cs="Times New Roman"/>
          <w:sz w:val="24"/>
          <w:szCs w:val="24"/>
          <w:lang w:val="nl-NL"/>
        </w:rPr>
        <w:t xml:space="preserve"> formatu 12 šifru, tarpai tarp teksto eilučių – 1,5 eilutės, teksto apimtis – ne mažiau kaip 50 puslapių A4 formatu; </w:t>
      </w:r>
    </w:p>
    <w:p w14:paraId="54D377E8" w14:textId="77777777" w:rsidR="00E23E60" w:rsidRPr="00121909" w:rsidRDefault="00E23E60" w:rsidP="00711216">
      <w:pPr>
        <w:pStyle w:val="Betarp"/>
        <w:ind w:firstLine="680"/>
        <w:rPr>
          <w:rFonts w:ascii="Times New Roman" w:hAnsi="Times New Roman" w:cs="Times New Roman"/>
          <w:sz w:val="24"/>
          <w:szCs w:val="24"/>
          <w:lang w:val="nl-NL"/>
        </w:rPr>
      </w:pPr>
      <w:r w:rsidRPr="00121909">
        <w:rPr>
          <w:rFonts w:ascii="Times New Roman" w:hAnsi="Times New Roman" w:cs="Times New Roman"/>
          <w:sz w:val="24"/>
          <w:szCs w:val="24"/>
          <w:lang w:val="nl-NL"/>
        </w:rPr>
        <w:t>3.5. turi būti pateiktos  santraukos anglų kalba (2-3 puslapių apimties kiekviena);</w:t>
      </w:r>
    </w:p>
    <w:p w14:paraId="4FABDDB1" w14:textId="77777777" w:rsidR="00E23E60" w:rsidRPr="00121909" w:rsidRDefault="00E23E60" w:rsidP="00711216">
      <w:pPr>
        <w:pStyle w:val="Betarp"/>
        <w:ind w:firstLine="680"/>
        <w:rPr>
          <w:rFonts w:ascii="Times New Roman" w:hAnsi="Times New Roman" w:cs="Times New Roman"/>
          <w:sz w:val="24"/>
          <w:szCs w:val="24"/>
          <w:lang w:val="nl-NL"/>
        </w:rPr>
      </w:pPr>
      <w:r w:rsidRPr="00121909">
        <w:rPr>
          <w:rFonts w:ascii="Times New Roman" w:hAnsi="Times New Roman" w:cs="Times New Roman"/>
          <w:sz w:val="24"/>
          <w:szCs w:val="24"/>
          <w:lang w:val="nl-NL"/>
        </w:rPr>
        <w:lastRenderedPageBreak/>
        <w:t>3.6. turi būti pateikti literatūros ir kitų informacijos šaltinių, kuriais buvo remtasi, sąrašai;</w:t>
      </w:r>
    </w:p>
    <w:p w14:paraId="0F64A40C" w14:textId="4C9E18C6" w:rsidR="00E23E60" w:rsidRPr="009F3A1C" w:rsidRDefault="00E23E60" w:rsidP="00711216">
      <w:pPr>
        <w:pStyle w:val="Betarp"/>
        <w:ind w:firstLine="680"/>
        <w:rPr>
          <w:sz w:val="24"/>
          <w:szCs w:val="24"/>
          <w:lang w:val="lt-LT"/>
        </w:rPr>
      </w:pPr>
      <w:r w:rsidRPr="009F3A1C">
        <w:rPr>
          <w:rFonts w:ascii="Times New Roman" w:hAnsi="Times New Roman" w:cs="Times New Roman"/>
          <w:sz w:val="24"/>
          <w:szCs w:val="24"/>
          <w:lang w:val="lt-LT"/>
        </w:rPr>
        <w:t>3.7.  turi būti parengti 2 straipsniai, pristatant</w:t>
      </w:r>
      <w:r w:rsidR="00BD2CDA" w:rsidRPr="009F3A1C">
        <w:rPr>
          <w:rFonts w:ascii="Times New Roman" w:hAnsi="Times New Roman" w:cs="Times New Roman"/>
          <w:sz w:val="24"/>
          <w:szCs w:val="24"/>
          <w:lang w:val="lt-LT"/>
        </w:rPr>
        <w:t>y</w:t>
      </w:r>
      <w:r w:rsidRPr="009F3A1C">
        <w:rPr>
          <w:rFonts w:ascii="Times New Roman" w:hAnsi="Times New Roman" w:cs="Times New Roman"/>
          <w:sz w:val="24"/>
          <w:szCs w:val="24"/>
          <w:lang w:val="lt-LT"/>
        </w:rPr>
        <w:t xml:space="preserve">s </w:t>
      </w:r>
      <w:r w:rsidRPr="009F3A1C">
        <w:rPr>
          <w:rFonts w:ascii="Times New Roman" w:hAnsi="Times New Roman" w:cs="Times New Roman"/>
          <w:color w:val="000000"/>
          <w:sz w:val="24"/>
          <w:szCs w:val="24"/>
          <w:lang w:val="lt-LT"/>
        </w:rPr>
        <w:t>metodiką ir ataskaitą</w:t>
      </w:r>
      <w:r w:rsidRPr="009F3A1C">
        <w:rPr>
          <w:rFonts w:ascii="Times New Roman" w:hAnsi="Times New Roman" w:cs="Times New Roman"/>
          <w:sz w:val="24"/>
          <w:szCs w:val="24"/>
          <w:lang w:val="lt-LT"/>
        </w:rPr>
        <w:t xml:space="preserve"> visuomenei (kiekvienas 2-3 puslapių apimties) ir parengtos metodiką ir ataskaitą pristatančios skaidrės (ne mažiau kaip 15 skaidrių), kurias pagal poreikį turėtų pristatyti Vidaus reikalų ministerijos organizuojamuose renginiuose (ne mažiau kaip 3 renginiai);</w:t>
      </w:r>
    </w:p>
    <w:p w14:paraId="3F2A2D8E" w14:textId="22CECB71" w:rsidR="00711216" w:rsidRPr="009F3A1C" w:rsidRDefault="00E23E60" w:rsidP="00711216">
      <w:pPr>
        <w:pStyle w:val="Betarp"/>
        <w:ind w:firstLine="680"/>
        <w:rPr>
          <w:rFonts w:ascii="Times New Roman" w:hAnsi="Times New Roman" w:cs="Times New Roman"/>
          <w:sz w:val="24"/>
          <w:szCs w:val="24"/>
          <w:lang w:val="lt-LT"/>
        </w:rPr>
      </w:pPr>
      <w:r w:rsidRPr="009F3A1C">
        <w:rPr>
          <w:rFonts w:ascii="Times New Roman" w:eastAsia="Times New Roman" w:hAnsi="Times New Roman" w:cs="Times New Roman"/>
          <w:sz w:val="24"/>
          <w:szCs w:val="24"/>
          <w:lang w:val="lt-LT"/>
        </w:rPr>
        <w:t>3.8</w:t>
      </w:r>
      <w:r w:rsidRPr="009F3A1C">
        <w:rPr>
          <w:rFonts w:ascii="Times New Roman" w:hAnsi="Times New Roman" w:cs="Times New Roman"/>
          <w:sz w:val="24"/>
          <w:szCs w:val="24"/>
          <w:lang w:val="lt-LT"/>
        </w:rPr>
        <w:t>. turi būti pateikti Vidaus reikalų ministerijai kiekviena po 2 spalvotai atspausdintais ir įrištais egzemplioriais ir skaitmeniniu įrašu (</w:t>
      </w:r>
      <w:r w:rsidRPr="009F3A1C">
        <w:rPr>
          <w:rFonts w:ascii="Times New Roman" w:hAnsi="Times New Roman" w:cs="Times New Roman"/>
          <w:i/>
          <w:sz w:val="24"/>
          <w:szCs w:val="24"/>
          <w:lang w:val="lt-LT"/>
        </w:rPr>
        <w:t>MS Word</w:t>
      </w:r>
      <w:r w:rsidRPr="009F3A1C">
        <w:rPr>
          <w:rFonts w:ascii="Times New Roman" w:hAnsi="Times New Roman" w:cs="Times New Roman"/>
          <w:sz w:val="24"/>
          <w:szCs w:val="24"/>
          <w:lang w:val="lt-LT"/>
        </w:rPr>
        <w:t xml:space="preserve"> formatu) kompaktiniame diske 2 vnt.</w:t>
      </w:r>
    </w:p>
    <w:tbl>
      <w:tblPr>
        <w:tblpPr w:leftFromText="180" w:rightFromText="180" w:vertAnchor="text" w:horzAnchor="margin" w:tblpY="282"/>
        <w:tblW w:w="9307" w:type="dxa"/>
        <w:tblLook w:val="0000" w:firstRow="0" w:lastRow="0" w:firstColumn="0" w:lastColumn="0" w:noHBand="0" w:noVBand="0"/>
      </w:tblPr>
      <w:tblGrid>
        <w:gridCol w:w="4788"/>
        <w:gridCol w:w="4519"/>
      </w:tblGrid>
      <w:tr w:rsidR="00711216" w:rsidRPr="00711216" w14:paraId="343CFD51" w14:textId="77777777" w:rsidTr="00E42D34">
        <w:trPr>
          <w:trHeight w:val="3403"/>
        </w:trPr>
        <w:tc>
          <w:tcPr>
            <w:tcW w:w="4788" w:type="dxa"/>
            <w:shd w:val="clear" w:color="auto" w:fill="auto"/>
          </w:tcPr>
          <w:p w14:paraId="535B4047" w14:textId="77777777" w:rsidR="00711216" w:rsidRPr="00711216" w:rsidRDefault="00711216" w:rsidP="00BD2CDA">
            <w:pPr>
              <w:spacing w:after="0" w:line="240" w:lineRule="auto"/>
              <w:ind w:left="420"/>
              <w:contextualSpacing/>
              <w:rPr>
                <w:rFonts w:ascii="Times New Roman" w:eastAsiaTheme="minorHAnsi" w:hAnsi="Times New Roman" w:cs="Times New Roman"/>
                <w:b/>
                <w:sz w:val="24"/>
                <w:szCs w:val="24"/>
                <w:lang w:val="lt-LT" w:bidi="en-US"/>
              </w:rPr>
            </w:pPr>
          </w:p>
          <w:p w14:paraId="6EBDD6F5" w14:textId="77777777" w:rsidR="00711216" w:rsidRPr="00711216" w:rsidRDefault="00711216" w:rsidP="00BD2CDA">
            <w:pPr>
              <w:spacing w:after="0" w:line="240" w:lineRule="auto"/>
              <w:ind w:left="420" w:hanging="420"/>
              <w:contextualSpacing/>
              <w:rPr>
                <w:rFonts w:ascii="Times New Roman" w:eastAsiaTheme="minorHAnsi" w:hAnsi="Times New Roman" w:cs="Times New Roman"/>
                <w:b/>
                <w:sz w:val="24"/>
                <w:szCs w:val="24"/>
                <w:lang w:val="lt-LT" w:bidi="en-US"/>
              </w:rPr>
            </w:pPr>
            <w:r w:rsidRPr="00711216">
              <w:rPr>
                <w:rFonts w:ascii="Times New Roman" w:eastAsiaTheme="minorHAnsi" w:hAnsi="Times New Roman" w:cs="Times New Roman"/>
                <w:b/>
                <w:sz w:val="24"/>
                <w:szCs w:val="24"/>
                <w:lang w:val="lt-LT" w:bidi="en-US"/>
              </w:rPr>
              <w:t>KLIENTAS</w:t>
            </w:r>
          </w:p>
          <w:p w14:paraId="03EC55D1" w14:textId="77777777" w:rsidR="00711216" w:rsidRPr="00711216" w:rsidRDefault="00711216" w:rsidP="00BD2CDA">
            <w:pPr>
              <w:spacing w:after="0" w:line="240" w:lineRule="auto"/>
              <w:ind w:left="420" w:hanging="420"/>
              <w:contextualSpacing/>
              <w:rPr>
                <w:rFonts w:ascii="Times New Roman" w:eastAsiaTheme="minorHAnsi" w:hAnsi="Times New Roman" w:cs="Times New Roman"/>
                <w:b/>
                <w:sz w:val="24"/>
                <w:szCs w:val="24"/>
                <w:lang w:val="lt-LT" w:bidi="en-US"/>
              </w:rPr>
            </w:pPr>
          </w:p>
          <w:p w14:paraId="1CA4DA1E" w14:textId="77777777" w:rsidR="00711216" w:rsidRPr="00711216" w:rsidRDefault="00711216" w:rsidP="00BD2CDA">
            <w:pPr>
              <w:spacing w:after="0" w:line="240" w:lineRule="auto"/>
              <w:ind w:left="420" w:hanging="420"/>
              <w:contextualSpacing/>
              <w:rPr>
                <w:rFonts w:ascii="Times New Roman" w:eastAsiaTheme="minorHAnsi" w:hAnsi="Times New Roman" w:cs="Times New Roman"/>
                <w:b/>
                <w:sz w:val="24"/>
                <w:szCs w:val="24"/>
                <w:lang w:val="lt-LT" w:bidi="en-US"/>
              </w:rPr>
            </w:pPr>
            <w:r w:rsidRPr="00711216">
              <w:rPr>
                <w:rFonts w:ascii="Times New Roman" w:eastAsiaTheme="minorHAnsi" w:hAnsi="Times New Roman" w:cs="Times New Roman"/>
                <w:b/>
                <w:sz w:val="24"/>
                <w:szCs w:val="24"/>
                <w:lang w:val="lt-LT" w:bidi="en-US"/>
              </w:rPr>
              <w:t xml:space="preserve">Valstybės tarnybos departamentas </w:t>
            </w:r>
          </w:p>
          <w:p w14:paraId="7B50644C" w14:textId="77777777" w:rsidR="00711216" w:rsidRPr="00711216" w:rsidRDefault="00711216" w:rsidP="00BD2CDA">
            <w:pPr>
              <w:spacing w:after="0" w:line="240" w:lineRule="auto"/>
              <w:ind w:left="420" w:hanging="420"/>
              <w:contextualSpacing/>
              <w:rPr>
                <w:rFonts w:ascii="Times New Roman" w:eastAsiaTheme="minorHAnsi" w:hAnsi="Times New Roman" w:cs="Times New Roman"/>
                <w:b/>
                <w:sz w:val="24"/>
                <w:szCs w:val="24"/>
                <w:lang w:val="lt-LT" w:bidi="en-US"/>
              </w:rPr>
            </w:pPr>
            <w:r w:rsidRPr="00711216">
              <w:rPr>
                <w:rFonts w:ascii="Times New Roman" w:eastAsiaTheme="minorHAnsi" w:hAnsi="Times New Roman" w:cs="Times New Roman"/>
                <w:b/>
                <w:sz w:val="24"/>
                <w:szCs w:val="24"/>
                <w:lang w:val="lt-LT" w:bidi="en-US"/>
              </w:rPr>
              <w:t xml:space="preserve">prie Lietuvos Respublikos </w:t>
            </w:r>
          </w:p>
          <w:p w14:paraId="5624A8AD" w14:textId="77777777" w:rsidR="00711216" w:rsidRPr="00711216" w:rsidRDefault="00711216" w:rsidP="00BD2CDA">
            <w:pPr>
              <w:spacing w:after="0" w:line="240" w:lineRule="auto"/>
              <w:contextualSpacing/>
              <w:rPr>
                <w:rFonts w:ascii="Times New Roman" w:eastAsiaTheme="minorHAnsi" w:hAnsi="Times New Roman" w:cs="Times New Roman"/>
                <w:b/>
                <w:sz w:val="24"/>
                <w:szCs w:val="24"/>
                <w:lang w:val="lt-LT" w:bidi="en-US"/>
              </w:rPr>
            </w:pPr>
            <w:r w:rsidRPr="00711216">
              <w:rPr>
                <w:rFonts w:ascii="Times New Roman" w:eastAsiaTheme="minorHAnsi" w:hAnsi="Times New Roman" w:cs="Times New Roman"/>
                <w:b/>
                <w:sz w:val="24"/>
                <w:szCs w:val="24"/>
                <w:lang w:val="lt-LT" w:bidi="en-US"/>
              </w:rPr>
              <w:t>vidaus reikalų ministerija</w:t>
            </w:r>
          </w:p>
          <w:p w14:paraId="5767D26F" w14:textId="77777777" w:rsidR="00711216" w:rsidRPr="00711216" w:rsidRDefault="00711216" w:rsidP="00BD2CDA">
            <w:pPr>
              <w:spacing w:after="0" w:line="240" w:lineRule="auto"/>
              <w:contextualSpacing/>
              <w:rPr>
                <w:rFonts w:ascii="Times New Roman" w:eastAsiaTheme="minorHAnsi" w:hAnsi="Times New Roman" w:cs="Times New Roman"/>
                <w:b/>
                <w:sz w:val="24"/>
                <w:szCs w:val="24"/>
                <w:lang w:val="lt-LT" w:bidi="en-US"/>
              </w:rPr>
            </w:pPr>
          </w:p>
          <w:p w14:paraId="4500C125" w14:textId="77777777" w:rsidR="00711216" w:rsidRPr="00711216" w:rsidRDefault="00711216" w:rsidP="00BD2CDA">
            <w:pPr>
              <w:spacing w:after="0" w:line="240" w:lineRule="auto"/>
              <w:contextualSpacing/>
              <w:rPr>
                <w:rFonts w:ascii="Times New Roman" w:eastAsiaTheme="minorHAnsi" w:hAnsi="Times New Roman" w:cs="Times New Roman"/>
                <w:b/>
                <w:sz w:val="24"/>
                <w:szCs w:val="24"/>
                <w:lang w:val="lt-LT" w:bidi="en-US"/>
              </w:rPr>
            </w:pPr>
          </w:p>
          <w:p w14:paraId="48FE7398" w14:textId="77777777" w:rsidR="00711216" w:rsidRPr="00711216" w:rsidRDefault="00711216" w:rsidP="00BD2CDA">
            <w:pPr>
              <w:spacing w:after="0" w:line="240" w:lineRule="auto"/>
              <w:rPr>
                <w:rFonts w:ascii="Times New Roman" w:hAnsi="Times New Roman" w:cs="Times New Roman"/>
                <w:sz w:val="24"/>
                <w:szCs w:val="24"/>
                <w:lang w:val="lt-LT"/>
              </w:rPr>
            </w:pPr>
            <w:r w:rsidRPr="00711216">
              <w:rPr>
                <w:rFonts w:ascii="Times New Roman" w:hAnsi="Times New Roman" w:cs="Times New Roman"/>
                <w:sz w:val="24"/>
                <w:szCs w:val="24"/>
                <w:lang w:val="lt-LT"/>
              </w:rPr>
              <w:t xml:space="preserve">Ministerijos kancleris </w:t>
            </w:r>
          </w:p>
          <w:p w14:paraId="64A56F2D" w14:textId="77777777" w:rsidR="00711216" w:rsidRPr="00711216" w:rsidRDefault="00711216" w:rsidP="00BD2CDA">
            <w:pPr>
              <w:spacing w:after="0" w:line="240" w:lineRule="auto"/>
              <w:rPr>
                <w:rFonts w:ascii="Times New Roman" w:hAnsi="Times New Roman" w:cs="Times New Roman"/>
                <w:sz w:val="24"/>
                <w:szCs w:val="24"/>
                <w:lang w:val="lt-LT"/>
              </w:rPr>
            </w:pPr>
          </w:p>
          <w:p w14:paraId="39A6ECD6" w14:textId="77777777" w:rsidR="00711216" w:rsidRPr="00711216" w:rsidRDefault="00711216" w:rsidP="00BD2CDA">
            <w:pPr>
              <w:spacing w:after="0" w:line="240" w:lineRule="auto"/>
              <w:contextualSpacing/>
              <w:jc w:val="center"/>
              <w:rPr>
                <w:rFonts w:ascii="Times New Roman" w:hAnsi="Times New Roman" w:cs="Times New Roman"/>
                <w:sz w:val="24"/>
                <w:szCs w:val="24"/>
                <w:lang w:val="lt-LT"/>
              </w:rPr>
            </w:pPr>
            <w:r w:rsidRPr="00711216">
              <w:rPr>
                <w:rFonts w:ascii="Times New Roman" w:hAnsi="Times New Roman" w:cs="Times New Roman"/>
                <w:sz w:val="24"/>
                <w:szCs w:val="24"/>
                <w:lang w:val="lt-LT"/>
              </w:rPr>
              <w:t xml:space="preserve">                                  A. V.                              </w:t>
            </w:r>
          </w:p>
          <w:p w14:paraId="53D89F43" w14:textId="77777777" w:rsidR="00711216" w:rsidRPr="00711216" w:rsidRDefault="00711216" w:rsidP="00BD2CDA">
            <w:pPr>
              <w:spacing w:after="0" w:line="240" w:lineRule="auto"/>
              <w:ind w:left="420" w:hanging="420"/>
              <w:contextualSpacing/>
              <w:rPr>
                <w:rFonts w:ascii="Times New Roman" w:eastAsiaTheme="minorHAnsi" w:hAnsi="Times New Roman" w:cs="Times New Roman"/>
                <w:b/>
                <w:sz w:val="24"/>
                <w:szCs w:val="24"/>
                <w:lang w:val="lt-LT" w:bidi="en-US"/>
              </w:rPr>
            </w:pPr>
            <w:r w:rsidRPr="00711216">
              <w:rPr>
                <w:rFonts w:ascii="Times New Roman" w:hAnsi="Times New Roman" w:cs="Times New Roman"/>
                <w:sz w:val="24"/>
                <w:szCs w:val="24"/>
                <w:lang w:val="lt-LT"/>
              </w:rPr>
              <w:t>Valdemar Urban</w:t>
            </w:r>
          </w:p>
        </w:tc>
        <w:tc>
          <w:tcPr>
            <w:tcW w:w="4519" w:type="dxa"/>
            <w:shd w:val="clear" w:color="auto" w:fill="auto"/>
          </w:tcPr>
          <w:p w14:paraId="3862BF28" w14:textId="77777777" w:rsidR="00711216" w:rsidRPr="00711216" w:rsidRDefault="00711216" w:rsidP="00BD2CDA">
            <w:pPr>
              <w:spacing w:after="0" w:line="240" w:lineRule="auto"/>
              <w:ind w:left="420"/>
              <w:contextualSpacing/>
              <w:rPr>
                <w:rFonts w:ascii="Times New Roman" w:eastAsiaTheme="minorHAnsi" w:hAnsi="Times New Roman" w:cs="Times New Roman"/>
                <w:b/>
                <w:sz w:val="24"/>
                <w:szCs w:val="24"/>
                <w:lang w:val="lt-LT" w:bidi="en-US"/>
              </w:rPr>
            </w:pPr>
          </w:p>
          <w:p w14:paraId="3F4C3800" w14:textId="77777777" w:rsidR="00711216" w:rsidRPr="00711216" w:rsidRDefault="00711216" w:rsidP="00BD2CDA">
            <w:pPr>
              <w:spacing w:after="0" w:line="240" w:lineRule="auto"/>
              <w:ind w:left="174"/>
              <w:contextualSpacing/>
              <w:rPr>
                <w:rFonts w:ascii="Times New Roman" w:eastAsiaTheme="minorHAnsi" w:hAnsi="Times New Roman" w:cs="Times New Roman"/>
                <w:b/>
                <w:sz w:val="24"/>
                <w:szCs w:val="24"/>
                <w:lang w:val="lt-LT" w:bidi="en-US"/>
              </w:rPr>
            </w:pPr>
            <w:r w:rsidRPr="00711216">
              <w:rPr>
                <w:rFonts w:ascii="Times New Roman" w:eastAsiaTheme="minorHAnsi" w:hAnsi="Times New Roman" w:cs="Times New Roman"/>
                <w:b/>
                <w:sz w:val="24"/>
                <w:szCs w:val="24"/>
                <w:lang w:val="lt-LT" w:bidi="en-US"/>
              </w:rPr>
              <w:t>PASLAUGŲ TEIKĖJAS</w:t>
            </w:r>
          </w:p>
          <w:p w14:paraId="6A0D2300" w14:textId="77777777" w:rsidR="00711216" w:rsidRPr="00711216" w:rsidRDefault="00711216" w:rsidP="00BD2CDA">
            <w:pPr>
              <w:spacing w:after="0" w:line="240" w:lineRule="auto"/>
              <w:ind w:left="420"/>
              <w:contextualSpacing/>
              <w:rPr>
                <w:rFonts w:ascii="Times New Roman" w:eastAsiaTheme="minorHAnsi" w:hAnsi="Times New Roman" w:cs="Times New Roman"/>
                <w:b/>
                <w:sz w:val="24"/>
                <w:szCs w:val="24"/>
                <w:lang w:val="lt-LT" w:bidi="en-US"/>
              </w:rPr>
            </w:pPr>
          </w:p>
          <w:p w14:paraId="1504B063" w14:textId="77777777" w:rsidR="00711216" w:rsidRPr="00711216" w:rsidRDefault="00711216" w:rsidP="00BD2CDA">
            <w:pPr>
              <w:spacing w:after="0" w:line="240" w:lineRule="auto"/>
              <w:ind w:left="174"/>
              <w:contextualSpacing/>
              <w:rPr>
                <w:rFonts w:ascii="Times New Roman" w:eastAsiaTheme="minorHAnsi" w:hAnsi="Times New Roman" w:cs="Times New Roman"/>
                <w:b/>
                <w:sz w:val="24"/>
                <w:szCs w:val="24"/>
                <w:lang w:val="lt-LT" w:bidi="en-US"/>
              </w:rPr>
            </w:pPr>
            <w:r w:rsidRPr="00711216">
              <w:rPr>
                <w:rFonts w:ascii="Times New Roman" w:eastAsiaTheme="minorHAnsi" w:hAnsi="Times New Roman" w:cs="Times New Roman"/>
                <w:b/>
                <w:bCs/>
                <w:sz w:val="24"/>
                <w:szCs w:val="24"/>
                <w:lang w:val="lt-LT" w:bidi="en-US"/>
              </w:rPr>
              <w:t>Ūkio subjektų grupė, sudaryta iš UAB „Kvalitetas“ ir Mykolo Romerio universiteto, atstovaujama atsakingojo partnerio UAB „Kvalitetas“</w:t>
            </w:r>
          </w:p>
          <w:p w14:paraId="6FEF8354" w14:textId="77777777" w:rsidR="00711216" w:rsidRPr="00711216" w:rsidRDefault="00711216" w:rsidP="00BD2CDA">
            <w:pPr>
              <w:spacing w:after="0" w:line="240" w:lineRule="auto"/>
              <w:ind w:left="420"/>
              <w:contextualSpacing/>
              <w:rPr>
                <w:rFonts w:ascii="Times New Roman" w:eastAsiaTheme="minorHAnsi" w:hAnsi="Times New Roman" w:cs="Times New Roman"/>
                <w:b/>
                <w:sz w:val="24"/>
                <w:szCs w:val="24"/>
                <w:lang w:val="lt-LT" w:bidi="en-US"/>
              </w:rPr>
            </w:pPr>
          </w:p>
          <w:p w14:paraId="528E24A7" w14:textId="77777777" w:rsidR="00711216" w:rsidRPr="00711216" w:rsidRDefault="00711216" w:rsidP="00BD2CDA">
            <w:pPr>
              <w:widowControl w:val="0"/>
              <w:autoSpaceDE w:val="0"/>
              <w:autoSpaceDN w:val="0"/>
              <w:adjustRightInd w:val="0"/>
              <w:spacing w:after="0" w:line="240" w:lineRule="auto"/>
              <w:ind w:left="174" w:hanging="457"/>
              <w:rPr>
                <w:rFonts w:ascii="Times New Roman" w:hAnsi="Times New Roman" w:cs="Times New Roman"/>
                <w:sz w:val="24"/>
                <w:szCs w:val="24"/>
                <w:lang w:val="lt-LT"/>
              </w:rPr>
            </w:pPr>
            <w:r w:rsidRPr="00711216">
              <w:rPr>
                <w:rFonts w:ascii="Times New Roman" w:hAnsi="Times New Roman" w:cs="Times New Roman"/>
                <w:sz w:val="24"/>
                <w:szCs w:val="24"/>
                <w:lang w:val="lt-LT"/>
              </w:rPr>
              <w:t xml:space="preserve">        Vadybos konsultantas ir projektų koordinatorius </w:t>
            </w:r>
          </w:p>
          <w:p w14:paraId="3220ED51" w14:textId="77777777" w:rsidR="00711216" w:rsidRPr="00711216" w:rsidRDefault="00711216" w:rsidP="00BD2CDA">
            <w:pPr>
              <w:widowControl w:val="0"/>
              <w:autoSpaceDE w:val="0"/>
              <w:autoSpaceDN w:val="0"/>
              <w:adjustRightInd w:val="0"/>
              <w:spacing w:after="0" w:line="240" w:lineRule="auto"/>
              <w:ind w:left="174" w:hanging="174"/>
              <w:rPr>
                <w:rFonts w:ascii="Times New Roman" w:hAnsi="Times New Roman" w:cs="Times New Roman"/>
                <w:sz w:val="24"/>
                <w:szCs w:val="24"/>
                <w:lang w:val="lt-LT"/>
              </w:rPr>
            </w:pPr>
            <w:r w:rsidRPr="00711216">
              <w:rPr>
                <w:rFonts w:ascii="Times New Roman" w:hAnsi="Times New Roman" w:cs="Times New Roman"/>
                <w:sz w:val="24"/>
                <w:szCs w:val="24"/>
                <w:lang w:val="lt-LT"/>
              </w:rPr>
              <w:t xml:space="preserve">                                                           A. V.                                Darius Čapas</w:t>
            </w:r>
          </w:p>
        </w:tc>
      </w:tr>
    </w:tbl>
    <w:p w14:paraId="50226A77" w14:textId="77777777" w:rsidR="00711216" w:rsidRPr="00711216" w:rsidRDefault="00711216" w:rsidP="00BD2CDA">
      <w:pPr>
        <w:pStyle w:val="Betarp"/>
        <w:rPr>
          <w:rFonts w:ascii="Times New Roman" w:hAnsi="Times New Roman" w:cs="Times New Roman"/>
          <w:b/>
          <w:sz w:val="24"/>
          <w:szCs w:val="24"/>
        </w:rPr>
      </w:pPr>
    </w:p>
    <w:p w14:paraId="3B9CFFAB" w14:textId="6114AB6D" w:rsidR="0018021B" w:rsidRPr="007B004A" w:rsidRDefault="0018021B" w:rsidP="00711216">
      <w:pPr>
        <w:spacing w:before="60" w:after="60" w:line="240" w:lineRule="auto"/>
        <w:ind w:firstLine="680"/>
        <w:jc w:val="center"/>
        <w:rPr>
          <w:rFonts w:ascii="Calibri Light" w:hAnsi="Calibri Light" w:cs="Calibri Light"/>
          <w:b/>
          <w:sz w:val="20"/>
          <w:szCs w:val="20"/>
          <w:lang w:val="lt-LT"/>
        </w:rPr>
      </w:pPr>
    </w:p>
    <w:sectPr w:rsidR="0018021B" w:rsidRPr="007B004A" w:rsidSect="00711216">
      <w:footerReference w:type="default" r:id="rId11"/>
      <w:pgSz w:w="11907" w:h="16839" w:code="9"/>
      <w:pgMar w:top="1134" w:right="567" w:bottom="1134"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426DA" w14:textId="77777777" w:rsidR="001A6D04" w:rsidRDefault="001A6D04">
      <w:pPr>
        <w:spacing w:after="0" w:line="240" w:lineRule="auto"/>
      </w:pPr>
      <w:r>
        <w:separator/>
      </w:r>
    </w:p>
  </w:endnote>
  <w:endnote w:type="continuationSeparator" w:id="0">
    <w:p w14:paraId="24F11D4E" w14:textId="77777777" w:rsidR="001A6D04" w:rsidRDefault="001A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B049A">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B049A">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5B61" w14:textId="77777777" w:rsidR="001A6D04" w:rsidRDefault="001A6D04">
      <w:pPr>
        <w:spacing w:after="0" w:line="240" w:lineRule="auto"/>
      </w:pPr>
      <w:r>
        <w:separator/>
      </w:r>
    </w:p>
  </w:footnote>
  <w:footnote w:type="continuationSeparator" w:id="0">
    <w:p w14:paraId="00384DC1" w14:textId="77777777" w:rsidR="001A6D04" w:rsidRDefault="001A6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2"/>
  </w:num>
  <w:num w:numId="14">
    <w:abstractNumId w:val="17"/>
  </w:num>
  <w:num w:numId="15">
    <w:abstractNumId w:val="37"/>
  </w:num>
  <w:num w:numId="16">
    <w:abstractNumId w:val="14"/>
  </w:num>
  <w:num w:numId="17">
    <w:abstractNumId w:val="30"/>
  </w:num>
  <w:num w:numId="18">
    <w:abstractNumId w:val="23"/>
  </w:num>
  <w:num w:numId="19">
    <w:abstractNumId w:val="19"/>
  </w:num>
  <w:num w:numId="20">
    <w:abstractNumId w:val="25"/>
  </w:num>
  <w:num w:numId="21">
    <w:abstractNumId w:val="33"/>
  </w:num>
  <w:num w:numId="22">
    <w:abstractNumId w:val="35"/>
  </w:num>
  <w:num w:numId="23">
    <w:abstractNumId w:val="11"/>
  </w:num>
  <w:num w:numId="24">
    <w:abstractNumId w:val="31"/>
  </w:num>
  <w:num w:numId="25">
    <w:abstractNumId w:val="12"/>
  </w:num>
  <w:num w:numId="26">
    <w:abstractNumId w:val="27"/>
  </w:num>
  <w:num w:numId="27">
    <w:abstractNumId w:val="38"/>
  </w:num>
  <w:num w:numId="28">
    <w:abstractNumId w:val="8"/>
  </w:num>
  <w:num w:numId="29">
    <w:abstractNumId w:val="18"/>
  </w:num>
  <w:num w:numId="30">
    <w:abstractNumId w:val="39"/>
  </w:num>
  <w:num w:numId="31">
    <w:abstractNumId w:val="28"/>
  </w:num>
  <w:num w:numId="32">
    <w:abstractNumId w:val="6"/>
  </w:num>
  <w:num w:numId="33">
    <w:abstractNumId w:val="34"/>
  </w:num>
  <w:num w:numId="34">
    <w:abstractNumId w:val="7"/>
  </w:num>
  <w:num w:numId="35">
    <w:abstractNumId w:val="24"/>
  </w:num>
  <w:num w:numId="36">
    <w:abstractNumId w:val="36"/>
  </w:num>
  <w:num w:numId="37">
    <w:abstractNumId w:val="15"/>
  </w:num>
  <w:num w:numId="38">
    <w:abstractNumId w:val="29"/>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trackRevisions/>
  <w:defaultTabStop w:val="284"/>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26A54"/>
    <w:rsid w:val="0003366F"/>
    <w:rsid w:val="00036DBB"/>
    <w:rsid w:val="0004685E"/>
    <w:rsid w:val="00070331"/>
    <w:rsid w:val="00084F44"/>
    <w:rsid w:val="0009047A"/>
    <w:rsid w:val="00097241"/>
    <w:rsid w:val="000A23D3"/>
    <w:rsid w:val="000B0A6A"/>
    <w:rsid w:val="000F554D"/>
    <w:rsid w:val="00121909"/>
    <w:rsid w:val="0014465A"/>
    <w:rsid w:val="0015224A"/>
    <w:rsid w:val="00153F22"/>
    <w:rsid w:val="001555AC"/>
    <w:rsid w:val="0016225E"/>
    <w:rsid w:val="0016304D"/>
    <w:rsid w:val="00165468"/>
    <w:rsid w:val="00165519"/>
    <w:rsid w:val="00171C82"/>
    <w:rsid w:val="0018021B"/>
    <w:rsid w:val="001A6D04"/>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C2765"/>
    <w:rsid w:val="002C4E6E"/>
    <w:rsid w:val="002C658C"/>
    <w:rsid w:val="002C7F2C"/>
    <w:rsid w:val="002F1836"/>
    <w:rsid w:val="003150D0"/>
    <w:rsid w:val="003236D0"/>
    <w:rsid w:val="00334A5F"/>
    <w:rsid w:val="00341C69"/>
    <w:rsid w:val="00355B56"/>
    <w:rsid w:val="00357BD5"/>
    <w:rsid w:val="003673D6"/>
    <w:rsid w:val="00385616"/>
    <w:rsid w:val="0039787C"/>
    <w:rsid w:val="003B0B81"/>
    <w:rsid w:val="003D0DA8"/>
    <w:rsid w:val="003D5439"/>
    <w:rsid w:val="003E3438"/>
    <w:rsid w:val="003F2E3F"/>
    <w:rsid w:val="003F6C42"/>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47246"/>
    <w:rsid w:val="00571B89"/>
    <w:rsid w:val="005907B7"/>
    <w:rsid w:val="005C3338"/>
    <w:rsid w:val="005C5732"/>
    <w:rsid w:val="005D6336"/>
    <w:rsid w:val="006040B7"/>
    <w:rsid w:val="006171F1"/>
    <w:rsid w:val="0062594A"/>
    <w:rsid w:val="0062688A"/>
    <w:rsid w:val="0063093F"/>
    <w:rsid w:val="00671C08"/>
    <w:rsid w:val="006A2DF1"/>
    <w:rsid w:val="006B049A"/>
    <w:rsid w:val="006B2576"/>
    <w:rsid w:val="006B5389"/>
    <w:rsid w:val="006C070D"/>
    <w:rsid w:val="006D305F"/>
    <w:rsid w:val="006F00B7"/>
    <w:rsid w:val="006F599E"/>
    <w:rsid w:val="00711216"/>
    <w:rsid w:val="00711888"/>
    <w:rsid w:val="00733BB8"/>
    <w:rsid w:val="0074204A"/>
    <w:rsid w:val="007607FF"/>
    <w:rsid w:val="007651CB"/>
    <w:rsid w:val="00791CCE"/>
    <w:rsid w:val="00795452"/>
    <w:rsid w:val="007B004A"/>
    <w:rsid w:val="007B2144"/>
    <w:rsid w:val="007C1EB6"/>
    <w:rsid w:val="007C6AE7"/>
    <w:rsid w:val="007D484D"/>
    <w:rsid w:val="007E41FC"/>
    <w:rsid w:val="00801195"/>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E2DBF"/>
    <w:rsid w:val="009123C2"/>
    <w:rsid w:val="0095386F"/>
    <w:rsid w:val="00957A69"/>
    <w:rsid w:val="00974023"/>
    <w:rsid w:val="0099199E"/>
    <w:rsid w:val="00993F3E"/>
    <w:rsid w:val="009B26D3"/>
    <w:rsid w:val="009C1CD8"/>
    <w:rsid w:val="009C3BD8"/>
    <w:rsid w:val="009D0B8C"/>
    <w:rsid w:val="009F3A1C"/>
    <w:rsid w:val="009F3ABD"/>
    <w:rsid w:val="009F47E6"/>
    <w:rsid w:val="009F6EAF"/>
    <w:rsid w:val="00A1109D"/>
    <w:rsid w:val="00A12041"/>
    <w:rsid w:val="00A122D6"/>
    <w:rsid w:val="00A25093"/>
    <w:rsid w:val="00A33D41"/>
    <w:rsid w:val="00A34BF3"/>
    <w:rsid w:val="00A5617A"/>
    <w:rsid w:val="00A72069"/>
    <w:rsid w:val="00A90AB3"/>
    <w:rsid w:val="00A91815"/>
    <w:rsid w:val="00B00BCD"/>
    <w:rsid w:val="00B065CB"/>
    <w:rsid w:val="00B1115A"/>
    <w:rsid w:val="00B20BFE"/>
    <w:rsid w:val="00B2421F"/>
    <w:rsid w:val="00B47F94"/>
    <w:rsid w:val="00B56DE9"/>
    <w:rsid w:val="00B71273"/>
    <w:rsid w:val="00B7462E"/>
    <w:rsid w:val="00B76618"/>
    <w:rsid w:val="00B9260E"/>
    <w:rsid w:val="00BA2917"/>
    <w:rsid w:val="00BA5B69"/>
    <w:rsid w:val="00BB4829"/>
    <w:rsid w:val="00BB6668"/>
    <w:rsid w:val="00BD0CA9"/>
    <w:rsid w:val="00BD1775"/>
    <w:rsid w:val="00BD2308"/>
    <w:rsid w:val="00BD2CDA"/>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80BC3"/>
    <w:rsid w:val="00C83F49"/>
    <w:rsid w:val="00C86FB6"/>
    <w:rsid w:val="00C92CAA"/>
    <w:rsid w:val="00C9514E"/>
    <w:rsid w:val="00CC0F45"/>
    <w:rsid w:val="00CC5562"/>
    <w:rsid w:val="00CD0DE0"/>
    <w:rsid w:val="00CD0E31"/>
    <w:rsid w:val="00CD184D"/>
    <w:rsid w:val="00CD4779"/>
    <w:rsid w:val="00D0363B"/>
    <w:rsid w:val="00D0377C"/>
    <w:rsid w:val="00D04F42"/>
    <w:rsid w:val="00D1317D"/>
    <w:rsid w:val="00D2233A"/>
    <w:rsid w:val="00D23D84"/>
    <w:rsid w:val="00D25C2F"/>
    <w:rsid w:val="00D36319"/>
    <w:rsid w:val="00D62C94"/>
    <w:rsid w:val="00D92A1E"/>
    <w:rsid w:val="00DB2CC7"/>
    <w:rsid w:val="00DC06DE"/>
    <w:rsid w:val="00DC4FBD"/>
    <w:rsid w:val="00DD2695"/>
    <w:rsid w:val="00E066C9"/>
    <w:rsid w:val="00E23E60"/>
    <w:rsid w:val="00E241BC"/>
    <w:rsid w:val="00E2482E"/>
    <w:rsid w:val="00E35014"/>
    <w:rsid w:val="00E37313"/>
    <w:rsid w:val="00EA0899"/>
    <w:rsid w:val="00ED110A"/>
    <w:rsid w:val="00EF0A19"/>
    <w:rsid w:val="00F048F2"/>
    <w:rsid w:val="00F22BDF"/>
    <w:rsid w:val="00F268B6"/>
    <w:rsid w:val="00F372C9"/>
    <w:rsid w:val="00F467F9"/>
    <w:rsid w:val="00F5081D"/>
    <w:rsid w:val="00F6252A"/>
    <w:rsid w:val="00F63E39"/>
    <w:rsid w:val="00F64268"/>
    <w:rsid w:val="00F946E3"/>
    <w:rsid w:val="00FB46C5"/>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EA7098"/>
  <w15:docId w15:val="{457169A8-DD50-4297-BFE8-BCFF7F55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CA96391-6FB0-4007-9EC8-64D10845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3</Pages>
  <Words>5233</Words>
  <Characters>2983</Characters>
  <Application>Microsoft Office Word</Application>
  <DocSecurity>4</DocSecurity>
  <Lines>24</Lines>
  <Paragraphs>16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2</cp:revision>
  <cp:lastPrinted>2018-03-07T08:06:00Z</cp:lastPrinted>
  <dcterms:created xsi:type="dcterms:W3CDTF">2020-01-31T08:57:00Z</dcterms:created>
  <dcterms:modified xsi:type="dcterms:W3CDTF">2020-01-31T08:57:00Z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