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4974"/>
        <w:gridCol w:w="5079"/>
      </w:tblGrid>
      <w:tr w:rsidR="009C08A9" w:rsidRPr="001D4FF3" w:rsidTr="002A1C71">
        <w:trPr>
          <w:trHeight w:val="11530"/>
        </w:trPr>
        <w:tc>
          <w:tcPr>
            <w:tcW w:w="4973" w:type="dxa"/>
          </w:tcPr>
          <w:p w:rsidR="001D4FF3" w:rsidRDefault="001D4FF3" w:rsidP="009C08A9">
            <w:pPr>
              <w:contextualSpacing/>
              <w:jc w:val="center"/>
              <w:rPr>
                <w:b/>
                <w:sz w:val="18"/>
                <w:szCs w:val="18"/>
                <w:lang w:val="lt-LT"/>
              </w:rPr>
            </w:pPr>
            <w:r>
              <w:rPr>
                <w:b/>
                <w:noProof/>
                <w:sz w:val="18"/>
                <w:szCs w:val="18"/>
                <w:lang w:eastAsia="en-GB"/>
              </w:rPr>
              <w:drawing>
                <wp:inline distT="0" distB="0" distL="0" distR="0" wp14:anchorId="553567A0" wp14:editId="7CD547F4">
                  <wp:extent cx="1896110" cy="55499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6110" cy="554990"/>
                          </a:xfrm>
                          <a:prstGeom prst="rect">
                            <a:avLst/>
                          </a:prstGeom>
                          <a:noFill/>
                        </pic:spPr>
                      </pic:pic>
                    </a:graphicData>
                  </a:graphic>
                </wp:inline>
              </w:drawing>
            </w:r>
          </w:p>
          <w:p w:rsidR="009C08A9" w:rsidRPr="001D4FF3" w:rsidRDefault="009C08A9" w:rsidP="009C08A9">
            <w:pPr>
              <w:contextualSpacing/>
              <w:jc w:val="center"/>
              <w:rPr>
                <w:b/>
                <w:sz w:val="18"/>
                <w:szCs w:val="18"/>
                <w:lang w:val="lt-LT"/>
              </w:rPr>
            </w:pPr>
            <w:r w:rsidRPr="001D4FF3">
              <w:rPr>
                <w:b/>
                <w:sz w:val="18"/>
                <w:szCs w:val="18"/>
                <w:lang w:val="lt-LT"/>
              </w:rPr>
              <w:t>RPR SIFILIO NUSTATYMO TESTAS</w:t>
            </w:r>
          </w:p>
          <w:p w:rsidR="009C08A9" w:rsidRPr="001D4FF3" w:rsidRDefault="009C08A9" w:rsidP="009C08A9">
            <w:pPr>
              <w:contextualSpacing/>
              <w:jc w:val="center"/>
              <w:rPr>
                <w:b/>
                <w:sz w:val="18"/>
                <w:szCs w:val="18"/>
                <w:lang w:val="lt-LT"/>
              </w:rPr>
            </w:pPr>
            <w:r w:rsidRPr="001D4FF3">
              <w:rPr>
                <w:b/>
                <w:sz w:val="18"/>
                <w:szCs w:val="18"/>
                <w:lang w:val="lt-LT"/>
              </w:rPr>
              <w:t>Kokybinis ir Pusiau – kiekybinis testas skirtas Non-Treponema</w:t>
            </w:r>
          </w:p>
          <w:p w:rsidR="009C08A9" w:rsidRPr="001D4FF3" w:rsidRDefault="009C08A9" w:rsidP="009C08A9">
            <w:pPr>
              <w:contextualSpacing/>
              <w:jc w:val="center"/>
              <w:rPr>
                <w:b/>
                <w:sz w:val="18"/>
                <w:szCs w:val="18"/>
                <w:lang w:val="lt-LT"/>
              </w:rPr>
            </w:pPr>
            <w:r w:rsidRPr="001D4FF3">
              <w:rPr>
                <w:b/>
                <w:sz w:val="18"/>
                <w:szCs w:val="18"/>
                <w:lang w:val="lt-LT"/>
              </w:rPr>
              <w:t>plazmos ar serumo reaginų nustatymui</w:t>
            </w:r>
          </w:p>
          <w:p w:rsidR="009C08A9" w:rsidRPr="001D4FF3" w:rsidRDefault="004123CE" w:rsidP="009C08A9">
            <w:pPr>
              <w:contextualSpacing/>
              <w:jc w:val="center"/>
              <w:rPr>
                <w:b/>
                <w:sz w:val="18"/>
                <w:szCs w:val="18"/>
                <w:lang w:val="lt-LT"/>
              </w:rPr>
            </w:pPr>
            <w:r>
              <w:rPr>
                <w:b/>
                <w:sz w:val="18"/>
                <w:szCs w:val="18"/>
                <w:lang w:val="lt-LT"/>
              </w:rPr>
              <w:t xml:space="preserve">Tik </w:t>
            </w:r>
            <w:proofErr w:type="spellStart"/>
            <w:r>
              <w:rPr>
                <w:b/>
                <w:sz w:val="18"/>
                <w:szCs w:val="18"/>
                <w:lang w:val="lt-LT"/>
              </w:rPr>
              <w:t>In-v</w:t>
            </w:r>
            <w:bookmarkStart w:id="0" w:name="_GoBack"/>
            <w:bookmarkEnd w:id="0"/>
            <w:r>
              <w:rPr>
                <w:b/>
                <w:sz w:val="18"/>
                <w:szCs w:val="18"/>
                <w:lang w:val="lt-LT"/>
              </w:rPr>
              <w:t>itro</w:t>
            </w:r>
            <w:proofErr w:type="spellEnd"/>
            <w:r w:rsidR="009C08A9" w:rsidRPr="001D4FF3">
              <w:rPr>
                <w:b/>
                <w:sz w:val="18"/>
                <w:szCs w:val="18"/>
                <w:lang w:val="lt-LT"/>
              </w:rPr>
              <w:t xml:space="preserve"> profesionaliam naudojimui</w:t>
            </w:r>
          </w:p>
          <w:p w:rsidR="009C08A9" w:rsidRPr="001D4FF3" w:rsidRDefault="009C08A9" w:rsidP="009C08A9">
            <w:pPr>
              <w:contextualSpacing/>
              <w:jc w:val="center"/>
              <w:rPr>
                <w:b/>
                <w:sz w:val="18"/>
                <w:szCs w:val="18"/>
                <w:lang w:val="lt-LT"/>
              </w:rPr>
            </w:pPr>
            <w:r w:rsidRPr="001D4FF3">
              <w:rPr>
                <w:b/>
                <w:sz w:val="18"/>
                <w:szCs w:val="18"/>
                <w:lang w:val="lt-LT"/>
              </w:rPr>
              <w:t>Laikyti</w:t>
            </w:r>
            <w:r w:rsidR="004123CE">
              <w:rPr>
                <w:b/>
                <w:sz w:val="18"/>
                <w:szCs w:val="18"/>
                <w:lang w:val="lt-LT"/>
              </w:rPr>
              <w:t xml:space="preserve"> </w:t>
            </w:r>
            <w:r w:rsidRPr="001D4FF3">
              <w:rPr>
                <w:b/>
                <w:sz w:val="18"/>
                <w:szCs w:val="18"/>
                <w:lang w:val="lt-LT"/>
              </w:rPr>
              <w:t>2°C -8°C temperatūroje</w:t>
            </w:r>
          </w:p>
          <w:p w:rsidR="009C08A9" w:rsidRPr="001D4FF3" w:rsidRDefault="009C08A9" w:rsidP="009C08A9">
            <w:pPr>
              <w:contextualSpacing/>
              <w:jc w:val="both"/>
              <w:rPr>
                <w:b/>
                <w:sz w:val="18"/>
                <w:szCs w:val="18"/>
                <w:lang w:val="lt-LT"/>
              </w:rPr>
            </w:pPr>
            <w:r w:rsidRPr="001D4FF3">
              <w:rPr>
                <w:b/>
                <w:sz w:val="18"/>
                <w:szCs w:val="18"/>
                <w:lang w:val="lt-LT"/>
              </w:rPr>
              <w:t>PASKIRTIS</w:t>
            </w:r>
          </w:p>
          <w:p w:rsidR="009C08A9" w:rsidRPr="001D4FF3" w:rsidRDefault="009C08A9" w:rsidP="009C08A9">
            <w:pPr>
              <w:contextualSpacing/>
              <w:jc w:val="both"/>
              <w:rPr>
                <w:sz w:val="18"/>
                <w:szCs w:val="18"/>
                <w:lang w:val="lt-LT"/>
              </w:rPr>
            </w:pPr>
            <w:r w:rsidRPr="001D4FF3">
              <w:rPr>
                <w:sz w:val="18"/>
                <w:szCs w:val="18"/>
                <w:lang w:val="lt-LT"/>
              </w:rPr>
              <w:t>Kokybiniam ir kiekybiniam Non-Treponema nustatymui serume ar plazmoje.</w:t>
            </w:r>
          </w:p>
          <w:p w:rsidR="009C08A9" w:rsidRPr="001D4FF3" w:rsidRDefault="009C08A9" w:rsidP="009C08A9">
            <w:pPr>
              <w:contextualSpacing/>
              <w:jc w:val="both"/>
              <w:rPr>
                <w:sz w:val="18"/>
                <w:szCs w:val="18"/>
                <w:lang w:val="lt-LT"/>
              </w:rPr>
            </w:pPr>
          </w:p>
          <w:p w:rsidR="009C08A9" w:rsidRPr="001D4FF3" w:rsidRDefault="009C08A9" w:rsidP="009C08A9">
            <w:pPr>
              <w:contextualSpacing/>
              <w:rPr>
                <w:b/>
                <w:sz w:val="18"/>
                <w:szCs w:val="18"/>
                <w:lang w:val="lt-LT"/>
              </w:rPr>
            </w:pPr>
            <w:r w:rsidRPr="001D4FF3">
              <w:rPr>
                <w:b/>
                <w:sz w:val="18"/>
                <w:szCs w:val="18"/>
                <w:lang w:val="lt-LT"/>
              </w:rPr>
              <w:t>PRINCIPAS</w:t>
            </w:r>
          </w:p>
          <w:p w:rsidR="009C08A9" w:rsidRPr="001D4FF3" w:rsidRDefault="009C08A9" w:rsidP="009C08A9">
            <w:pPr>
              <w:contextualSpacing/>
              <w:jc w:val="both"/>
              <w:rPr>
                <w:sz w:val="18"/>
                <w:szCs w:val="18"/>
                <w:lang w:val="lt-LT"/>
              </w:rPr>
            </w:pPr>
            <w:r w:rsidRPr="001D4FF3">
              <w:rPr>
                <w:sz w:val="18"/>
                <w:szCs w:val="18"/>
                <w:lang w:val="lt-LT"/>
              </w:rPr>
              <w:t>Šalia kitų antikūnų, Treponema Pallidium gamina ne Treponemos antikūnus (reaginus) sifiliu užsikrėtusio žmogaus organizme. Šie antikūnai gali būt nustatomi RPR antigenų pagalba. ATLAS RPR testas yra makroskopinis atrankinis testas, skirtas kokybiniam ir pusiau kiekybiniam reagino antikūnų aptikimui serume arba plazmoje. Rinkinyje yra RPR antigeno, kurio pagrindas yra lengvai naudojami VDRL anglies antigenai. Esant reaginui, antigenas sukelia anglies dalelių flokuliaciją, kurios susiformuoja į gumulėlius. Medžio anglies dalelės, esančios antigenų suspensijoje padidina koagliutinacijos vizualinę išvaizdą teigiamuose mėginiuose.</w:t>
            </w:r>
          </w:p>
          <w:p w:rsidR="009C08A9" w:rsidRPr="001D4FF3" w:rsidRDefault="009C08A9" w:rsidP="009C08A9">
            <w:pPr>
              <w:contextualSpacing/>
              <w:jc w:val="both"/>
              <w:rPr>
                <w:sz w:val="18"/>
                <w:szCs w:val="18"/>
                <w:lang w:val="lt-LT"/>
              </w:rPr>
            </w:pPr>
          </w:p>
          <w:p w:rsidR="009C08A9" w:rsidRPr="001D4FF3" w:rsidRDefault="009C08A9" w:rsidP="009C08A9">
            <w:pPr>
              <w:contextualSpacing/>
              <w:rPr>
                <w:b/>
                <w:sz w:val="18"/>
                <w:szCs w:val="18"/>
                <w:lang w:val="lt-LT"/>
              </w:rPr>
            </w:pPr>
            <w:r w:rsidRPr="001D4FF3">
              <w:rPr>
                <w:b/>
                <w:sz w:val="18"/>
                <w:szCs w:val="18"/>
                <w:lang w:val="lt-LT"/>
              </w:rPr>
              <w:t>MEDŽIAGOS</w:t>
            </w:r>
          </w:p>
          <w:p w:rsidR="009C08A9" w:rsidRPr="001D4FF3" w:rsidRDefault="009C08A9" w:rsidP="009C08A9">
            <w:pPr>
              <w:contextualSpacing/>
              <w:rPr>
                <w:b/>
                <w:sz w:val="18"/>
                <w:szCs w:val="18"/>
                <w:lang w:val="lt-LT"/>
              </w:rPr>
            </w:pPr>
            <w:r w:rsidRPr="001D4FF3">
              <w:rPr>
                <w:b/>
                <w:sz w:val="18"/>
                <w:szCs w:val="18"/>
                <w:lang w:val="lt-LT"/>
              </w:rPr>
              <w:t>PATEIKIAMOS RINKINYJE MEDŽIAGOS</w:t>
            </w:r>
          </w:p>
          <w:p w:rsidR="009C08A9" w:rsidRPr="001D4FF3" w:rsidRDefault="009C08A9" w:rsidP="009C08A9">
            <w:pPr>
              <w:pStyle w:val="ListParagraph"/>
              <w:numPr>
                <w:ilvl w:val="0"/>
                <w:numId w:val="2"/>
              </w:numPr>
              <w:rPr>
                <w:sz w:val="18"/>
                <w:szCs w:val="18"/>
                <w:lang w:val="lt-LT"/>
              </w:rPr>
            </w:pPr>
            <w:r w:rsidRPr="001D4FF3">
              <w:rPr>
                <w:sz w:val="18"/>
                <w:szCs w:val="18"/>
                <w:lang w:val="lt-LT"/>
              </w:rPr>
              <w:t>RPR anglies antigeno reagentas.</w:t>
            </w:r>
          </w:p>
          <w:p w:rsidR="009C08A9" w:rsidRPr="001D4FF3" w:rsidRDefault="009C08A9" w:rsidP="009C08A9">
            <w:pPr>
              <w:pStyle w:val="ListParagraph"/>
              <w:numPr>
                <w:ilvl w:val="0"/>
                <w:numId w:val="2"/>
              </w:numPr>
              <w:rPr>
                <w:sz w:val="18"/>
                <w:szCs w:val="18"/>
                <w:lang w:val="lt-LT"/>
              </w:rPr>
            </w:pPr>
            <w:r w:rsidRPr="001D4FF3">
              <w:rPr>
                <w:sz w:val="18"/>
                <w:szCs w:val="18"/>
                <w:lang w:val="lt-LT"/>
              </w:rPr>
              <w:t>Teigiama ir neigiama kontrolės.</w:t>
            </w:r>
          </w:p>
          <w:p w:rsidR="009C08A9" w:rsidRPr="001D4FF3" w:rsidRDefault="009C08A9" w:rsidP="009C08A9">
            <w:pPr>
              <w:pStyle w:val="ListParagraph"/>
              <w:numPr>
                <w:ilvl w:val="0"/>
                <w:numId w:val="2"/>
              </w:numPr>
              <w:rPr>
                <w:sz w:val="18"/>
                <w:szCs w:val="18"/>
                <w:lang w:val="lt-LT"/>
              </w:rPr>
            </w:pPr>
            <w:r w:rsidRPr="001D4FF3">
              <w:rPr>
                <w:sz w:val="18"/>
                <w:szCs w:val="18"/>
                <w:lang w:val="lt-LT"/>
              </w:rPr>
              <w:t>RPR testo kortelės.</w:t>
            </w:r>
          </w:p>
          <w:p w:rsidR="009C08A9" w:rsidRPr="001D4FF3" w:rsidRDefault="009C08A9" w:rsidP="009C08A9">
            <w:pPr>
              <w:pStyle w:val="ListParagraph"/>
              <w:numPr>
                <w:ilvl w:val="0"/>
                <w:numId w:val="2"/>
              </w:numPr>
              <w:rPr>
                <w:sz w:val="18"/>
                <w:szCs w:val="18"/>
                <w:lang w:val="lt-LT"/>
              </w:rPr>
            </w:pPr>
            <w:r w:rsidRPr="001D4FF3">
              <w:rPr>
                <w:sz w:val="18"/>
                <w:szCs w:val="18"/>
                <w:lang w:val="lt-LT"/>
              </w:rPr>
              <w:t>Plastikinės lazdelės.</w:t>
            </w:r>
          </w:p>
          <w:p w:rsidR="009C08A9" w:rsidRPr="001D4FF3" w:rsidRDefault="009C08A9" w:rsidP="009C08A9">
            <w:pPr>
              <w:pStyle w:val="ListParagraph"/>
              <w:numPr>
                <w:ilvl w:val="0"/>
                <w:numId w:val="2"/>
              </w:numPr>
              <w:rPr>
                <w:sz w:val="18"/>
                <w:szCs w:val="18"/>
                <w:lang w:val="lt-LT"/>
              </w:rPr>
            </w:pPr>
            <w:r w:rsidRPr="001D4FF3">
              <w:rPr>
                <w:sz w:val="18"/>
                <w:szCs w:val="18"/>
                <w:lang w:val="lt-LT"/>
              </w:rPr>
              <w:t>Dozavimo lašintuvas.</w:t>
            </w:r>
          </w:p>
          <w:p w:rsidR="009C08A9" w:rsidRPr="001D4FF3" w:rsidRDefault="009C08A9" w:rsidP="009C08A9">
            <w:pPr>
              <w:pStyle w:val="ListParagraph"/>
              <w:rPr>
                <w:sz w:val="18"/>
                <w:szCs w:val="18"/>
                <w:lang w:val="lt-LT"/>
              </w:rPr>
            </w:pPr>
          </w:p>
          <w:p w:rsidR="009C08A9" w:rsidRPr="001D4FF3" w:rsidRDefault="009C08A9" w:rsidP="009C08A9">
            <w:pPr>
              <w:contextualSpacing/>
              <w:rPr>
                <w:b/>
                <w:sz w:val="18"/>
                <w:szCs w:val="18"/>
                <w:lang w:val="lt-LT"/>
              </w:rPr>
            </w:pPr>
            <w:r w:rsidRPr="001D4FF3">
              <w:rPr>
                <w:b/>
                <w:sz w:val="18"/>
                <w:szCs w:val="18"/>
                <w:lang w:val="lt-LT"/>
              </w:rPr>
              <w:t>REIKALINGOS KITOS MEDŽIAGOS</w:t>
            </w:r>
          </w:p>
          <w:p w:rsidR="009C08A9" w:rsidRPr="001D4FF3" w:rsidRDefault="009C08A9" w:rsidP="009C08A9">
            <w:pPr>
              <w:pStyle w:val="ListParagraph"/>
              <w:numPr>
                <w:ilvl w:val="0"/>
                <w:numId w:val="3"/>
              </w:numPr>
              <w:rPr>
                <w:sz w:val="18"/>
                <w:szCs w:val="18"/>
                <w:lang w:val="lt-LT"/>
              </w:rPr>
            </w:pPr>
            <w:r w:rsidRPr="001D4FF3">
              <w:rPr>
                <w:sz w:val="18"/>
                <w:szCs w:val="18"/>
                <w:lang w:val="lt-LT"/>
              </w:rPr>
              <w:t>Fiziologinis tirpalas 0,9%.</w:t>
            </w:r>
          </w:p>
          <w:p w:rsidR="009C08A9" w:rsidRDefault="009C08A9" w:rsidP="009C08A9">
            <w:pPr>
              <w:pStyle w:val="ListParagraph"/>
              <w:numPr>
                <w:ilvl w:val="0"/>
                <w:numId w:val="3"/>
              </w:numPr>
              <w:rPr>
                <w:sz w:val="18"/>
                <w:szCs w:val="18"/>
                <w:lang w:val="lt-LT"/>
              </w:rPr>
            </w:pPr>
            <w:r w:rsidRPr="001D4FF3">
              <w:rPr>
                <w:sz w:val="18"/>
                <w:szCs w:val="18"/>
                <w:lang w:val="lt-LT"/>
              </w:rPr>
              <w:t>Vartyklė (100 rpm).</w:t>
            </w:r>
          </w:p>
          <w:p w:rsidR="001D4FF3" w:rsidRPr="001D4FF3" w:rsidRDefault="001D4FF3" w:rsidP="001D4FF3">
            <w:pPr>
              <w:pStyle w:val="ListParagraph"/>
              <w:numPr>
                <w:ilvl w:val="0"/>
                <w:numId w:val="3"/>
              </w:numPr>
              <w:rPr>
                <w:sz w:val="18"/>
                <w:szCs w:val="18"/>
                <w:lang w:val="lt-LT"/>
              </w:rPr>
            </w:pPr>
            <w:r w:rsidRPr="001D4FF3">
              <w:rPr>
                <w:sz w:val="18"/>
                <w:szCs w:val="18"/>
                <w:lang w:val="lt-LT"/>
              </w:rPr>
              <w:t>Pipetė, tinkama 50 μl tūriui</w:t>
            </w:r>
          </w:p>
          <w:p w:rsidR="001D4FF3" w:rsidRDefault="001D4FF3" w:rsidP="001D4FF3">
            <w:pPr>
              <w:pStyle w:val="ListParagraph"/>
              <w:numPr>
                <w:ilvl w:val="0"/>
                <w:numId w:val="3"/>
              </w:numPr>
              <w:rPr>
                <w:sz w:val="18"/>
                <w:szCs w:val="18"/>
                <w:lang w:val="lt-LT"/>
              </w:rPr>
            </w:pPr>
            <w:r w:rsidRPr="001D4FF3">
              <w:rPr>
                <w:sz w:val="18"/>
                <w:szCs w:val="18"/>
                <w:lang w:val="lt-LT"/>
              </w:rPr>
              <w:t>Laikmatis.</w:t>
            </w:r>
          </w:p>
          <w:p w:rsidR="001D4FF3" w:rsidRPr="001D4FF3" w:rsidRDefault="001D4FF3" w:rsidP="001D4FF3">
            <w:pPr>
              <w:rPr>
                <w:sz w:val="18"/>
                <w:szCs w:val="18"/>
                <w:lang w:val="lt-LT"/>
              </w:rPr>
            </w:pPr>
          </w:p>
          <w:p w:rsidR="001D4FF3" w:rsidRPr="001D4FF3" w:rsidRDefault="001D4FF3" w:rsidP="001D4FF3">
            <w:pPr>
              <w:pStyle w:val="ListParagraph"/>
              <w:ind w:left="0"/>
              <w:rPr>
                <w:b/>
                <w:sz w:val="18"/>
                <w:szCs w:val="18"/>
                <w:lang w:val="lt-LT"/>
              </w:rPr>
            </w:pPr>
            <w:r w:rsidRPr="001D4FF3">
              <w:rPr>
                <w:b/>
                <w:sz w:val="18"/>
                <w:szCs w:val="18"/>
                <w:lang w:val="lt-LT"/>
              </w:rPr>
              <w:t>ATSARGUMO PRIEMONĖS</w:t>
            </w:r>
          </w:p>
          <w:p w:rsidR="001D4FF3" w:rsidRPr="001D4FF3" w:rsidRDefault="001D4FF3" w:rsidP="001D4FF3">
            <w:pPr>
              <w:pStyle w:val="ListParagraph"/>
              <w:ind w:left="0"/>
              <w:rPr>
                <w:sz w:val="18"/>
                <w:szCs w:val="18"/>
                <w:lang w:val="lt-LT"/>
              </w:rPr>
            </w:pPr>
            <w:r w:rsidRPr="001D4FF3">
              <w:rPr>
                <w:sz w:val="18"/>
                <w:szCs w:val="18"/>
                <w:lang w:val="lt-LT"/>
              </w:rPr>
              <w:t>Kiekvienam mėginiui visada naudokite šviežią pipetės antgalį.</w:t>
            </w:r>
          </w:p>
          <w:p w:rsidR="001D4FF3" w:rsidRPr="001D4FF3" w:rsidRDefault="001D4FF3" w:rsidP="001D4FF3">
            <w:pPr>
              <w:pStyle w:val="ListParagraph"/>
              <w:ind w:left="0"/>
              <w:rPr>
                <w:sz w:val="18"/>
                <w:szCs w:val="18"/>
                <w:lang w:val="lt-LT"/>
              </w:rPr>
            </w:pPr>
          </w:p>
          <w:p w:rsidR="001D4FF3" w:rsidRPr="001D4FF3" w:rsidRDefault="001D4FF3" w:rsidP="001D4FF3">
            <w:pPr>
              <w:pStyle w:val="ListParagraph"/>
              <w:ind w:left="0"/>
              <w:rPr>
                <w:b/>
                <w:sz w:val="18"/>
                <w:szCs w:val="18"/>
                <w:lang w:val="lt-LT"/>
              </w:rPr>
            </w:pPr>
            <w:r w:rsidRPr="001D4FF3">
              <w:rPr>
                <w:b/>
                <w:sz w:val="18"/>
                <w:szCs w:val="18"/>
                <w:lang w:val="lt-LT"/>
              </w:rPr>
              <w:t>LAIKYMAS IR STABILUMAS</w:t>
            </w:r>
          </w:p>
          <w:p w:rsidR="001D4FF3" w:rsidRPr="001D4FF3" w:rsidRDefault="001D4FF3" w:rsidP="001D4FF3">
            <w:pPr>
              <w:pStyle w:val="ListParagraph"/>
              <w:ind w:left="0"/>
              <w:rPr>
                <w:sz w:val="18"/>
                <w:szCs w:val="18"/>
                <w:lang w:val="lt-LT"/>
              </w:rPr>
            </w:pPr>
            <w:r w:rsidRPr="001D4FF3">
              <w:rPr>
                <w:sz w:val="18"/>
                <w:szCs w:val="18"/>
                <w:lang w:val="lt-LT"/>
              </w:rPr>
              <w:t>Reagentai šiame rinkinyje turėtų būti laikomi vertikalioje padėtyje, šaldytuve nuo temperatūroje 2°C iki 8°C. Niekada neužšaldyti. Testo kortelės neturi būti šaldytuve ir gali būti laikomi kambario temperatūroje.</w:t>
            </w:r>
          </w:p>
          <w:p w:rsidR="001D4FF3" w:rsidRPr="001D4FF3" w:rsidRDefault="001D4FF3" w:rsidP="001D4FF3">
            <w:pPr>
              <w:pStyle w:val="ListParagraph"/>
              <w:ind w:left="0"/>
              <w:rPr>
                <w:sz w:val="18"/>
                <w:szCs w:val="18"/>
                <w:lang w:val="lt-LT"/>
              </w:rPr>
            </w:pPr>
            <w:r w:rsidRPr="001D4FF3">
              <w:rPr>
                <w:sz w:val="18"/>
                <w:szCs w:val="18"/>
                <w:lang w:val="lt-LT"/>
              </w:rPr>
              <w:t>Reagentai turėtų būti palaikyti kambario temperatūroje ir gerai sumaišomi, kad gautųsi vienalytė anglies dalelių suspensija.</w:t>
            </w:r>
          </w:p>
        </w:tc>
        <w:tc>
          <w:tcPr>
            <w:tcW w:w="4974" w:type="dxa"/>
          </w:tcPr>
          <w:p w:rsidR="009C08A9" w:rsidRPr="001D4FF3" w:rsidRDefault="009C08A9" w:rsidP="001D4FF3">
            <w:pPr>
              <w:jc w:val="both"/>
              <w:rPr>
                <w:b/>
                <w:sz w:val="18"/>
                <w:szCs w:val="18"/>
                <w:lang w:val="lt-LT"/>
              </w:rPr>
            </w:pPr>
            <w:r w:rsidRPr="001D4FF3">
              <w:rPr>
                <w:b/>
                <w:sz w:val="18"/>
                <w:szCs w:val="18"/>
                <w:lang w:val="lt-LT"/>
              </w:rPr>
              <w:t>MĖGINIO PARUOŠIMAS</w:t>
            </w:r>
          </w:p>
          <w:p w:rsidR="009C08A9" w:rsidRPr="001D4FF3" w:rsidRDefault="009C08A9" w:rsidP="001D4FF3">
            <w:pPr>
              <w:jc w:val="both"/>
              <w:rPr>
                <w:sz w:val="18"/>
                <w:szCs w:val="18"/>
                <w:lang w:val="lt-LT"/>
              </w:rPr>
            </w:pPr>
            <w:r w:rsidRPr="001D4FF3">
              <w:rPr>
                <w:sz w:val="18"/>
                <w:szCs w:val="18"/>
                <w:lang w:val="lt-LT"/>
              </w:rPr>
              <w:t>ATLAS RPR rinkinys gali būti naudojamas kartu su bet kuriais nekaitintos plazmos arba šildomo serumo mėginiais.</w:t>
            </w:r>
          </w:p>
          <w:p w:rsidR="009C08A9" w:rsidRPr="001D4FF3" w:rsidRDefault="009C08A9" w:rsidP="001D4FF3">
            <w:pPr>
              <w:jc w:val="both"/>
              <w:rPr>
                <w:sz w:val="18"/>
                <w:szCs w:val="18"/>
                <w:lang w:val="lt-LT"/>
              </w:rPr>
            </w:pPr>
            <w:r w:rsidRPr="001D4FF3">
              <w:rPr>
                <w:sz w:val="18"/>
                <w:szCs w:val="18"/>
                <w:lang w:val="lt-LT"/>
              </w:rPr>
              <w:t>Serumo mėginiai gali būti stabilūs iki 5 dienų, jei laikomi 2-8°C temperatūroje.</w:t>
            </w:r>
          </w:p>
          <w:p w:rsidR="009C08A9" w:rsidRPr="001D4FF3" w:rsidRDefault="009C08A9" w:rsidP="001D4FF3">
            <w:pPr>
              <w:jc w:val="both"/>
              <w:rPr>
                <w:sz w:val="18"/>
                <w:szCs w:val="18"/>
                <w:lang w:val="lt-LT"/>
              </w:rPr>
            </w:pPr>
            <w:r w:rsidRPr="001D4FF3">
              <w:rPr>
                <w:sz w:val="18"/>
                <w:szCs w:val="18"/>
                <w:lang w:val="lt-LT"/>
              </w:rPr>
              <w:t>Plazmos mėginiai, surinkti su EDTA, gali išlikti stabilūs iki 24 valandų, jei laikomas 2-8°C temperatūroje.</w:t>
            </w:r>
          </w:p>
          <w:p w:rsidR="009C08A9" w:rsidRPr="001D4FF3" w:rsidRDefault="009C08A9" w:rsidP="001D4FF3">
            <w:pPr>
              <w:jc w:val="both"/>
              <w:rPr>
                <w:sz w:val="18"/>
                <w:szCs w:val="18"/>
                <w:lang w:val="lt-LT"/>
              </w:rPr>
            </w:pPr>
          </w:p>
          <w:p w:rsidR="009C08A9" w:rsidRPr="001D4FF3" w:rsidRDefault="009C08A9" w:rsidP="001D4FF3">
            <w:pPr>
              <w:jc w:val="both"/>
              <w:rPr>
                <w:b/>
                <w:sz w:val="18"/>
                <w:szCs w:val="18"/>
                <w:lang w:val="lt-LT"/>
              </w:rPr>
            </w:pPr>
            <w:r w:rsidRPr="001D4FF3">
              <w:rPr>
                <w:b/>
                <w:sz w:val="18"/>
                <w:szCs w:val="18"/>
                <w:lang w:val="lt-LT"/>
              </w:rPr>
              <w:t>PROCEDŪROS</w:t>
            </w:r>
          </w:p>
          <w:p w:rsidR="009C08A9" w:rsidRPr="001D4FF3" w:rsidRDefault="009C08A9" w:rsidP="001D4FF3">
            <w:pPr>
              <w:jc w:val="both"/>
              <w:rPr>
                <w:b/>
                <w:i/>
                <w:sz w:val="18"/>
                <w:szCs w:val="18"/>
                <w:u w:val="single"/>
                <w:lang w:val="lt-LT"/>
              </w:rPr>
            </w:pPr>
            <w:r w:rsidRPr="001D4FF3">
              <w:rPr>
                <w:b/>
                <w:i/>
                <w:sz w:val="18"/>
                <w:szCs w:val="18"/>
                <w:u w:val="single"/>
                <w:lang w:val="lt-LT"/>
              </w:rPr>
              <w:t>KOKYBINIS METODAS</w:t>
            </w:r>
          </w:p>
          <w:p w:rsidR="009C08A9" w:rsidRPr="001D4FF3" w:rsidRDefault="009C08A9" w:rsidP="001D4FF3">
            <w:pPr>
              <w:jc w:val="both"/>
              <w:rPr>
                <w:sz w:val="18"/>
                <w:szCs w:val="18"/>
                <w:lang w:val="lt-LT"/>
              </w:rPr>
            </w:pPr>
            <w:r w:rsidRPr="001D4FF3">
              <w:rPr>
                <w:sz w:val="18"/>
                <w:szCs w:val="18"/>
                <w:lang w:val="lt-LT"/>
              </w:rPr>
              <w:t>1. Reagentus palaikykite kambario temperatūroje.</w:t>
            </w:r>
          </w:p>
          <w:p w:rsidR="009C08A9" w:rsidRPr="001D4FF3" w:rsidRDefault="009C08A9" w:rsidP="001D4FF3">
            <w:pPr>
              <w:jc w:val="both"/>
              <w:rPr>
                <w:sz w:val="18"/>
                <w:szCs w:val="18"/>
                <w:lang w:val="lt-LT"/>
              </w:rPr>
            </w:pPr>
            <w:r w:rsidRPr="001D4FF3">
              <w:rPr>
                <w:sz w:val="18"/>
                <w:szCs w:val="18"/>
                <w:lang w:val="lt-LT"/>
              </w:rPr>
              <w:t>2. Įlašinkite 50 μl mėginio į vieną reakcijos žiedą ant plokštelės testo kortelėje.</w:t>
            </w:r>
          </w:p>
          <w:p w:rsidR="009C08A9" w:rsidRPr="001D4FF3" w:rsidRDefault="009C08A9" w:rsidP="001D4FF3">
            <w:pPr>
              <w:jc w:val="both"/>
              <w:rPr>
                <w:sz w:val="18"/>
                <w:szCs w:val="18"/>
                <w:lang w:val="lt-LT"/>
              </w:rPr>
            </w:pPr>
            <w:r w:rsidRPr="001D4FF3">
              <w:rPr>
                <w:sz w:val="18"/>
                <w:szCs w:val="18"/>
                <w:lang w:val="lt-LT"/>
              </w:rPr>
              <w:t>3. Pakartokite 2 žingsnį su teigiama ir neigiama kontrolėmis.</w:t>
            </w:r>
          </w:p>
          <w:p w:rsidR="009C08A9" w:rsidRPr="001D4FF3" w:rsidRDefault="009C08A9" w:rsidP="001D4FF3">
            <w:pPr>
              <w:jc w:val="both"/>
              <w:rPr>
                <w:sz w:val="18"/>
                <w:szCs w:val="18"/>
                <w:lang w:val="lt-LT"/>
              </w:rPr>
            </w:pPr>
            <w:r w:rsidRPr="001D4FF3">
              <w:rPr>
                <w:sz w:val="18"/>
                <w:szCs w:val="18"/>
                <w:lang w:val="lt-LT"/>
              </w:rPr>
              <w:t>4. Maišiklio pagalba tolygiai paskleiskite užlašinto mėginio lašą reakcijos žiede.</w:t>
            </w:r>
          </w:p>
          <w:p w:rsidR="009C08A9" w:rsidRPr="001D4FF3" w:rsidRDefault="009C08A9" w:rsidP="001D4FF3">
            <w:pPr>
              <w:jc w:val="both"/>
              <w:rPr>
                <w:sz w:val="18"/>
                <w:szCs w:val="18"/>
                <w:lang w:val="lt-LT"/>
              </w:rPr>
            </w:pPr>
            <w:r w:rsidRPr="001D4FF3">
              <w:rPr>
                <w:sz w:val="18"/>
                <w:szCs w:val="18"/>
                <w:lang w:val="lt-LT"/>
              </w:rPr>
              <w:t>5. Gerai sumaišykite anglies antigeno suspensiją.</w:t>
            </w:r>
          </w:p>
          <w:p w:rsidR="009C08A9" w:rsidRPr="001D4FF3" w:rsidRDefault="009C08A9" w:rsidP="001D4FF3">
            <w:pPr>
              <w:jc w:val="both"/>
              <w:rPr>
                <w:sz w:val="18"/>
                <w:szCs w:val="18"/>
                <w:lang w:val="lt-LT"/>
              </w:rPr>
            </w:pPr>
            <w:r w:rsidRPr="001D4FF3">
              <w:rPr>
                <w:sz w:val="18"/>
                <w:szCs w:val="18"/>
                <w:lang w:val="lt-LT"/>
              </w:rPr>
              <w:t>6. Užlašinkite po vieną lašą (20 μl) anglies antigeno ant kiekvieno reakcijos žiedo su mėginiu. Negalima maišyti antigeno su mėginiu.</w:t>
            </w:r>
          </w:p>
          <w:p w:rsidR="001D4FF3" w:rsidRPr="001D4FF3" w:rsidRDefault="001D4FF3" w:rsidP="001D4FF3">
            <w:pPr>
              <w:contextualSpacing/>
              <w:jc w:val="both"/>
              <w:rPr>
                <w:sz w:val="18"/>
                <w:szCs w:val="18"/>
                <w:lang w:val="lt-LT"/>
              </w:rPr>
            </w:pPr>
            <w:r w:rsidRPr="001D4FF3">
              <w:rPr>
                <w:sz w:val="18"/>
                <w:szCs w:val="18"/>
                <w:lang w:val="lt-LT"/>
              </w:rPr>
              <w:t>7. Plokštelę uždėkite ant vartyklės 100  r.p.m. greičiu ir sukite 8 minutes.</w:t>
            </w:r>
          </w:p>
          <w:p w:rsidR="001D4FF3" w:rsidRPr="001D4FF3" w:rsidRDefault="001D4FF3" w:rsidP="001D4FF3">
            <w:pPr>
              <w:contextualSpacing/>
              <w:jc w:val="both"/>
              <w:rPr>
                <w:sz w:val="18"/>
                <w:szCs w:val="18"/>
                <w:lang w:val="lt-LT"/>
              </w:rPr>
            </w:pPr>
            <w:r w:rsidRPr="001D4FF3">
              <w:rPr>
                <w:sz w:val="18"/>
                <w:szCs w:val="18"/>
                <w:lang w:val="lt-LT"/>
              </w:rPr>
              <w:t>8. Rezultatus vertinkite po 8 minučių esant geram apšvietimui.</w:t>
            </w:r>
          </w:p>
          <w:p w:rsidR="001D4FF3" w:rsidRPr="001D4FF3" w:rsidRDefault="001D4FF3" w:rsidP="001D4FF3">
            <w:pPr>
              <w:contextualSpacing/>
              <w:jc w:val="both"/>
              <w:rPr>
                <w:sz w:val="18"/>
                <w:szCs w:val="18"/>
                <w:lang w:val="lt-LT"/>
              </w:rPr>
            </w:pPr>
            <w:r w:rsidRPr="001D4FF3">
              <w:rPr>
                <w:sz w:val="18"/>
                <w:szCs w:val="18"/>
                <w:lang w:val="lt-LT"/>
              </w:rPr>
              <w:t>9. Rezultatų negalima vertinti praėjus daugiau nei 8 minutėms.</w:t>
            </w:r>
          </w:p>
          <w:p w:rsidR="001D4FF3" w:rsidRDefault="001D4FF3" w:rsidP="001D4FF3">
            <w:pPr>
              <w:contextualSpacing/>
              <w:jc w:val="both"/>
              <w:rPr>
                <w:b/>
                <w:sz w:val="18"/>
                <w:szCs w:val="18"/>
                <w:lang w:val="lt-LT"/>
              </w:rPr>
            </w:pPr>
          </w:p>
          <w:p w:rsidR="001D4FF3" w:rsidRPr="001D4FF3" w:rsidRDefault="001D4FF3" w:rsidP="001D4FF3">
            <w:pPr>
              <w:contextualSpacing/>
              <w:jc w:val="both"/>
              <w:rPr>
                <w:b/>
                <w:sz w:val="18"/>
                <w:szCs w:val="18"/>
                <w:lang w:val="lt-LT"/>
              </w:rPr>
            </w:pPr>
            <w:r w:rsidRPr="001D4FF3">
              <w:rPr>
                <w:b/>
                <w:sz w:val="18"/>
                <w:szCs w:val="18"/>
                <w:lang w:val="lt-LT"/>
              </w:rPr>
              <w:t>KOKYBINIŲ REZULTATŲ VERTINIMAS</w:t>
            </w:r>
          </w:p>
          <w:p w:rsidR="001D4FF3" w:rsidRPr="001D4FF3" w:rsidRDefault="001D4FF3" w:rsidP="001D4FF3">
            <w:pPr>
              <w:contextualSpacing/>
              <w:jc w:val="both"/>
              <w:rPr>
                <w:b/>
                <w:sz w:val="18"/>
                <w:szCs w:val="18"/>
                <w:u w:val="single"/>
                <w:lang w:val="lt-LT"/>
              </w:rPr>
            </w:pPr>
            <w:r w:rsidRPr="001D4FF3">
              <w:rPr>
                <w:b/>
                <w:sz w:val="18"/>
                <w:szCs w:val="18"/>
                <w:u w:val="single"/>
                <w:lang w:val="lt-LT"/>
              </w:rPr>
              <w:t>TEIGIAMAS</w:t>
            </w:r>
          </w:p>
          <w:p w:rsidR="001D4FF3" w:rsidRPr="001D4FF3" w:rsidRDefault="001D4FF3" w:rsidP="001D4FF3">
            <w:pPr>
              <w:pStyle w:val="ListParagraph"/>
              <w:numPr>
                <w:ilvl w:val="0"/>
                <w:numId w:val="4"/>
              </w:numPr>
              <w:ind w:left="259" w:hanging="259"/>
              <w:jc w:val="both"/>
              <w:rPr>
                <w:sz w:val="18"/>
                <w:szCs w:val="18"/>
                <w:lang w:val="lt-LT"/>
              </w:rPr>
            </w:pPr>
            <w:r w:rsidRPr="001D4FF3">
              <w:rPr>
                <w:sz w:val="18"/>
                <w:szCs w:val="18"/>
                <w:lang w:val="lt-LT"/>
              </w:rPr>
              <w:t xml:space="preserve">Jei reakcijos žiedo centre su mėginiu pasireiškia didelė agregacija, tada tyrimo rezultatas turėtų būti vertinamas kaip teigiamas (reaktyvus). </w:t>
            </w:r>
          </w:p>
          <w:p w:rsidR="001D4FF3" w:rsidRPr="001D4FF3" w:rsidRDefault="001D4FF3" w:rsidP="001D4FF3">
            <w:pPr>
              <w:pStyle w:val="ListParagraph"/>
              <w:numPr>
                <w:ilvl w:val="0"/>
                <w:numId w:val="4"/>
              </w:numPr>
              <w:ind w:left="259" w:hanging="259"/>
              <w:jc w:val="both"/>
              <w:rPr>
                <w:sz w:val="18"/>
                <w:szCs w:val="18"/>
                <w:lang w:val="lt-LT"/>
              </w:rPr>
            </w:pPr>
            <w:r w:rsidRPr="001D4FF3">
              <w:rPr>
                <w:sz w:val="18"/>
                <w:szCs w:val="18"/>
                <w:lang w:val="lt-LT"/>
              </w:rPr>
              <w:t>Jei agregacija yra pastebima, bet pasireiškia silpnai, tada tyrimo rezultatas turėtų būti vertinamas kaip silpnai</w:t>
            </w:r>
          </w:p>
          <w:p w:rsidR="001D4FF3" w:rsidRPr="001D4FF3" w:rsidRDefault="001D4FF3" w:rsidP="001D4FF3">
            <w:pPr>
              <w:pStyle w:val="ListParagraph"/>
              <w:numPr>
                <w:ilvl w:val="0"/>
                <w:numId w:val="4"/>
              </w:numPr>
              <w:ind w:left="259" w:hanging="259"/>
              <w:jc w:val="both"/>
              <w:rPr>
                <w:sz w:val="18"/>
                <w:szCs w:val="18"/>
                <w:lang w:val="lt-LT"/>
              </w:rPr>
            </w:pPr>
            <w:r w:rsidRPr="001D4FF3">
              <w:rPr>
                <w:sz w:val="18"/>
                <w:szCs w:val="18"/>
                <w:lang w:val="lt-LT"/>
              </w:rPr>
              <w:t>teigiamas (silpnai reaktyvus).</w:t>
            </w:r>
          </w:p>
          <w:p w:rsidR="001D4FF3" w:rsidRPr="001D4FF3" w:rsidRDefault="001D4FF3" w:rsidP="001D4FF3">
            <w:pPr>
              <w:pStyle w:val="ListParagraph"/>
              <w:numPr>
                <w:ilvl w:val="0"/>
                <w:numId w:val="4"/>
              </w:numPr>
              <w:ind w:left="259" w:hanging="259"/>
              <w:jc w:val="both"/>
              <w:rPr>
                <w:sz w:val="18"/>
                <w:szCs w:val="18"/>
                <w:lang w:val="lt-LT"/>
              </w:rPr>
            </w:pPr>
            <w:r w:rsidRPr="001D4FF3">
              <w:rPr>
                <w:sz w:val="18"/>
                <w:szCs w:val="18"/>
                <w:lang w:val="lt-LT"/>
              </w:rPr>
              <w:t>Jei tyrimas yra teigiamas, rezultatai turi būti patvirtinti kiekybiniu metodu, aprašytu žemiau.</w:t>
            </w:r>
          </w:p>
          <w:p w:rsidR="001D4FF3" w:rsidRPr="001D4FF3" w:rsidRDefault="001D4FF3" w:rsidP="001D4FF3">
            <w:pPr>
              <w:contextualSpacing/>
              <w:jc w:val="both"/>
              <w:rPr>
                <w:b/>
                <w:sz w:val="18"/>
                <w:szCs w:val="18"/>
                <w:u w:val="single"/>
                <w:lang w:val="lt-LT"/>
              </w:rPr>
            </w:pPr>
            <w:r w:rsidRPr="001D4FF3">
              <w:rPr>
                <w:b/>
                <w:sz w:val="18"/>
                <w:szCs w:val="18"/>
                <w:u w:val="single"/>
                <w:lang w:val="lt-LT"/>
              </w:rPr>
              <w:t>NEIGIAMAS</w:t>
            </w:r>
          </w:p>
          <w:p w:rsidR="001D4FF3" w:rsidRDefault="001D4FF3" w:rsidP="001D4FF3">
            <w:pPr>
              <w:contextualSpacing/>
              <w:jc w:val="both"/>
              <w:rPr>
                <w:sz w:val="18"/>
                <w:szCs w:val="18"/>
                <w:lang w:val="lt-LT"/>
              </w:rPr>
            </w:pPr>
            <w:r w:rsidRPr="001D4FF3">
              <w:rPr>
                <w:sz w:val="18"/>
                <w:szCs w:val="18"/>
                <w:lang w:val="lt-LT"/>
              </w:rPr>
              <w:t>Jei agregacija nepasireiškia ir mėginys tampa tolygiai pilkos spalvos (nereaktyvus).</w:t>
            </w:r>
          </w:p>
          <w:p w:rsidR="001D4FF3" w:rsidRDefault="001D4FF3" w:rsidP="001D4FF3">
            <w:pPr>
              <w:contextualSpacing/>
              <w:jc w:val="both"/>
              <w:rPr>
                <w:b/>
                <w:sz w:val="18"/>
                <w:szCs w:val="18"/>
                <w:u w:val="single"/>
                <w:lang w:val="lt-LT"/>
              </w:rPr>
            </w:pPr>
          </w:p>
          <w:p w:rsidR="001D4FF3" w:rsidRPr="001D4FF3" w:rsidRDefault="001D4FF3" w:rsidP="001D4FF3">
            <w:pPr>
              <w:contextualSpacing/>
              <w:jc w:val="both"/>
              <w:rPr>
                <w:b/>
                <w:i/>
                <w:sz w:val="18"/>
                <w:szCs w:val="18"/>
                <w:u w:val="single"/>
                <w:lang w:val="lt-LT"/>
              </w:rPr>
            </w:pPr>
            <w:r w:rsidRPr="001D4FF3">
              <w:rPr>
                <w:b/>
                <w:i/>
                <w:sz w:val="18"/>
                <w:szCs w:val="18"/>
                <w:u w:val="single"/>
                <w:lang w:val="lt-LT"/>
              </w:rPr>
              <w:t>PUSIAU KIEKYBINIS METODAS</w:t>
            </w:r>
          </w:p>
          <w:p w:rsidR="001D4FF3" w:rsidRPr="001D4FF3" w:rsidRDefault="001D4FF3" w:rsidP="001D4FF3">
            <w:pPr>
              <w:contextualSpacing/>
              <w:jc w:val="both"/>
              <w:rPr>
                <w:sz w:val="18"/>
                <w:szCs w:val="18"/>
                <w:lang w:val="lt-LT"/>
              </w:rPr>
            </w:pPr>
            <w:r>
              <w:rPr>
                <w:sz w:val="18"/>
                <w:szCs w:val="18"/>
                <w:lang w:val="lt-LT"/>
              </w:rPr>
              <w:t xml:space="preserve">1. </w:t>
            </w:r>
            <w:r w:rsidRPr="001D4FF3">
              <w:rPr>
                <w:sz w:val="18"/>
                <w:szCs w:val="18"/>
                <w:lang w:val="lt-LT"/>
              </w:rPr>
              <w:t>50μl 0.9% NaCl tirpalo įlašinkite į kiekvieną reakcijos žiedą nuo 2 iki 5. Fiziologinis tirpalas neturėtų būti paskleistas. Įlašinkite 50 μl mėginio į 1 reakcijos žiedą.</w:t>
            </w:r>
          </w:p>
          <w:p w:rsidR="001D4FF3" w:rsidRPr="001D4FF3" w:rsidRDefault="001D4FF3" w:rsidP="001D4FF3">
            <w:pPr>
              <w:contextualSpacing/>
              <w:jc w:val="both"/>
              <w:rPr>
                <w:sz w:val="18"/>
                <w:szCs w:val="18"/>
                <w:lang w:val="lt-LT"/>
              </w:rPr>
            </w:pPr>
            <w:r>
              <w:rPr>
                <w:sz w:val="18"/>
                <w:szCs w:val="18"/>
                <w:lang w:val="lt-LT"/>
              </w:rPr>
              <w:t xml:space="preserve">2. </w:t>
            </w:r>
            <w:r w:rsidRPr="001D4FF3">
              <w:rPr>
                <w:sz w:val="18"/>
                <w:szCs w:val="18"/>
                <w:lang w:val="lt-LT"/>
              </w:rPr>
              <w:t>Įlašinkite 50 μl mėginio į 2 reakcijos žiedą. Paruoškite serijinius dvigubus tirpalus pipetuodami 5-6 kartus pirmyn atgal (venkite oro burbuliukų susidarymo. Perpilti 50 μl iš 2 žiedo į 3, 4 ir 5 reakcijos žiedus. Po maišymo, pašalinkite 50 μl iš 5 reakcijos žiedo).</w:t>
            </w:r>
          </w:p>
          <w:p w:rsidR="009C08A9" w:rsidRPr="001D4FF3" w:rsidRDefault="001D4FF3" w:rsidP="001D4FF3">
            <w:pPr>
              <w:jc w:val="both"/>
              <w:rPr>
                <w:sz w:val="18"/>
                <w:szCs w:val="18"/>
                <w:lang w:val="lt-LT"/>
              </w:rPr>
            </w:pPr>
            <w:r w:rsidRPr="001D4FF3">
              <w:rPr>
                <w:sz w:val="18"/>
                <w:szCs w:val="18"/>
                <w:lang w:val="lt-LT"/>
              </w:rPr>
              <w:t>3. Pradedant nuo 5 reakcijos žiedo ir tęsiant 4,3,2 ir 1, paskleiskite serumą per visą kiekvieno reakcijos žiedo  plotą.</w:t>
            </w:r>
          </w:p>
        </w:tc>
        <w:tc>
          <w:tcPr>
            <w:tcW w:w="5079" w:type="dxa"/>
          </w:tcPr>
          <w:p w:rsidR="001D4FF3" w:rsidRDefault="001D4FF3" w:rsidP="001D4FF3">
            <w:pPr>
              <w:contextualSpacing/>
              <w:jc w:val="both"/>
              <w:rPr>
                <w:sz w:val="18"/>
                <w:szCs w:val="18"/>
                <w:lang w:val="lt-LT"/>
              </w:rPr>
            </w:pPr>
            <w:r w:rsidRPr="001D4FF3">
              <w:rPr>
                <w:sz w:val="18"/>
                <w:szCs w:val="18"/>
                <w:lang w:val="lt-LT"/>
              </w:rPr>
              <w:t>4. Tęskite procedūrą atlikdami 6-9 kokybinio nustatymo metodo žingsnius.</w:t>
            </w:r>
          </w:p>
          <w:p w:rsidR="001D4FF3" w:rsidRPr="001D4FF3" w:rsidRDefault="001D4FF3" w:rsidP="001D4FF3">
            <w:pPr>
              <w:contextualSpacing/>
              <w:jc w:val="both"/>
              <w:rPr>
                <w:b/>
                <w:i/>
                <w:sz w:val="18"/>
                <w:szCs w:val="18"/>
                <w:u w:val="single"/>
                <w:lang w:val="lt-LT"/>
              </w:rPr>
            </w:pPr>
            <w:r w:rsidRPr="001D4FF3">
              <w:rPr>
                <w:b/>
                <w:i/>
                <w:sz w:val="18"/>
                <w:szCs w:val="18"/>
                <w:u w:val="single"/>
                <w:lang w:val="lt-LT"/>
              </w:rPr>
              <w:t>PUSIAU KIEKYBINIO METODO REZULTATŲ VERTINIMAS</w:t>
            </w:r>
          </w:p>
          <w:p w:rsidR="001D4FF3" w:rsidRPr="001D4FF3" w:rsidRDefault="001D4FF3" w:rsidP="001D4FF3">
            <w:pPr>
              <w:contextualSpacing/>
              <w:jc w:val="both"/>
              <w:rPr>
                <w:sz w:val="18"/>
                <w:szCs w:val="18"/>
                <w:lang w:val="lt-LT"/>
              </w:rPr>
            </w:pPr>
            <w:r w:rsidRPr="001D4FF3">
              <w:rPr>
                <w:sz w:val="18"/>
                <w:szCs w:val="18"/>
                <w:lang w:val="lt-LT"/>
              </w:rPr>
              <w:t xml:space="preserve">Skiedimas reakcijos žieduose: </w:t>
            </w:r>
          </w:p>
          <w:tbl>
            <w:tblPr>
              <w:tblStyle w:val="TableGrid"/>
              <w:tblW w:w="0" w:type="auto"/>
              <w:tblLook w:val="04A0" w:firstRow="1" w:lastRow="0" w:firstColumn="1" w:lastColumn="0" w:noHBand="0" w:noVBand="1"/>
            </w:tblPr>
            <w:tblGrid>
              <w:gridCol w:w="1163"/>
              <w:gridCol w:w="642"/>
              <w:gridCol w:w="746"/>
              <w:gridCol w:w="746"/>
              <w:gridCol w:w="741"/>
              <w:gridCol w:w="815"/>
            </w:tblGrid>
            <w:tr w:rsidR="001D4FF3" w:rsidRPr="001D4FF3" w:rsidTr="00E5444E">
              <w:tc>
                <w:tcPr>
                  <w:tcW w:w="1827" w:type="dxa"/>
                </w:tcPr>
                <w:p w:rsidR="001D4FF3" w:rsidRPr="001D4FF3" w:rsidRDefault="001D4FF3" w:rsidP="001D4FF3">
                  <w:pPr>
                    <w:contextualSpacing/>
                    <w:jc w:val="both"/>
                    <w:rPr>
                      <w:sz w:val="18"/>
                      <w:szCs w:val="18"/>
                      <w:lang w:val="lt-LT"/>
                    </w:rPr>
                  </w:pPr>
                  <w:r w:rsidRPr="001D4FF3">
                    <w:rPr>
                      <w:sz w:val="18"/>
                      <w:szCs w:val="18"/>
                      <w:lang w:val="lt-LT"/>
                    </w:rPr>
                    <w:t xml:space="preserve">Reakcijos žiedas </w:t>
                  </w:r>
                </w:p>
              </w:tc>
              <w:tc>
                <w:tcPr>
                  <w:tcW w:w="1676" w:type="dxa"/>
                </w:tcPr>
                <w:p w:rsidR="001D4FF3" w:rsidRPr="001D4FF3" w:rsidRDefault="001D4FF3" w:rsidP="001D4FF3">
                  <w:pPr>
                    <w:contextualSpacing/>
                    <w:jc w:val="both"/>
                    <w:rPr>
                      <w:sz w:val="18"/>
                      <w:szCs w:val="18"/>
                      <w:lang w:val="lt-LT"/>
                    </w:rPr>
                  </w:pPr>
                  <w:r w:rsidRPr="001D4FF3">
                    <w:rPr>
                      <w:sz w:val="18"/>
                      <w:szCs w:val="18"/>
                      <w:lang w:val="lt-LT"/>
                    </w:rPr>
                    <w:t>1</w:t>
                  </w:r>
                </w:p>
              </w:tc>
              <w:tc>
                <w:tcPr>
                  <w:tcW w:w="1677" w:type="dxa"/>
                </w:tcPr>
                <w:p w:rsidR="001D4FF3" w:rsidRPr="001D4FF3" w:rsidRDefault="001D4FF3" w:rsidP="001D4FF3">
                  <w:pPr>
                    <w:contextualSpacing/>
                    <w:jc w:val="both"/>
                    <w:rPr>
                      <w:sz w:val="18"/>
                      <w:szCs w:val="18"/>
                      <w:lang w:val="lt-LT"/>
                    </w:rPr>
                  </w:pPr>
                  <w:r w:rsidRPr="001D4FF3">
                    <w:rPr>
                      <w:sz w:val="18"/>
                      <w:szCs w:val="18"/>
                      <w:lang w:val="lt-LT"/>
                    </w:rPr>
                    <w:t>2</w:t>
                  </w:r>
                </w:p>
              </w:tc>
              <w:tc>
                <w:tcPr>
                  <w:tcW w:w="1677" w:type="dxa"/>
                </w:tcPr>
                <w:p w:rsidR="001D4FF3" w:rsidRPr="001D4FF3" w:rsidRDefault="001D4FF3" w:rsidP="001D4FF3">
                  <w:pPr>
                    <w:contextualSpacing/>
                    <w:jc w:val="both"/>
                    <w:rPr>
                      <w:sz w:val="18"/>
                      <w:szCs w:val="18"/>
                      <w:lang w:val="lt-LT"/>
                    </w:rPr>
                  </w:pPr>
                  <w:r w:rsidRPr="001D4FF3">
                    <w:rPr>
                      <w:sz w:val="18"/>
                      <w:szCs w:val="18"/>
                      <w:lang w:val="lt-LT"/>
                    </w:rPr>
                    <w:t>3</w:t>
                  </w:r>
                </w:p>
              </w:tc>
              <w:tc>
                <w:tcPr>
                  <w:tcW w:w="1654" w:type="dxa"/>
                </w:tcPr>
                <w:p w:rsidR="001D4FF3" w:rsidRPr="001D4FF3" w:rsidRDefault="001D4FF3" w:rsidP="001D4FF3">
                  <w:pPr>
                    <w:contextualSpacing/>
                    <w:jc w:val="both"/>
                    <w:rPr>
                      <w:sz w:val="18"/>
                      <w:szCs w:val="18"/>
                      <w:lang w:val="lt-LT"/>
                    </w:rPr>
                  </w:pPr>
                  <w:r w:rsidRPr="001D4FF3">
                    <w:rPr>
                      <w:sz w:val="18"/>
                      <w:szCs w:val="18"/>
                      <w:lang w:val="lt-LT"/>
                    </w:rPr>
                    <w:t>4</w:t>
                  </w:r>
                </w:p>
              </w:tc>
              <w:tc>
                <w:tcPr>
                  <w:tcW w:w="1677" w:type="dxa"/>
                </w:tcPr>
                <w:p w:rsidR="001D4FF3" w:rsidRPr="001D4FF3" w:rsidRDefault="001D4FF3" w:rsidP="001D4FF3">
                  <w:pPr>
                    <w:contextualSpacing/>
                    <w:jc w:val="both"/>
                    <w:rPr>
                      <w:sz w:val="18"/>
                      <w:szCs w:val="18"/>
                      <w:lang w:val="lt-LT"/>
                    </w:rPr>
                  </w:pPr>
                  <w:r w:rsidRPr="001D4FF3">
                    <w:rPr>
                      <w:sz w:val="18"/>
                      <w:szCs w:val="18"/>
                      <w:lang w:val="lt-LT"/>
                    </w:rPr>
                    <w:t>5</w:t>
                  </w:r>
                </w:p>
              </w:tc>
            </w:tr>
            <w:tr w:rsidR="001D4FF3" w:rsidRPr="001D4FF3" w:rsidTr="00E5444E">
              <w:tc>
                <w:tcPr>
                  <w:tcW w:w="1827" w:type="dxa"/>
                </w:tcPr>
                <w:p w:rsidR="001D4FF3" w:rsidRPr="001D4FF3" w:rsidRDefault="001D4FF3" w:rsidP="001D4FF3">
                  <w:pPr>
                    <w:contextualSpacing/>
                    <w:jc w:val="both"/>
                    <w:rPr>
                      <w:sz w:val="18"/>
                      <w:szCs w:val="18"/>
                      <w:lang w:val="lt-LT"/>
                    </w:rPr>
                  </w:pPr>
                  <w:r w:rsidRPr="001D4FF3">
                    <w:rPr>
                      <w:sz w:val="18"/>
                      <w:szCs w:val="18"/>
                      <w:lang w:val="lt-LT"/>
                    </w:rPr>
                    <w:t>Skiedimas</w:t>
                  </w:r>
                </w:p>
              </w:tc>
              <w:tc>
                <w:tcPr>
                  <w:tcW w:w="1676" w:type="dxa"/>
                </w:tcPr>
                <w:p w:rsidR="001D4FF3" w:rsidRPr="001D4FF3" w:rsidRDefault="001D4FF3" w:rsidP="001D4FF3">
                  <w:pPr>
                    <w:contextualSpacing/>
                    <w:jc w:val="both"/>
                    <w:rPr>
                      <w:sz w:val="18"/>
                      <w:szCs w:val="18"/>
                      <w:lang w:val="lt-LT"/>
                    </w:rPr>
                  </w:pPr>
                  <w:r w:rsidRPr="001D4FF3">
                    <w:rPr>
                      <w:sz w:val="18"/>
                      <w:szCs w:val="18"/>
                      <w:lang w:val="lt-LT"/>
                    </w:rPr>
                    <w:t>1</w:t>
                  </w:r>
                </w:p>
              </w:tc>
              <w:tc>
                <w:tcPr>
                  <w:tcW w:w="1677" w:type="dxa"/>
                </w:tcPr>
                <w:p w:rsidR="001D4FF3" w:rsidRPr="001D4FF3" w:rsidRDefault="001D4FF3" w:rsidP="001D4FF3">
                  <w:pPr>
                    <w:contextualSpacing/>
                    <w:jc w:val="both"/>
                    <w:rPr>
                      <w:sz w:val="18"/>
                      <w:szCs w:val="18"/>
                      <w:lang w:val="lt-LT"/>
                    </w:rPr>
                  </w:pPr>
                  <w:r w:rsidRPr="001D4FF3">
                    <w:rPr>
                      <w:sz w:val="18"/>
                      <w:szCs w:val="18"/>
                      <w:lang w:val="lt-LT"/>
                    </w:rPr>
                    <w:t>1:2</w:t>
                  </w:r>
                </w:p>
              </w:tc>
              <w:tc>
                <w:tcPr>
                  <w:tcW w:w="1677" w:type="dxa"/>
                </w:tcPr>
                <w:p w:rsidR="001D4FF3" w:rsidRPr="001D4FF3" w:rsidRDefault="001D4FF3" w:rsidP="001D4FF3">
                  <w:pPr>
                    <w:contextualSpacing/>
                    <w:jc w:val="both"/>
                    <w:rPr>
                      <w:sz w:val="18"/>
                      <w:szCs w:val="18"/>
                      <w:lang w:val="lt-LT"/>
                    </w:rPr>
                  </w:pPr>
                  <w:r w:rsidRPr="001D4FF3">
                    <w:rPr>
                      <w:sz w:val="18"/>
                      <w:szCs w:val="18"/>
                      <w:lang w:val="lt-LT"/>
                    </w:rPr>
                    <w:t>1:4</w:t>
                  </w:r>
                </w:p>
              </w:tc>
              <w:tc>
                <w:tcPr>
                  <w:tcW w:w="1654" w:type="dxa"/>
                </w:tcPr>
                <w:p w:rsidR="001D4FF3" w:rsidRPr="001D4FF3" w:rsidRDefault="001D4FF3" w:rsidP="001D4FF3">
                  <w:pPr>
                    <w:contextualSpacing/>
                    <w:jc w:val="both"/>
                    <w:rPr>
                      <w:sz w:val="18"/>
                      <w:szCs w:val="18"/>
                      <w:lang w:val="lt-LT"/>
                    </w:rPr>
                  </w:pPr>
                  <w:r w:rsidRPr="001D4FF3">
                    <w:rPr>
                      <w:sz w:val="18"/>
                      <w:szCs w:val="18"/>
                      <w:lang w:val="lt-LT"/>
                    </w:rPr>
                    <w:t>1:8</w:t>
                  </w:r>
                </w:p>
              </w:tc>
              <w:tc>
                <w:tcPr>
                  <w:tcW w:w="1677" w:type="dxa"/>
                </w:tcPr>
                <w:p w:rsidR="001D4FF3" w:rsidRPr="001D4FF3" w:rsidRDefault="001D4FF3" w:rsidP="001D4FF3">
                  <w:pPr>
                    <w:contextualSpacing/>
                    <w:jc w:val="both"/>
                    <w:rPr>
                      <w:sz w:val="18"/>
                      <w:szCs w:val="18"/>
                      <w:lang w:val="lt-LT"/>
                    </w:rPr>
                  </w:pPr>
                  <w:r w:rsidRPr="001D4FF3">
                    <w:rPr>
                      <w:sz w:val="18"/>
                      <w:szCs w:val="18"/>
                      <w:lang w:val="lt-LT"/>
                    </w:rPr>
                    <w:t>1:16</w:t>
                  </w:r>
                </w:p>
              </w:tc>
            </w:tr>
            <w:tr w:rsidR="001D4FF3" w:rsidRPr="001D4FF3" w:rsidTr="00E5444E">
              <w:tc>
                <w:tcPr>
                  <w:tcW w:w="10188" w:type="dxa"/>
                  <w:gridSpan w:val="6"/>
                </w:tcPr>
                <w:p w:rsidR="001D4FF3" w:rsidRPr="001D4FF3" w:rsidRDefault="001D4FF3" w:rsidP="001D4FF3">
                  <w:pPr>
                    <w:contextualSpacing/>
                    <w:jc w:val="both"/>
                    <w:rPr>
                      <w:sz w:val="18"/>
                      <w:szCs w:val="18"/>
                      <w:lang w:val="lt-LT"/>
                    </w:rPr>
                  </w:pPr>
                  <w:r w:rsidRPr="001D4FF3">
                    <w:rPr>
                      <w:sz w:val="18"/>
                      <w:szCs w:val="18"/>
                      <w:lang w:val="lt-LT"/>
                    </w:rPr>
                    <w:t>Mėginių titrai yra vertinami sekančiai: (P:Teigiamas, N:Negiamas)</w:t>
                  </w:r>
                </w:p>
              </w:tc>
            </w:tr>
            <w:tr w:rsidR="001D4FF3" w:rsidRPr="001D4FF3" w:rsidTr="00E5444E">
              <w:tc>
                <w:tcPr>
                  <w:tcW w:w="1827" w:type="dxa"/>
                </w:tcPr>
                <w:p w:rsidR="001D4FF3" w:rsidRPr="001D4FF3" w:rsidRDefault="001D4FF3" w:rsidP="001D4FF3">
                  <w:pPr>
                    <w:contextualSpacing/>
                    <w:jc w:val="both"/>
                    <w:rPr>
                      <w:sz w:val="18"/>
                      <w:szCs w:val="18"/>
                      <w:lang w:val="lt-LT"/>
                    </w:rPr>
                  </w:pPr>
                  <w:r w:rsidRPr="001D4FF3">
                    <w:rPr>
                      <w:sz w:val="18"/>
                      <w:szCs w:val="18"/>
                      <w:lang w:val="lt-LT"/>
                    </w:rPr>
                    <w:t>Teigiamas 1:2</w:t>
                  </w:r>
                </w:p>
              </w:tc>
              <w:tc>
                <w:tcPr>
                  <w:tcW w:w="1676" w:type="dxa"/>
                </w:tcPr>
                <w:p w:rsidR="001D4FF3" w:rsidRPr="001D4FF3" w:rsidRDefault="001D4FF3" w:rsidP="001D4FF3">
                  <w:pPr>
                    <w:contextualSpacing/>
                    <w:jc w:val="both"/>
                    <w:rPr>
                      <w:sz w:val="18"/>
                      <w:szCs w:val="18"/>
                      <w:lang w:val="lt-LT"/>
                    </w:rPr>
                  </w:pPr>
                  <w:r w:rsidRPr="001D4FF3">
                    <w:rPr>
                      <w:sz w:val="18"/>
                      <w:szCs w:val="18"/>
                      <w:lang w:val="lt-LT"/>
                    </w:rPr>
                    <w:t>P</w:t>
                  </w:r>
                </w:p>
              </w:tc>
              <w:tc>
                <w:tcPr>
                  <w:tcW w:w="1677" w:type="dxa"/>
                </w:tcPr>
                <w:p w:rsidR="001D4FF3" w:rsidRPr="001D4FF3" w:rsidRDefault="001D4FF3" w:rsidP="001D4FF3">
                  <w:pPr>
                    <w:contextualSpacing/>
                    <w:jc w:val="both"/>
                    <w:rPr>
                      <w:sz w:val="18"/>
                      <w:szCs w:val="18"/>
                      <w:lang w:val="lt-LT"/>
                    </w:rPr>
                  </w:pPr>
                  <w:r w:rsidRPr="001D4FF3">
                    <w:rPr>
                      <w:sz w:val="18"/>
                      <w:szCs w:val="18"/>
                      <w:lang w:val="lt-LT"/>
                    </w:rPr>
                    <w:t>P</w:t>
                  </w:r>
                </w:p>
              </w:tc>
              <w:tc>
                <w:tcPr>
                  <w:tcW w:w="1677" w:type="dxa"/>
                </w:tcPr>
                <w:p w:rsidR="001D4FF3" w:rsidRPr="001D4FF3" w:rsidRDefault="001D4FF3" w:rsidP="001D4FF3">
                  <w:pPr>
                    <w:contextualSpacing/>
                    <w:jc w:val="both"/>
                    <w:rPr>
                      <w:sz w:val="18"/>
                      <w:szCs w:val="18"/>
                      <w:lang w:val="lt-LT"/>
                    </w:rPr>
                  </w:pPr>
                  <w:r w:rsidRPr="001D4FF3">
                    <w:rPr>
                      <w:sz w:val="18"/>
                      <w:szCs w:val="18"/>
                      <w:lang w:val="lt-LT"/>
                    </w:rPr>
                    <w:t>N</w:t>
                  </w:r>
                </w:p>
              </w:tc>
              <w:tc>
                <w:tcPr>
                  <w:tcW w:w="1654" w:type="dxa"/>
                </w:tcPr>
                <w:p w:rsidR="001D4FF3" w:rsidRPr="001D4FF3" w:rsidRDefault="001D4FF3" w:rsidP="001D4FF3">
                  <w:pPr>
                    <w:contextualSpacing/>
                    <w:jc w:val="both"/>
                    <w:rPr>
                      <w:sz w:val="18"/>
                      <w:szCs w:val="18"/>
                      <w:lang w:val="lt-LT"/>
                    </w:rPr>
                  </w:pPr>
                  <w:r w:rsidRPr="001D4FF3">
                    <w:rPr>
                      <w:sz w:val="18"/>
                      <w:szCs w:val="18"/>
                      <w:lang w:val="lt-LT"/>
                    </w:rPr>
                    <w:t>N</w:t>
                  </w:r>
                </w:p>
              </w:tc>
              <w:tc>
                <w:tcPr>
                  <w:tcW w:w="1677" w:type="dxa"/>
                </w:tcPr>
                <w:p w:rsidR="001D4FF3" w:rsidRPr="001D4FF3" w:rsidRDefault="001D4FF3" w:rsidP="001D4FF3">
                  <w:pPr>
                    <w:contextualSpacing/>
                    <w:jc w:val="both"/>
                    <w:rPr>
                      <w:sz w:val="18"/>
                      <w:szCs w:val="18"/>
                      <w:lang w:val="lt-LT"/>
                    </w:rPr>
                  </w:pPr>
                  <w:r w:rsidRPr="001D4FF3">
                    <w:rPr>
                      <w:sz w:val="18"/>
                      <w:szCs w:val="18"/>
                      <w:lang w:val="lt-LT"/>
                    </w:rPr>
                    <w:t>N</w:t>
                  </w:r>
                </w:p>
              </w:tc>
            </w:tr>
            <w:tr w:rsidR="001D4FF3" w:rsidRPr="001D4FF3" w:rsidTr="00E5444E">
              <w:tc>
                <w:tcPr>
                  <w:tcW w:w="1827" w:type="dxa"/>
                </w:tcPr>
                <w:p w:rsidR="001D4FF3" w:rsidRPr="001D4FF3" w:rsidRDefault="001D4FF3" w:rsidP="001D4FF3">
                  <w:pPr>
                    <w:contextualSpacing/>
                    <w:jc w:val="both"/>
                    <w:rPr>
                      <w:sz w:val="18"/>
                      <w:szCs w:val="18"/>
                      <w:lang w:val="lt-LT"/>
                    </w:rPr>
                  </w:pPr>
                  <w:r w:rsidRPr="001D4FF3">
                    <w:rPr>
                      <w:sz w:val="18"/>
                      <w:szCs w:val="18"/>
                      <w:lang w:val="lt-LT"/>
                    </w:rPr>
                    <w:t>Teigiamas 1:4</w:t>
                  </w:r>
                </w:p>
              </w:tc>
              <w:tc>
                <w:tcPr>
                  <w:tcW w:w="1676" w:type="dxa"/>
                </w:tcPr>
                <w:p w:rsidR="001D4FF3" w:rsidRPr="001D4FF3" w:rsidRDefault="001D4FF3" w:rsidP="001D4FF3">
                  <w:pPr>
                    <w:contextualSpacing/>
                    <w:jc w:val="both"/>
                    <w:rPr>
                      <w:sz w:val="18"/>
                      <w:szCs w:val="18"/>
                      <w:lang w:val="lt-LT"/>
                    </w:rPr>
                  </w:pPr>
                  <w:r w:rsidRPr="001D4FF3">
                    <w:rPr>
                      <w:sz w:val="18"/>
                      <w:szCs w:val="18"/>
                      <w:lang w:val="lt-LT"/>
                    </w:rPr>
                    <w:t>P</w:t>
                  </w:r>
                </w:p>
              </w:tc>
              <w:tc>
                <w:tcPr>
                  <w:tcW w:w="1677" w:type="dxa"/>
                </w:tcPr>
                <w:p w:rsidR="001D4FF3" w:rsidRPr="001D4FF3" w:rsidRDefault="001D4FF3" w:rsidP="001D4FF3">
                  <w:pPr>
                    <w:contextualSpacing/>
                    <w:jc w:val="both"/>
                    <w:rPr>
                      <w:sz w:val="18"/>
                      <w:szCs w:val="18"/>
                      <w:lang w:val="lt-LT"/>
                    </w:rPr>
                  </w:pPr>
                  <w:r w:rsidRPr="001D4FF3">
                    <w:rPr>
                      <w:sz w:val="18"/>
                      <w:szCs w:val="18"/>
                      <w:lang w:val="lt-LT"/>
                    </w:rPr>
                    <w:t>P</w:t>
                  </w:r>
                </w:p>
              </w:tc>
              <w:tc>
                <w:tcPr>
                  <w:tcW w:w="1677" w:type="dxa"/>
                </w:tcPr>
                <w:p w:rsidR="001D4FF3" w:rsidRPr="001D4FF3" w:rsidRDefault="001D4FF3" w:rsidP="001D4FF3">
                  <w:pPr>
                    <w:contextualSpacing/>
                    <w:jc w:val="both"/>
                    <w:rPr>
                      <w:sz w:val="18"/>
                      <w:szCs w:val="18"/>
                      <w:lang w:val="lt-LT"/>
                    </w:rPr>
                  </w:pPr>
                  <w:r w:rsidRPr="001D4FF3">
                    <w:rPr>
                      <w:sz w:val="18"/>
                      <w:szCs w:val="18"/>
                      <w:lang w:val="lt-LT"/>
                    </w:rPr>
                    <w:t>P</w:t>
                  </w:r>
                </w:p>
              </w:tc>
              <w:tc>
                <w:tcPr>
                  <w:tcW w:w="1654" w:type="dxa"/>
                </w:tcPr>
                <w:p w:rsidR="001D4FF3" w:rsidRPr="001D4FF3" w:rsidRDefault="001D4FF3" w:rsidP="001D4FF3">
                  <w:pPr>
                    <w:contextualSpacing/>
                    <w:jc w:val="both"/>
                    <w:rPr>
                      <w:sz w:val="18"/>
                      <w:szCs w:val="18"/>
                      <w:lang w:val="lt-LT"/>
                    </w:rPr>
                  </w:pPr>
                  <w:r w:rsidRPr="001D4FF3">
                    <w:rPr>
                      <w:sz w:val="18"/>
                      <w:szCs w:val="18"/>
                      <w:lang w:val="lt-LT"/>
                    </w:rPr>
                    <w:t>N</w:t>
                  </w:r>
                </w:p>
              </w:tc>
              <w:tc>
                <w:tcPr>
                  <w:tcW w:w="1677" w:type="dxa"/>
                </w:tcPr>
                <w:p w:rsidR="001D4FF3" w:rsidRPr="001D4FF3" w:rsidRDefault="001D4FF3" w:rsidP="001D4FF3">
                  <w:pPr>
                    <w:contextualSpacing/>
                    <w:jc w:val="both"/>
                    <w:rPr>
                      <w:sz w:val="18"/>
                      <w:szCs w:val="18"/>
                      <w:lang w:val="lt-LT"/>
                    </w:rPr>
                  </w:pPr>
                  <w:r w:rsidRPr="001D4FF3">
                    <w:rPr>
                      <w:sz w:val="18"/>
                      <w:szCs w:val="18"/>
                      <w:lang w:val="lt-LT"/>
                    </w:rPr>
                    <w:t>N</w:t>
                  </w:r>
                </w:p>
              </w:tc>
            </w:tr>
            <w:tr w:rsidR="001D4FF3" w:rsidRPr="001D4FF3" w:rsidTr="00E5444E">
              <w:tc>
                <w:tcPr>
                  <w:tcW w:w="1827" w:type="dxa"/>
                </w:tcPr>
                <w:p w:rsidR="001D4FF3" w:rsidRPr="001D4FF3" w:rsidRDefault="001D4FF3" w:rsidP="001D4FF3">
                  <w:pPr>
                    <w:contextualSpacing/>
                    <w:jc w:val="both"/>
                    <w:rPr>
                      <w:sz w:val="18"/>
                      <w:szCs w:val="18"/>
                      <w:lang w:val="lt-LT"/>
                    </w:rPr>
                  </w:pPr>
                  <w:r w:rsidRPr="001D4FF3">
                    <w:rPr>
                      <w:sz w:val="18"/>
                      <w:szCs w:val="18"/>
                      <w:lang w:val="lt-LT"/>
                    </w:rPr>
                    <w:t>Teigiamas 1:8</w:t>
                  </w:r>
                </w:p>
              </w:tc>
              <w:tc>
                <w:tcPr>
                  <w:tcW w:w="1676" w:type="dxa"/>
                </w:tcPr>
                <w:p w:rsidR="001D4FF3" w:rsidRPr="001D4FF3" w:rsidRDefault="001D4FF3" w:rsidP="001D4FF3">
                  <w:pPr>
                    <w:contextualSpacing/>
                    <w:jc w:val="both"/>
                    <w:rPr>
                      <w:sz w:val="18"/>
                      <w:szCs w:val="18"/>
                      <w:lang w:val="lt-LT"/>
                    </w:rPr>
                  </w:pPr>
                  <w:r w:rsidRPr="001D4FF3">
                    <w:rPr>
                      <w:sz w:val="18"/>
                      <w:szCs w:val="18"/>
                      <w:lang w:val="lt-LT"/>
                    </w:rPr>
                    <w:t>P</w:t>
                  </w:r>
                </w:p>
              </w:tc>
              <w:tc>
                <w:tcPr>
                  <w:tcW w:w="1677" w:type="dxa"/>
                </w:tcPr>
                <w:p w:rsidR="001D4FF3" w:rsidRPr="001D4FF3" w:rsidRDefault="001D4FF3" w:rsidP="001D4FF3">
                  <w:pPr>
                    <w:contextualSpacing/>
                    <w:jc w:val="both"/>
                    <w:rPr>
                      <w:sz w:val="18"/>
                      <w:szCs w:val="18"/>
                      <w:lang w:val="lt-LT"/>
                    </w:rPr>
                  </w:pPr>
                  <w:r w:rsidRPr="001D4FF3">
                    <w:rPr>
                      <w:sz w:val="18"/>
                      <w:szCs w:val="18"/>
                      <w:lang w:val="lt-LT"/>
                    </w:rPr>
                    <w:t>P</w:t>
                  </w:r>
                </w:p>
              </w:tc>
              <w:tc>
                <w:tcPr>
                  <w:tcW w:w="1677" w:type="dxa"/>
                </w:tcPr>
                <w:p w:rsidR="001D4FF3" w:rsidRPr="001D4FF3" w:rsidRDefault="001D4FF3" w:rsidP="001D4FF3">
                  <w:pPr>
                    <w:contextualSpacing/>
                    <w:jc w:val="both"/>
                    <w:rPr>
                      <w:sz w:val="18"/>
                      <w:szCs w:val="18"/>
                      <w:lang w:val="lt-LT"/>
                    </w:rPr>
                  </w:pPr>
                  <w:r w:rsidRPr="001D4FF3">
                    <w:rPr>
                      <w:sz w:val="18"/>
                      <w:szCs w:val="18"/>
                      <w:lang w:val="lt-LT"/>
                    </w:rPr>
                    <w:t>P</w:t>
                  </w:r>
                </w:p>
              </w:tc>
              <w:tc>
                <w:tcPr>
                  <w:tcW w:w="1654" w:type="dxa"/>
                </w:tcPr>
                <w:p w:rsidR="001D4FF3" w:rsidRPr="001D4FF3" w:rsidRDefault="001D4FF3" w:rsidP="001D4FF3">
                  <w:pPr>
                    <w:contextualSpacing/>
                    <w:jc w:val="both"/>
                    <w:rPr>
                      <w:sz w:val="18"/>
                      <w:szCs w:val="18"/>
                      <w:lang w:val="lt-LT"/>
                    </w:rPr>
                  </w:pPr>
                  <w:r w:rsidRPr="001D4FF3">
                    <w:rPr>
                      <w:sz w:val="18"/>
                      <w:szCs w:val="18"/>
                      <w:lang w:val="lt-LT"/>
                    </w:rPr>
                    <w:t>P</w:t>
                  </w:r>
                </w:p>
              </w:tc>
              <w:tc>
                <w:tcPr>
                  <w:tcW w:w="1677" w:type="dxa"/>
                </w:tcPr>
                <w:p w:rsidR="001D4FF3" w:rsidRPr="001D4FF3" w:rsidRDefault="001D4FF3" w:rsidP="001D4FF3">
                  <w:pPr>
                    <w:contextualSpacing/>
                    <w:jc w:val="both"/>
                    <w:rPr>
                      <w:sz w:val="18"/>
                      <w:szCs w:val="18"/>
                      <w:lang w:val="lt-LT"/>
                    </w:rPr>
                  </w:pPr>
                  <w:r w:rsidRPr="001D4FF3">
                    <w:rPr>
                      <w:sz w:val="18"/>
                      <w:szCs w:val="18"/>
                      <w:lang w:val="lt-LT"/>
                    </w:rPr>
                    <w:t>N</w:t>
                  </w:r>
                </w:p>
              </w:tc>
            </w:tr>
            <w:tr w:rsidR="001D4FF3" w:rsidRPr="001D4FF3" w:rsidTr="00E5444E">
              <w:tc>
                <w:tcPr>
                  <w:tcW w:w="1827" w:type="dxa"/>
                </w:tcPr>
                <w:p w:rsidR="001D4FF3" w:rsidRPr="001D4FF3" w:rsidRDefault="001D4FF3" w:rsidP="001D4FF3">
                  <w:pPr>
                    <w:contextualSpacing/>
                    <w:jc w:val="both"/>
                    <w:rPr>
                      <w:sz w:val="18"/>
                      <w:szCs w:val="18"/>
                      <w:lang w:val="lt-LT"/>
                    </w:rPr>
                  </w:pPr>
                  <w:r w:rsidRPr="001D4FF3">
                    <w:rPr>
                      <w:sz w:val="18"/>
                      <w:szCs w:val="18"/>
                      <w:lang w:val="lt-LT"/>
                    </w:rPr>
                    <w:t>Teigiamas 1:16</w:t>
                  </w:r>
                </w:p>
              </w:tc>
              <w:tc>
                <w:tcPr>
                  <w:tcW w:w="1676" w:type="dxa"/>
                </w:tcPr>
                <w:p w:rsidR="001D4FF3" w:rsidRPr="001D4FF3" w:rsidRDefault="001D4FF3" w:rsidP="001D4FF3">
                  <w:pPr>
                    <w:contextualSpacing/>
                    <w:jc w:val="both"/>
                    <w:rPr>
                      <w:sz w:val="18"/>
                      <w:szCs w:val="18"/>
                      <w:lang w:val="lt-LT"/>
                    </w:rPr>
                  </w:pPr>
                  <w:r w:rsidRPr="001D4FF3">
                    <w:rPr>
                      <w:sz w:val="18"/>
                      <w:szCs w:val="18"/>
                      <w:lang w:val="lt-LT"/>
                    </w:rPr>
                    <w:t>P</w:t>
                  </w:r>
                </w:p>
              </w:tc>
              <w:tc>
                <w:tcPr>
                  <w:tcW w:w="1677" w:type="dxa"/>
                </w:tcPr>
                <w:p w:rsidR="001D4FF3" w:rsidRPr="001D4FF3" w:rsidRDefault="001D4FF3" w:rsidP="001D4FF3">
                  <w:pPr>
                    <w:contextualSpacing/>
                    <w:jc w:val="both"/>
                    <w:rPr>
                      <w:sz w:val="18"/>
                      <w:szCs w:val="18"/>
                      <w:lang w:val="lt-LT"/>
                    </w:rPr>
                  </w:pPr>
                  <w:r w:rsidRPr="001D4FF3">
                    <w:rPr>
                      <w:sz w:val="18"/>
                      <w:szCs w:val="18"/>
                      <w:lang w:val="lt-LT"/>
                    </w:rPr>
                    <w:t>P</w:t>
                  </w:r>
                </w:p>
              </w:tc>
              <w:tc>
                <w:tcPr>
                  <w:tcW w:w="1677" w:type="dxa"/>
                </w:tcPr>
                <w:p w:rsidR="001D4FF3" w:rsidRPr="001D4FF3" w:rsidRDefault="001D4FF3" w:rsidP="001D4FF3">
                  <w:pPr>
                    <w:contextualSpacing/>
                    <w:jc w:val="both"/>
                    <w:rPr>
                      <w:sz w:val="18"/>
                      <w:szCs w:val="18"/>
                      <w:lang w:val="lt-LT"/>
                    </w:rPr>
                  </w:pPr>
                  <w:r w:rsidRPr="001D4FF3">
                    <w:rPr>
                      <w:sz w:val="18"/>
                      <w:szCs w:val="18"/>
                      <w:lang w:val="lt-LT"/>
                    </w:rPr>
                    <w:t>P</w:t>
                  </w:r>
                </w:p>
              </w:tc>
              <w:tc>
                <w:tcPr>
                  <w:tcW w:w="1654" w:type="dxa"/>
                </w:tcPr>
                <w:p w:rsidR="001D4FF3" w:rsidRPr="001D4FF3" w:rsidRDefault="001D4FF3" w:rsidP="001D4FF3">
                  <w:pPr>
                    <w:contextualSpacing/>
                    <w:jc w:val="both"/>
                    <w:rPr>
                      <w:sz w:val="18"/>
                      <w:szCs w:val="18"/>
                      <w:lang w:val="lt-LT"/>
                    </w:rPr>
                  </w:pPr>
                  <w:r w:rsidRPr="001D4FF3">
                    <w:rPr>
                      <w:sz w:val="18"/>
                      <w:szCs w:val="18"/>
                      <w:lang w:val="lt-LT"/>
                    </w:rPr>
                    <w:t>P</w:t>
                  </w:r>
                </w:p>
              </w:tc>
              <w:tc>
                <w:tcPr>
                  <w:tcW w:w="1677" w:type="dxa"/>
                </w:tcPr>
                <w:p w:rsidR="001D4FF3" w:rsidRPr="001D4FF3" w:rsidRDefault="001D4FF3" w:rsidP="001D4FF3">
                  <w:pPr>
                    <w:contextualSpacing/>
                    <w:jc w:val="both"/>
                    <w:rPr>
                      <w:sz w:val="18"/>
                      <w:szCs w:val="18"/>
                      <w:lang w:val="lt-LT"/>
                    </w:rPr>
                  </w:pPr>
                  <w:r w:rsidRPr="001D4FF3">
                    <w:rPr>
                      <w:sz w:val="18"/>
                      <w:szCs w:val="18"/>
                      <w:lang w:val="lt-LT"/>
                    </w:rPr>
                    <w:t>P</w:t>
                  </w:r>
                </w:p>
              </w:tc>
            </w:tr>
          </w:tbl>
          <w:p w:rsidR="001D4FF3" w:rsidRPr="001D4FF3" w:rsidRDefault="001D4FF3" w:rsidP="001D4FF3">
            <w:pPr>
              <w:contextualSpacing/>
              <w:jc w:val="both"/>
              <w:rPr>
                <w:sz w:val="18"/>
                <w:szCs w:val="18"/>
                <w:lang w:val="lt-LT"/>
              </w:rPr>
            </w:pPr>
            <w:r w:rsidRPr="001D4FF3">
              <w:rPr>
                <w:sz w:val="18"/>
                <w:szCs w:val="18"/>
                <w:lang w:val="lt-LT"/>
              </w:rPr>
              <w:t xml:space="preserve">Teigiami ir neigiami rezultatai yra vertinami taip pat, atlikus procedūrą kokybiniu metodu.   </w:t>
            </w:r>
          </w:p>
          <w:p w:rsidR="001D4FF3" w:rsidRPr="001D4FF3" w:rsidRDefault="001D4FF3" w:rsidP="001D4FF3">
            <w:pPr>
              <w:contextualSpacing/>
              <w:jc w:val="both"/>
              <w:rPr>
                <w:sz w:val="18"/>
                <w:szCs w:val="18"/>
                <w:lang w:val="lt-LT"/>
              </w:rPr>
            </w:pPr>
            <w:r w:rsidRPr="001D4FF3">
              <w:rPr>
                <w:sz w:val="18"/>
                <w:szCs w:val="18"/>
                <w:lang w:val="lt-LT"/>
              </w:rPr>
              <w:t xml:space="preserve">Jei 5 reakcijos žiede rezultatas gautas teigiamas, tada atlikite skeidimą sekančiai - 1:32, 1:64, 1:128 ir 1:256.  Norėdami gauti reikiamus skiedinius, vadovaukitės 3 procedūros žingsniais, atliekant tyrimą pusiau kokybiniu metodu; ir žingsniais 6-9, atliekant tyrimą kokybiniu metodu. </w:t>
            </w:r>
          </w:p>
          <w:p w:rsidR="001D4FF3" w:rsidRDefault="001D4FF3" w:rsidP="001D4FF3">
            <w:pPr>
              <w:contextualSpacing/>
              <w:jc w:val="both"/>
              <w:rPr>
                <w:sz w:val="18"/>
                <w:szCs w:val="18"/>
                <w:lang w:val="lt-LT"/>
              </w:rPr>
            </w:pPr>
            <w:r w:rsidRPr="001D4FF3">
              <w:rPr>
                <w:b/>
                <w:sz w:val="18"/>
                <w:szCs w:val="18"/>
                <w:lang w:val="lt-LT"/>
              </w:rPr>
              <w:t>**</w:t>
            </w:r>
            <w:r w:rsidRPr="001D4FF3">
              <w:rPr>
                <w:sz w:val="18"/>
                <w:szCs w:val="18"/>
                <w:lang w:val="lt-LT"/>
              </w:rPr>
              <w:t xml:space="preserve">Atliekant tyrimo procedūrą pagal pusiau kiekybinį metodą, titras nustatomas didžiausiu skiedimu, kuris nurodo teigiamą rezultatą.  </w:t>
            </w:r>
          </w:p>
          <w:p w:rsidR="0088589A" w:rsidRPr="001D4FF3" w:rsidRDefault="0088589A" w:rsidP="001D4FF3">
            <w:pPr>
              <w:contextualSpacing/>
              <w:jc w:val="both"/>
              <w:rPr>
                <w:sz w:val="18"/>
                <w:szCs w:val="18"/>
                <w:lang w:val="lt-LT"/>
              </w:rPr>
            </w:pPr>
          </w:p>
          <w:p w:rsidR="0088589A" w:rsidRPr="0088589A" w:rsidRDefault="0088589A" w:rsidP="0088589A">
            <w:pPr>
              <w:contextualSpacing/>
              <w:jc w:val="both"/>
              <w:rPr>
                <w:b/>
                <w:bCs/>
                <w:sz w:val="18"/>
                <w:szCs w:val="18"/>
                <w:lang w:val="lt-LT"/>
              </w:rPr>
            </w:pPr>
            <w:r w:rsidRPr="0088589A">
              <w:rPr>
                <w:b/>
                <w:bCs/>
                <w:sz w:val="18"/>
                <w:szCs w:val="18"/>
                <w:lang w:val="lt-LT"/>
              </w:rPr>
              <w:t>ATLIKIMO CHARAKTERISTIKOS</w:t>
            </w:r>
          </w:p>
          <w:p w:rsidR="0088589A" w:rsidRPr="0088589A" w:rsidRDefault="0088589A" w:rsidP="0088589A">
            <w:pPr>
              <w:contextualSpacing/>
              <w:jc w:val="both"/>
              <w:rPr>
                <w:sz w:val="18"/>
                <w:szCs w:val="18"/>
                <w:lang w:val="lt-LT"/>
              </w:rPr>
            </w:pPr>
            <w:r w:rsidRPr="0088589A">
              <w:rPr>
                <w:bCs/>
                <w:sz w:val="18"/>
                <w:szCs w:val="18"/>
                <w:lang w:val="lt-LT"/>
              </w:rPr>
              <w:t xml:space="preserve">1. Jautrumas: </w:t>
            </w:r>
            <w:r w:rsidRPr="0088589A">
              <w:rPr>
                <w:sz w:val="18"/>
                <w:szCs w:val="18"/>
                <w:lang w:val="lt-LT"/>
              </w:rPr>
              <w:t>100 % .</w:t>
            </w:r>
          </w:p>
          <w:p w:rsidR="0088589A" w:rsidRPr="0088589A" w:rsidRDefault="0088589A" w:rsidP="0088589A">
            <w:pPr>
              <w:contextualSpacing/>
              <w:jc w:val="both"/>
              <w:rPr>
                <w:sz w:val="18"/>
                <w:szCs w:val="18"/>
                <w:lang w:val="lt-LT"/>
              </w:rPr>
            </w:pPr>
            <w:r w:rsidRPr="0088589A">
              <w:rPr>
                <w:bCs/>
                <w:sz w:val="18"/>
                <w:szCs w:val="18"/>
                <w:lang w:val="lt-LT"/>
              </w:rPr>
              <w:t xml:space="preserve">2.  Tikslumas: </w:t>
            </w:r>
            <w:r w:rsidRPr="0088589A">
              <w:rPr>
                <w:sz w:val="18"/>
                <w:szCs w:val="18"/>
                <w:lang w:val="lt-LT"/>
              </w:rPr>
              <w:t>100 % .</w:t>
            </w:r>
          </w:p>
          <w:p w:rsidR="0088589A" w:rsidRPr="0088589A" w:rsidRDefault="0088589A" w:rsidP="0088589A">
            <w:pPr>
              <w:contextualSpacing/>
              <w:jc w:val="both"/>
              <w:rPr>
                <w:bCs/>
                <w:sz w:val="18"/>
                <w:szCs w:val="18"/>
                <w:lang w:val="lt-LT"/>
              </w:rPr>
            </w:pPr>
            <w:r w:rsidRPr="0088589A">
              <w:rPr>
                <w:bCs/>
                <w:sz w:val="18"/>
                <w:szCs w:val="18"/>
                <w:lang w:val="lt-LT"/>
              </w:rPr>
              <w:t xml:space="preserve">3. Specifiškumas: yra nustatyta, kad gali būti gaunami pavieniai klaidingai teigiami rezultatai tuo atveju, jei pacientas yra infekuotas kita infekcija. Jei RPR testas parodo teigiamą rezultatą, turėtų būti atliktas </w:t>
            </w:r>
            <w:proofErr w:type="spellStart"/>
            <w:r w:rsidRPr="0088589A">
              <w:rPr>
                <w:bCs/>
                <w:sz w:val="18"/>
                <w:szCs w:val="18"/>
                <w:lang w:val="lt-LT"/>
              </w:rPr>
              <w:t>treponemų</w:t>
            </w:r>
            <w:proofErr w:type="spellEnd"/>
            <w:r w:rsidRPr="0088589A">
              <w:rPr>
                <w:bCs/>
                <w:sz w:val="18"/>
                <w:szCs w:val="18"/>
                <w:lang w:val="lt-LT"/>
              </w:rPr>
              <w:t xml:space="preserve"> tyrimas.</w:t>
            </w:r>
          </w:p>
          <w:p w:rsidR="001D4FF3" w:rsidRPr="001D4FF3" w:rsidRDefault="0088589A" w:rsidP="0088589A">
            <w:pPr>
              <w:contextualSpacing/>
              <w:jc w:val="both"/>
              <w:rPr>
                <w:sz w:val="18"/>
                <w:szCs w:val="18"/>
                <w:lang w:val="lt-LT"/>
              </w:rPr>
            </w:pPr>
            <w:r>
              <w:rPr>
                <w:b/>
                <w:bCs/>
                <w:sz w:val="18"/>
                <w:szCs w:val="18"/>
                <w:lang w:val="lt-LT"/>
              </w:rPr>
              <w:t xml:space="preserve"> </w:t>
            </w:r>
          </w:p>
          <w:p w:rsidR="001D4FF3" w:rsidRPr="001D4FF3" w:rsidRDefault="001D4FF3" w:rsidP="001D4FF3">
            <w:pPr>
              <w:contextualSpacing/>
              <w:jc w:val="both"/>
              <w:rPr>
                <w:b/>
                <w:sz w:val="18"/>
                <w:szCs w:val="18"/>
                <w:lang w:val="lt-LT"/>
              </w:rPr>
            </w:pPr>
            <w:r w:rsidRPr="001D4FF3">
              <w:rPr>
                <w:b/>
                <w:sz w:val="18"/>
                <w:szCs w:val="18"/>
                <w:lang w:val="lt-LT"/>
              </w:rPr>
              <w:t>APRIBOJIMAI</w:t>
            </w:r>
          </w:p>
          <w:p w:rsidR="001D4FF3" w:rsidRPr="001D4FF3" w:rsidRDefault="001D4FF3" w:rsidP="001D4FF3">
            <w:pPr>
              <w:contextualSpacing/>
              <w:jc w:val="both"/>
              <w:rPr>
                <w:sz w:val="18"/>
                <w:szCs w:val="18"/>
                <w:lang w:val="lt-LT"/>
              </w:rPr>
            </w:pPr>
            <w:r w:rsidRPr="001D4FF3">
              <w:rPr>
                <w:sz w:val="18"/>
                <w:szCs w:val="18"/>
                <w:lang w:val="lt-LT"/>
              </w:rPr>
              <w:t>Šos tyrimo rezultatai indikuoja preliminarią sifilio diagnose. Gydytojai turėtų įvertinti visus klinikinius duomenis</w:t>
            </w:r>
          </w:p>
          <w:p w:rsidR="001D4FF3" w:rsidRDefault="001D4FF3" w:rsidP="001D4FF3">
            <w:pPr>
              <w:contextualSpacing/>
              <w:jc w:val="both"/>
              <w:rPr>
                <w:sz w:val="18"/>
                <w:szCs w:val="18"/>
                <w:lang w:val="lt-LT"/>
              </w:rPr>
            </w:pPr>
            <w:r w:rsidRPr="001D4FF3">
              <w:rPr>
                <w:sz w:val="18"/>
                <w:szCs w:val="18"/>
                <w:lang w:val="lt-LT"/>
              </w:rPr>
              <w:t>ir laboratorinius tyrimus, prieš nustatant galutinę diagnozę. Rekomenduojama teigiamus rezultatus patvirtinkite dar vienu serologiniu testu, pvz., TPHA.</w:t>
            </w:r>
          </w:p>
          <w:p w:rsidR="001D4FF3" w:rsidRDefault="001D4FF3" w:rsidP="001D4FF3">
            <w:pPr>
              <w:contextualSpacing/>
              <w:jc w:val="both"/>
              <w:rPr>
                <w:sz w:val="18"/>
                <w:szCs w:val="18"/>
                <w:lang w:val="lt-LT"/>
              </w:rPr>
            </w:pPr>
          </w:p>
          <w:p w:rsidR="001D4FF3" w:rsidRPr="009E302A" w:rsidRDefault="001D4FF3" w:rsidP="001D4FF3">
            <w:pPr>
              <w:contextualSpacing/>
              <w:jc w:val="both"/>
              <w:rPr>
                <w:b/>
                <w:sz w:val="12"/>
                <w:szCs w:val="12"/>
                <w:lang w:val="lt-LT"/>
              </w:rPr>
            </w:pPr>
            <w:r w:rsidRPr="009E302A">
              <w:rPr>
                <w:b/>
                <w:sz w:val="12"/>
                <w:szCs w:val="12"/>
                <w:lang w:val="lt-LT"/>
              </w:rPr>
              <w:t>LITERATŪROS ŠALTINIAI</w:t>
            </w:r>
          </w:p>
          <w:p w:rsidR="001D4FF3" w:rsidRPr="009E302A" w:rsidRDefault="001D4FF3" w:rsidP="001D4FF3">
            <w:pPr>
              <w:contextualSpacing/>
              <w:jc w:val="both"/>
              <w:rPr>
                <w:sz w:val="12"/>
                <w:szCs w:val="12"/>
                <w:lang w:val="lt-LT"/>
              </w:rPr>
            </w:pPr>
            <w:r w:rsidRPr="009E302A">
              <w:rPr>
                <w:sz w:val="12"/>
                <w:szCs w:val="12"/>
                <w:lang w:val="lt-LT"/>
              </w:rPr>
              <w:t xml:space="preserve">1. </w:t>
            </w:r>
            <w:proofErr w:type="spellStart"/>
            <w:r w:rsidRPr="009E302A">
              <w:rPr>
                <w:sz w:val="12"/>
                <w:szCs w:val="12"/>
                <w:lang w:val="lt-LT"/>
              </w:rPr>
              <w:t>Falcone</w:t>
            </w:r>
            <w:proofErr w:type="spellEnd"/>
            <w:r w:rsidRPr="009E302A">
              <w:rPr>
                <w:sz w:val="12"/>
                <w:szCs w:val="12"/>
                <w:lang w:val="lt-LT"/>
              </w:rPr>
              <w:t xml:space="preserve"> V.H., </w:t>
            </w:r>
            <w:proofErr w:type="spellStart"/>
            <w:r w:rsidRPr="009E302A">
              <w:rPr>
                <w:sz w:val="12"/>
                <w:szCs w:val="12"/>
                <w:lang w:val="lt-LT"/>
              </w:rPr>
              <w:t>Stout</w:t>
            </w:r>
            <w:proofErr w:type="spellEnd"/>
            <w:r w:rsidRPr="009E302A">
              <w:rPr>
                <w:sz w:val="12"/>
                <w:szCs w:val="12"/>
                <w:lang w:val="lt-LT"/>
              </w:rPr>
              <w:t xml:space="preserve"> G.W. </w:t>
            </w:r>
            <w:proofErr w:type="spellStart"/>
            <w:r w:rsidRPr="009E302A">
              <w:rPr>
                <w:sz w:val="12"/>
                <w:szCs w:val="12"/>
                <w:lang w:val="lt-LT"/>
              </w:rPr>
              <w:t>and</w:t>
            </w:r>
            <w:proofErr w:type="spellEnd"/>
            <w:r w:rsidRPr="009E302A">
              <w:rPr>
                <w:sz w:val="12"/>
                <w:szCs w:val="12"/>
                <w:lang w:val="lt-LT"/>
              </w:rPr>
              <w:t xml:space="preserve"> </w:t>
            </w:r>
            <w:proofErr w:type="spellStart"/>
            <w:r w:rsidRPr="009E302A">
              <w:rPr>
                <w:sz w:val="12"/>
                <w:szCs w:val="12"/>
                <w:lang w:val="lt-LT"/>
              </w:rPr>
              <w:t>Moore</w:t>
            </w:r>
            <w:proofErr w:type="spellEnd"/>
            <w:r w:rsidRPr="009E302A">
              <w:rPr>
                <w:sz w:val="12"/>
                <w:szCs w:val="12"/>
                <w:lang w:val="lt-LT"/>
              </w:rPr>
              <w:t xml:space="preserve"> </w:t>
            </w:r>
            <w:proofErr w:type="spellStart"/>
            <w:r w:rsidRPr="009E302A">
              <w:rPr>
                <w:sz w:val="12"/>
                <w:szCs w:val="12"/>
                <w:lang w:val="lt-LT"/>
              </w:rPr>
              <w:t>M.B.Jr</w:t>
            </w:r>
            <w:proofErr w:type="spellEnd"/>
            <w:r w:rsidRPr="009E302A">
              <w:rPr>
                <w:sz w:val="12"/>
                <w:szCs w:val="12"/>
                <w:lang w:val="lt-LT"/>
              </w:rPr>
              <w:t>., PHR 79: 491-495, 1964.</w:t>
            </w:r>
          </w:p>
          <w:p w:rsidR="001D4FF3" w:rsidRPr="009E302A" w:rsidRDefault="001D4FF3" w:rsidP="001D4FF3">
            <w:pPr>
              <w:contextualSpacing/>
              <w:jc w:val="both"/>
              <w:rPr>
                <w:sz w:val="12"/>
                <w:szCs w:val="12"/>
                <w:lang w:val="lt-LT"/>
              </w:rPr>
            </w:pPr>
            <w:r w:rsidRPr="009E302A">
              <w:rPr>
                <w:sz w:val="12"/>
                <w:szCs w:val="12"/>
                <w:lang w:val="lt-LT"/>
              </w:rPr>
              <w:t xml:space="preserve">2. Larsen S.A., et. al., </w:t>
            </w:r>
            <w:proofErr w:type="spellStart"/>
            <w:r w:rsidRPr="009E302A">
              <w:rPr>
                <w:sz w:val="12"/>
                <w:szCs w:val="12"/>
                <w:lang w:val="lt-LT"/>
              </w:rPr>
              <w:t>ata</w:t>
            </w:r>
            <w:proofErr w:type="spellEnd"/>
            <w:r w:rsidRPr="009E302A">
              <w:rPr>
                <w:sz w:val="12"/>
                <w:szCs w:val="12"/>
                <w:lang w:val="lt-LT"/>
              </w:rPr>
              <w:t xml:space="preserve"> </w:t>
            </w:r>
            <w:proofErr w:type="spellStart"/>
            <w:r w:rsidRPr="009E302A">
              <w:rPr>
                <w:sz w:val="12"/>
                <w:szCs w:val="12"/>
                <w:lang w:val="lt-LT"/>
              </w:rPr>
              <w:t>on</w:t>
            </w:r>
            <w:proofErr w:type="spellEnd"/>
            <w:r w:rsidRPr="009E302A">
              <w:rPr>
                <w:sz w:val="12"/>
                <w:szCs w:val="12"/>
                <w:lang w:val="lt-LT"/>
              </w:rPr>
              <w:t xml:space="preserve"> </w:t>
            </w:r>
            <w:proofErr w:type="spellStart"/>
            <w:r w:rsidRPr="009E302A">
              <w:rPr>
                <w:sz w:val="12"/>
                <w:szCs w:val="12"/>
                <w:lang w:val="lt-LT"/>
              </w:rPr>
              <w:t>file</w:t>
            </w:r>
            <w:proofErr w:type="spellEnd"/>
            <w:r w:rsidRPr="009E302A">
              <w:rPr>
                <w:sz w:val="12"/>
                <w:szCs w:val="12"/>
                <w:lang w:val="lt-LT"/>
              </w:rPr>
              <w:t xml:space="preserve">, </w:t>
            </w:r>
            <w:proofErr w:type="spellStart"/>
            <w:r w:rsidRPr="009E302A">
              <w:rPr>
                <w:sz w:val="12"/>
                <w:szCs w:val="12"/>
                <w:lang w:val="lt-LT"/>
              </w:rPr>
              <w:t>Treponemal</w:t>
            </w:r>
            <w:proofErr w:type="spellEnd"/>
            <w:r w:rsidR="0088589A" w:rsidRPr="009E302A">
              <w:rPr>
                <w:sz w:val="12"/>
                <w:szCs w:val="12"/>
                <w:lang w:val="lt-LT"/>
              </w:rPr>
              <w:t xml:space="preserve"> </w:t>
            </w:r>
            <w:proofErr w:type="spellStart"/>
            <w:r w:rsidRPr="009E302A">
              <w:rPr>
                <w:sz w:val="12"/>
                <w:szCs w:val="12"/>
                <w:lang w:val="lt-LT"/>
              </w:rPr>
              <w:t>Research</w:t>
            </w:r>
            <w:proofErr w:type="spellEnd"/>
            <w:r w:rsidRPr="009E302A">
              <w:rPr>
                <w:sz w:val="12"/>
                <w:szCs w:val="12"/>
                <w:lang w:val="lt-LT"/>
              </w:rPr>
              <w:t xml:space="preserve"> </w:t>
            </w:r>
            <w:proofErr w:type="spellStart"/>
            <w:r w:rsidRPr="009E302A">
              <w:rPr>
                <w:sz w:val="12"/>
                <w:szCs w:val="12"/>
                <w:lang w:val="lt-LT"/>
              </w:rPr>
              <w:t>and</w:t>
            </w:r>
            <w:proofErr w:type="spellEnd"/>
            <w:r w:rsidRPr="009E302A">
              <w:rPr>
                <w:sz w:val="12"/>
                <w:szCs w:val="12"/>
                <w:lang w:val="lt-LT"/>
              </w:rPr>
              <w:t xml:space="preserve"> </w:t>
            </w:r>
            <w:proofErr w:type="spellStart"/>
            <w:r w:rsidRPr="009E302A">
              <w:rPr>
                <w:sz w:val="12"/>
                <w:szCs w:val="12"/>
                <w:lang w:val="lt-LT"/>
              </w:rPr>
              <w:t>Immunology</w:t>
            </w:r>
            <w:proofErr w:type="spellEnd"/>
            <w:r w:rsidRPr="009E302A">
              <w:rPr>
                <w:sz w:val="12"/>
                <w:szCs w:val="12"/>
                <w:lang w:val="lt-LT"/>
              </w:rPr>
              <w:t xml:space="preserve"> </w:t>
            </w:r>
            <w:proofErr w:type="spellStart"/>
            <w:r w:rsidRPr="009E302A">
              <w:rPr>
                <w:sz w:val="12"/>
                <w:szCs w:val="12"/>
                <w:lang w:val="lt-LT"/>
              </w:rPr>
              <w:t>lab</w:t>
            </w:r>
            <w:proofErr w:type="spellEnd"/>
            <w:r w:rsidRPr="009E302A">
              <w:rPr>
                <w:sz w:val="12"/>
                <w:szCs w:val="12"/>
                <w:lang w:val="lt-LT"/>
              </w:rPr>
              <w:t>, CDC.</w:t>
            </w:r>
          </w:p>
          <w:p w:rsidR="001D4FF3" w:rsidRPr="009E302A" w:rsidRDefault="001D4FF3" w:rsidP="001D4FF3">
            <w:pPr>
              <w:contextualSpacing/>
              <w:jc w:val="both"/>
              <w:rPr>
                <w:sz w:val="12"/>
                <w:szCs w:val="12"/>
                <w:lang w:val="lt-LT"/>
              </w:rPr>
            </w:pPr>
            <w:r w:rsidRPr="009E302A">
              <w:rPr>
                <w:sz w:val="12"/>
                <w:szCs w:val="12"/>
                <w:lang w:val="lt-LT"/>
              </w:rPr>
              <w:t xml:space="preserve">3. McGrew B.E., </w:t>
            </w:r>
            <w:proofErr w:type="spellStart"/>
            <w:r w:rsidRPr="009E302A">
              <w:rPr>
                <w:sz w:val="12"/>
                <w:szCs w:val="12"/>
                <w:lang w:val="lt-LT"/>
              </w:rPr>
              <w:t>Stout</w:t>
            </w:r>
            <w:proofErr w:type="spellEnd"/>
            <w:r w:rsidRPr="009E302A">
              <w:rPr>
                <w:sz w:val="12"/>
                <w:szCs w:val="12"/>
                <w:lang w:val="lt-LT"/>
              </w:rPr>
              <w:t xml:space="preserve"> G.W., </w:t>
            </w:r>
            <w:proofErr w:type="spellStart"/>
            <w:r w:rsidRPr="009E302A">
              <w:rPr>
                <w:sz w:val="12"/>
                <w:szCs w:val="12"/>
                <w:lang w:val="lt-LT"/>
              </w:rPr>
              <w:t>Falcon</w:t>
            </w:r>
            <w:proofErr w:type="spellEnd"/>
            <w:r w:rsidRPr="009E302A">
              <w:rPr>
                <w:sz w:val="12"/>
                <w:szCs w:val="12"/>
                <w:lang w:val="lt-LT"/>
              </w:rPr>
              <w:t xml:space="preserve"> V.H., AM.</w:t>
            </w:r>
            <w:r w:rsidR="0088589A" w:rsidRPr="009E302A">
              <w:rPr>
                <w:sz w:val="12"/>
                <w:szCs w:val="12"/>
                <w:lang w:val="lt-LT"/>
              </w:rPr>
              <w:t xml:space="preserve"> </w:t>
            </w:r>
            <w:r w:rsidRPr="009E302A">
              <w:rPr>
                <w:sz w:val="12"/>
                <w:szCs w:val="12"/>
                <w:lang w:val="lt-LT"/>
              </w:rPr>
              <w:t>J. Med. Techs., 34:634, 1969</w:t>
            </w:r>
          </w:p>
          <w:p w:rsidR="001D4FF3" w:rsidRPr="009E302A" w:rsidRDefault="001D4FF3" w:rsidP="001D4FF3">
            <w:pPr>
              <w:contextualSpacing/>
              <w:jc w:val="both"/>
              <w:rPr>
                <w:sz w:val="12"/>
                <w:szCs w:val="12"/>
                <w:lang w:val="lt-LT"/>
              </w:rPr>
            </w:pPr>
            <w:r w:rsidRPr="009E302A">
              <w:rPr>
                <w:sz w:val="12"/>
                <w:szCs w:val="12"/>
                <w:lang w:val="lt-LT"/>
              </w:rPr>
              <w:t xml:space="preserve">4. </w:t>
            </w:r>
            <w:proofErr w:type="spellStart"/>
            <w:r w:rsidRPr="009E302A">
              <w:rPr>
                <w:sz w:val="12"/>
                <w:szCs w:val="12"/>
                <w:lang w:val="lt-LT"/>
              </w:rPr>
              <w:t>Manual</w:t>
            </w:r>
            <w:proofErr w:type="spellEnd"/>
            <w:r w:rsidRPr="009E302A">
              <w:rPr>
                <w:sz w:val="12"/>
                <w:szCs w:val="12"/>
                <w:lang w:val="lt-LT"/>
              </w:rPr>
              <w:t xml:space="preserve"> </w:t>
            </w:r>
            <w:proofErr w:type="spellStart"/>
            <w:r w:rsidRPr="009E302A">
              <w:rPr>
                <w:sz w:val="12"/>
                <w:szCs w:val="12"/>
                <w:lang w:val="lt-LT"/>
              </w:rPr>
              <w:t>of</w:t>
            </w:r>
            <w:proofErr w:type="spellEnd"/>
            <w:r w:rsidRPr="009E302A">
              <w:rPr>
                <w:sz w:val="12"/>
                <w:szCs w:val="12"/>
                <w:lang w:val="lt-LT"/>
              </w:rPr>
              <w:t xml:space="preserve"> </w:t>
            </w:r>
            <w:proofErr w:type="spellStart"/>
            <w:r w:rsidRPr="009E302A">
              <w:rPr>
                <w:sz w:val="12"/>
                <w:szCs w:val="12"/>
                <w:lang w:val="lt-LT"/>
              </w:rPr>
              <w:t>Tests</w:t>
            </w:r>
            <w:proofErr w:type="spellEnd"/>
            <w:r w:rsidRPr="009E302A">
              <w:rPr>
                <w:sz w:val="12"/>
                <w:szCs w:val="12"/>
                <w:lang w:val="lt-LT"/>
              </w:rPr>
              <w:t xml:space="preserve"> </w:t>
            </w:r>
            <w:proofErr w:type="spellStart"/>
            <w:r w:rsidRPr="009E302A">
              <w:rPr>
                <w:sz w:val="12"/>
                <w:szCs w:val="12"/>
                <w:lang w:val="lt-LT"/>
              </w:rPr>
              <w:t>for</w:t>
            </w:r>
            <w:proofErr w:type="spellEnd"/>
            <w:r w:rsidRPr="009E302A">
              <w:rPr>
                <w:sz w:val="12"/>
                <w:szCs w:val="12"/>
                <w:lang w:val="lt-LT"/>
              </w:rPr>
              <w:t xml:space="preserve"> </w:t>
            </w:r>
            <w:proofErr w:type="spellStart"/>
            <w:r w:rsidRPr="009E302A">
              <w:rPr>
                <w:sz w:val="12"/>
                <w:szCs w:val="12"/>
                <w:lang w:val="lt-LT"/>
              </w:rPr>
              <w:t>Syphilis</w:t>
            </w:r>
            <w:proofErr w:type="spellEnd"/>
            <w:r w:rsidRPr="009E302A">
              <w:rPr>
                <w:sz w:val="12"/>
                <w:szCs w:val="12"/>
                <w:lang w:val="lt-LT"/>
              </w:rPr>
              <w:t>, PHS</w:t>
            </w:r>
            <w:r w:rsidR="0088589A" w:rsidRPr="009E302A">
              <w:rPr>
                <w:sz w:val="12"/>
                <w:szCs w:val="12"/>
                <w:lang w:val="lt-LT"/>
              </w:rPr>
              <w:t xml:space="preserve"> </w:t>
            </w:r>
            <w:proofErr w:type="spellStart"/>
            <w:r w:rsidRPr="009E302A">
              <w:rPr>
                <w:sz w:val="12"/>
                <w:szCs w:val="12"/>
                <w:lang w:val="lt-LT"/>
              </w:rPr>
              <w:t>publication</w:t>
            </w:r>
            <w:proofErr w:type="spellEnd"/>
            <w:r w:rsidRPr="009E302A">
              <w:rPr>
                <w:sz w:val="12"/>
                <w:szCs w:val="12"/>
                <w:lang w:val="lt-LT"/>
              </w:rPr>
              <w:t xml:space="preserve"> No.411, 1969.</w:t>
            </w:r>
          </w:p>
          <w:p w:rsidR="001D4FF3" w:rsidRPr="009E302A" w:rsidRDefault="001D4FF3" w:rsidP="001D4FF3">
            <w:pPr>
              <w:contextualSpacing/>
              <w:jc w:val="center"/>
              <w:rPr>
                <w:b/>
                <w:sz w:val="12"/>
                <w:szCs w:val="12"/>
                <w:lang w:val="lt-LT"/>
              </w:rPr>
            </w:pPr>
          </w:p>
          <w:p w:rsidR="001D4FF3" w:rsidRPr="009E302A" w:rsidRDefault="001D4FF3" w:rsidP="001D4FF3">
            <w:pPr>
              <w:contextualSpacing/>
              <w:jc w:val="center"/>
              <w:rPr>
                <w:b/>
                <w:sz w:val="12"/>
                <w:szCs w:val="12"/>
                <w:lang w:val="lt-LT"/>
              </w:rPr>
            </w:pPr>
            <w:r w:rsidRPr="009E302A">
              <w:rPr>
                <w:b/>
                <w:sz w:val="12"/>
                <w:szCs w:val="12"/>
                <w:lang w:val="lt-LT"/>
              </w:rPr>
              <w:t>ATLAS MEDICAL</w:t>
            </w:r>
          </w:p>
          <w:p w:rsidR="001D4FF3" w:rsidRPr="009E302A" w:rsidRDefault="001D4FF3" w:rsidP="001D4FF3">
            <w:pPr>
              <w:contextualSpacing/>
              <w:jc w:val="center"/>
              <w:rPr>
                <w:b/>
                <w:sz w:val="12"/>
                <w:szCs w:val="12"/>
                <w:lang w:val="lt-LT"/>
              </w:rPr>
            </w:pPr>
            <w:r w:rsidRPr="009E302A">
              <w:rPr>
                <w:b/>
                <w:sz w:val="12"/>
                <w:szCs w:val="12"/>
                <w:lang w:val="lt-LT"/>
              </w:rPr>
              <w:t>William James House, Cowley Rd,</w:t>
            </w:r>
          </w:p>
          <w:p w:rsidR="001D4FF3" w:rsidRPr="009E302A" w:rsidRDefault="001D4FF3" w:rsidP="001D4FF3">
            <w:pPr>
              <w:contextualSpacing/>
              <w:jc w:val="center"/>
              <w:rPr>
                <w:b/>
                <w:sz w:val="12"/>
                <w:szCs w:val="12"/>
                <w:lang w:val="lt-LT"/>
              </w:rPr>
            </w:pPr>
            <w:r w:rsidRPr="009E302A">
              <w:rPr>
                <w:b/>
                <w:sz w:val="12"/>
                <w:szCs w:val="12"/>
                <w:lang w:val="lt-LT"/>
              </w:rPr>
              <w:t>Cambridge, CB4 4WX, UK</w:t>
            </w:r>
          </w:p>
          <w:p w:rsidR="001D4FF3" w:rsidRPr="009E302A" w:rsidRDefault="001D4FF3" w:rsidP="001D4FF3">
            <w:pPr>
              <w:contextualSpacing/>
              <w:jc w:val="center"/>
              <w:rPr>
                <w:b/>
                <w:sz w:val="12"/>
                <w:szCs w:val="12"/>
                <w:lang w:val="lt-LT"/>
              </w:rPr>
            </w:pPr>
            <w:r w:rsidRPr="009E302A">
              <w:rPr>
                <w:b/>
                <w:sz w:val="12"/>
                <w:szCs w:val="12"/>
                <w:lang w:val="lt-LT"/>
              </w:rPr>
              <w:t>Tel: ++44 (0) 1223 858 910</w:t>
            </w:r>
          </w:p>
          <w:p w:rsidR="001D4FF3" w:rsidRPr="009E302A" w:rsidRDefault="001D4FF3" w:rsidP="001D4FF3">
            <w:pPr>
              <w:contextualSpacing/>
              <w:jc w:val="center"/>
              <w:rPr>
                <w:b/>
                <w:sz w:val="12"/>
                <w:szCs w:val="12"/>
                <w:lang w:val="lt-LT"/>
              </w:rPr>
            </w:pPr>
            <w:r w:rsidRPr="009E302A">
              <w:rPr>
                <w:b/>
                <w:sz w:val="12"/>
                <w:szCs w:val="12"/>
                <w:lang w:val="lt-LT"/>
              </w:rPr>
              <w:t>Fax: ++44 (0) 1223 858 524</w:t>
            </w:r>
          </w:p>
          <w:p w:rsidR="001D4FF3" w:rsidRPr="009E302A" w:rsidRDefault="001D4FF3" w:rsidP="001D4FF3">
            <w:pPr>
              <w:contextualSpacing/>
              <w:jc w:val="center"/>
              <w:rPr>
                <w:b/>
                <w:sz w:val="12"/>
                <w:szCs w:val="12"/>
                <w:lang w:val="lt-LT"/>
              </w:rPr>
            </w:pPr>
            <w:r w:rsidRPr="009E302A">
              <w:rPr>
                <w:b/>
                <w:sz w:val="12"/>
                <w:szCs w:val="12"/>
                <w:lang w:val="lt-LT"/>
              </w:rPr>
              <w:t>PPI009A01</w:t>
            </w:r>
          </w:p>
          <w:p w:rsidR="001D4FF3" w:rsidRPr="00C16D55" w:rsidRDefault="001D4FF3" w:rsidP="00C16D55">
            <w:pPr>
              <w:contextualSpacing/>
              <w:jc w:val="center"/>
              <w:rPr>
                <w:sz w:val="18"/>
                <w:szCs w:val="18"/>
                <w:lang w:val="lt-LT"/>
              </w:rPr>
            </w:pPr>
            <w:r w:rsidRPr="009E302A">
              <w:rPr>
                <w:b/>
                <w:sz w:val="12"/>
                <w:szCs w:val="12"/>
                <w:lang w:val="lt-LT"/>
              </w:rPr>
              <w:t>Rev F (08.10.2011)</w:t>
            </w:r>
          </w:p>
        </w:tc>
      </w:tr>
    </w:tbl>
    <w:p w:rsidR="000955D9" w:rsidRPr="001D4FF3" w:rsidRDefault="000955D9" w:rsidP="000955D9">
      <w:pPr>
        <w:spacing w:line="240" w:lineRule="auto"/>
        <w:contextualSpacing/>
        <w:rPr>
          <w:sz w:val="18"/>
          <w:szCs w:val="18"/>
          <w:lang w:val="lt-LT"/>
        </w:rPr>
      </w:pPr>
    </w:p>
    <w:p w:rsidR="000955D9" w:rsidRPr="001D4FF3" w:rsidRDefault="000955D9" w:rsidP="003622E9">
      <w:pPr>
        <w:spacing w:line="240" w:lineRule="auto"/>
        <w:contextualSpacing/>
        <w:rPr>
          <w:sz w:val="18"/>
          <w:szCs w:val="18"/>
          <w:lang w:val="lt-LT"/>
        </w:rPr>
      </w:pPr>
    </w:p>
    <w:p w:rsidR="000955D9" w:rsidRPr="001D4FF3" w:rsidRDefault="000955D9" w:rsidP="003622E9">
      <w:pPr>
        <w:spacing w:line="240" w:lineRule="auto"/>
        <w:contextualSpacing/>
        <w:rPr>
          <w:sz w:val="18"/>
          <w:szCs w:val="18"/>
          <w:lang w:val="lt-LT"/>
        </w:rPr>
      </w:pPr>
    </w:p>
    <w:p w:rsidR="00352DF8" w:rsidRPr="001D4FF3" w:rsidRDefault="00352DF8" w:rsidP="003622E9">
      <w:pPr>
        <w:spacing w:line="240" w:lineRule="auto"/>
        <w:contextualSpacing/>
        <w:rPr>
          <w:sz w:val="18"/>
          <w:szCs w:val="18"/>
          <w:lang w:val="lt-LT"/>
        </w:rPr>
      </w:pPr>
    </w:p>
    <w:p w:rsidR="00352DF8" w:rsidRPr="001D4FF3" w:rsidRDefault="00352DF8" w:rsidP="003622E9">
      <w:pPr>
        <w:spacing w:line="240" w:lineRule="auto"/>
        <w:contextualSpacing/>
        <w:rPr>
          <w:sz w:val="18"/>
          <w:szCs w:val="18"/>
          <w:lang w:val="lt-LT"/>
        </w:rPr>
      </w:pPr>
    </w:p>
    <w:p w:rsidR="00F717C5" w:rsidRPr="001D4FF3" w:rsidRDefault="00F717C5" w:rsidP="00F717C5">
      <w:pPr>
        <w:spacing w:line="240" w:lineRule="auto"/>
        <w:contextualSpacing/>
        <w:rPr>
          <w:sz w:val="18"/>
          <w:szCs w:val="18"/>
          <w:lang w:val="lt-LT"/>
        </w:rPr>
      </w:pPr>
    </w:p>
    <w:p w:rsidR="007F1249" w:rsidRPr="001D4FF3" w:rsidRDefault="007F1249" w:rsidP="00F717C5">
      <w:pPr>
        <w:spacing w:line="240" w:lineRule="auto"/>
        <w:contextualSpacing/>
        <w:rPr>
          <w:sz w:val="18"/>
          <w:szCs w:val="18"/>
          <w:lang w:val="lt-LT"/>
        </w:rPr>
      </w:pPr>
    </w:p>
    <w:p w:rsidR="00D259B1" w:rsidRPr="001D4FF3" w:rsidRDefault="00D259B1" w:rsidP="003622E9">
      <w:pPr>
        <w:spacing w:line="240" w:lineRule="auto"/>
        <w:contextualSpacing/>
        <w:rPr>
          <w:sz w:val="18"/>
          <w:szCs w:val="18"/>
          <w:lang w:val="lt-LT"/>
        </w:rPr>
      </w:pPr>
    </w:p>
    <w:p w:rsidR="007A6F64" w:rsidRPr="001D4FF3" w:rsidRDefault="007A6F64" w:rsidP="007A6F64">
      <w:pPr>
        <w:spacing w:line="240" w:lineRule="auto"/>
        <w:contextualSpacing/>
        <w:rPr>
          <w:sz w:val="18"/>
          <w:szCs w:val="18"/>
          <w:lang w:val="lt-LT"/>
        </w:rPr>
      </w:pPr>
    </w:p>
    <w:p w:rsidR="007A6F64" w:rsidRPr="001D4FF3" w:rsidRDefault="007A6F64" w:rsidP="007A6F64">
      <w:pPr>
        <w:spacing w:line="240" w:lineRule="auto"/>
        <w:contextualSpacing/>
        <w:rPr>
          <w:sz w:val="18"/>
          <w:szCs w:val="18"/>
          <w:lang w:val="lt-LT"/>
        </w:rPr>
      </w:pPr>
    </w:p>
    <w:p w:rsidR="007A6F64" w:rsidRPr="001D4FF3" w:rsidRDefault="007A6F64" w:rsidP="007A6F64">
      <w:pPr>
        <w:spacing w:line="240" w:lineRule="auto"/>
        <w:contextualSpacing/>
        <w:rPr>
          <w:sz w:val="18"/>
          <w:szCs w:val="18"/>
          <w:lang w:val="lt-LT"/>
        </w:rPr>
      </w:pPr>
    </w:p>
    <w:p w:rsidR="007A6F64" w:rsidRPr="001D4FF3" w:rsidRDefault="007A6F64" w:rsidP="007A6F64">
      <w:pPr>
        <w:spacing w:line="240" w:lineRule="auto"/>
        <w:contextualSpacing/>
        <w:rPr>
          <w:sz w:val="18"/>
          <w:szCs w:val="18"/>
          <w:lang w:val="lt-LT"/>
        </w:rPr>
      </w:pPr>
    </w:p>
    <w:p w:rsidR="0092273C" w:rsidRPr="001D4FF3" w:rsidRDefault="0092273C" w:rsidP="0092273C">
      <w:pPr>
        <w:spacing w:line="240" w:lineRule="auto"/>
        <w:contextualSpacing/>
        <w:rPr>
          <w:sz w:val="18"/>
          <w:szCs w:val="18"/>
          <w:lang w:val="lt-LT"/>
        </w:rPr>
      </w:pPr>
    </w:p>
    <w:p w:rsidR="0092273C" w:rsidRPr="001D4FF3" w:rsidRDefault="0092273C" w:rsidP="0092273C">
      <w:pPr>
        <w:spacing w:line="240" w:lineRule="auto"/>
        <w:contextualSpacing/>
        <w:rPr>
          <w:sz w:val="18"/>
          <w:szCs w:val="18"/>
          <w:lang w:val="lt-LT"/>
        </w:rPr>
      </w:pPr>
    </w:p>
    <w:p w:rsidR="0092273C" w:rsidRPr="001D4FF3" w:rsidRDefault="0092273C" w:rsidP="003622E9">
      <w:pPr>
        <w:spacing w:line="240" w:lineRule="auto"/>
        <w:contextualSpacing/>
        <w:rPr>
          <w:sz w:val="18"/>
          <w:szCs w:val="18"/>
          <w:lang w:val="lt-LT"/>
        </w:rPr>
      </w:pPr>
    </w:p>
    <w:p w:rsidR="0092273C" w:rsidRPr="001D4FF3" w:rsidRDefault="0092273C" w:rsidP="003622E9">
      <w:pPr>
        <w:spacing w:line="240" w:lineRule="auto"/>
        <w:contextualSpacing/>
        <w:rPr>
          <w:sz w:val="18"/>
          <w:szCs w:val="18"/>
          <w:lang w:val="lt-LT"/>
        </w:rPr>
      </w:pPr>
    </w:p>
    <w:p w:rsidR="0092273C" w:rsidRPr="001D4FF3" w:rsidRDefault="0092273C" w:rsidP="003622E9">
      <w:pPr>
        <w:spacing w:line="240" w:lineRule="auto"/>
        <w:contextualSpacing/>
        <w:rPr>
          <w:sz w:val="18"/>
          <w:szCs w:val="18"/>
          <w:lang w:val="lt-LT"/>
        </w:rPr>
      </w:pPr>
    </w:p>
    <w:p w:rsidR="0092273C" w:rsidRPr="001D4FF3" w:rsidRDefault="0092273C" w:rsidP="003622E9">
      <w:pPr>
        <w:spacing w:line="240" w:lineRule="auto"/>
        <w:contextualSpacing/>
        <w:rPr>
          <w:sz w:val="18"/>
          <w:szCs w:val="18"/>
          <w:lang w:val="lt-LT"/>
        </w:rPr>
      </w:pPr>
    </w:p>
    <w:sectPr w:rsidR="0092273C" w:rsidRPr="001D4FF3" w:rsidSect="009E302A">
      <w:pgSz w:w="15840" w:h="12240" w:orient="landscape"/>
      <w:pgMar w:top="426" w:right="42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07E46"/>
    <w:multiLevelType w:val="hybridMultilevel"/>
    <w:tmpl w:val="4066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DA7E47"/>
    <w:multiLevelType w:val="hybridMultilevel"/>
    <w:tmpl w:val="8992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8C4373"/>
    <w:multiLevelType w:val="hybridMultilevel"/>
    <w:tmpl w:val="A4B8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163206"/>
    <w:multiLevelType w:val="hybridMultilevel"/>
    <w:tmpl w:val="E488C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2E9"/>
    <w:rsid w:val="000955D9"/>
    <w:rsid w:val="000C20A2"/>
    <w:rsid w:val="001D4FF3"/>
    <w:rsid w:val="001F331A"/>
    <w:rsid w:val="002A1C71"/>
    <w:rsid w:val="00352DF8"/>
    <w:rsid w:val="003622E9"/>
    <w:rsid w:val="003742B9"/>
    <w:rsid w:val="004123CE"/>
    <w:rsid w:val="00481E37"/>
    <w:rsid w:val="007A6F64"/>
    <w:rsid w:val="007B74B8"/>
    <w:rsid w:val="007F1249"/>
    <w:rsid w:val="0088589A"/>
    <w:rsid w:val="0092273C"/>
    <w:rsid w:val="009C08A9"/>
    <w:rsid w:val="009E302A"/>
    <w:rsid w:val="00C149E9"/>
    <w:rsid w:val="00C16D55"/>
    <w:rsid w:val="00D259B1"/>
    <w:rsid w:val="00DF7242"/>
    <w:rsid w:val="00F71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2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2E9"/>
    <w:rPr>
      <w:rFonts w:ascii="Tahoma" w:hAnsi="Tahoma" w:cs="Tahoma"/>
      <w:sz w:val="16"/>
      <w:szCs w:val="16"/>
      <w:lang w:val="en-GB"/>
    </w:rPr>
  </w:style>
  <w:style w:type="paragraph" w:styleId="ListParagraph">
    <w:name w:val="List Paragraph"/>
    <w:basedOn w:val="Normal"/>
    <w:uiPriority w:val="34"/>
    <w:qFormat/>
    <w:rsid w:val="00F717C5"/>
    <w:pPr>
      <w:ind w:left="720"/>
      <w:contextualSpacing/>
    </w:pPr>
  </w:style>
  <w:style w:type="table" w:styleId="TableGrid">
    <w:name w:val="Table Grid"/>
    <w:basedOn w:val="TableNormal"/>
    <w:uiPriority w:val="59"/>
    <w:rsid w:val="00D25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2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2E9"/>
    <w:rPr>
      <w:rFonts w:ascii="Tahoma" w:hAnsi="Tahoma" w:cs="Tahoma"/>
      <w:sz w:val="16"/>
      <w:szCs w:val="16"/>
      <w:lang w:val="en-GB"/>
    </w:rPr>
  </w:style>
  <w:style w:type="paragraph" w:styleId="ListParagraph">
    <w:name w:val="List Paragraph"/>
    <w:basedOn w:val="Normal"/>
    <w:uiPriority w:val="34"/>
    <w:qFormat/>
    <w:rsid w:val="00F717C5"/>
    <w:pPr>
      <w:ind w:left="720"/>
      <w:contextualSpacing/>
    </w:pPr>
  </w:style>
  <w:style w:type="table" w:styleId="TableGrid">
    <w:name w:val="Table Grid"/>
    <w:basedOn w:val="TableNormal"/>
    <w:uiPriority w:val="59"/>
    <w:rsid w:val="00D25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Markovskytė</dc:creator>
  <cp:lastModifiedBy>Rūta Markovskytė</cp:lastModifiedBy>
  <cp:revision>5</cp:revision>
  <dcterms:created xsi:type="dcterms:W3CDTF">2017-09-29T11:12:00Z</dcterms:created>
  <dcterms:modified xsi:type="dcterms:W3CDTF">2019-09-19T10:29:00Z</dcterms:modified>
</cp:coreProperties>
</file>