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148"/>
      </w:tblGrid>
      <w:tr w:rsidR="00B94BB8" w:rsidRPr="00467CA6" w14:paraId="697097CD" w14:textId="77777777" w:rsidTr="00F83946">
        <w:tc>
          <w:tcPr>
            <w:tcW w:w="5490" w:type="dxa"/>
          </w:tcPr>
          <w:p w14:paraId="72429EBA" w14:textId="77777777" w:rsidR="00B94BB8" w:rsidRPr="00467CA6" w:rsidRDefault="00B94BB8" w:rsidP="00D44B81">
            <w:pPr>
              <w:spacing w:line="360" w:lineRule="auto"/>
              <w:rPr>
                <w:rFonts w:ascii="Tahoma" w:eastAsia="Times New Roman" w:hAnsi="Tahoma" w:cs="Tahoma"/>
                <w:b/>
                <w:caps/>
                <w:sz w:val="20"/>
                <w:szCs w:val="20"/>
              </w:rPr>
            </w:pPr>
            <w:r w:rsidRPr="00467CA6">
              <w:rPr>
                <w:rFonts w:ascii="Tahoma" w:eastAsia="Times New Roman" w:hAnsi="Tahoma" w:cs="Tahoma"/>
                <w:b/>
                <w:caps/>
                <w:sz w:val="20"/>
                <w:szCs w:val="20"/>
                <w:lang w:val="en-US"/>
              </w:rPr>
              <w:t>AB Vilniaus šilumos tinklai</w:t>
            </w:r>
          </w:p>
          <w:p w14:paraId="00D0306C" w14:textId="77777777" w:rsidR="00B94BB8" w:rsidRPr="00467CA6" w:rsidRDefault="00B94BB8" w:rsidP="00D44B81">
            <w:pPr>
              <w:spacing w:line="360" w:lineRule="auto"/>
              <w:rPr>
                <w:rFonts w:ascii="Tahoma" w:eastAsia="Times New Roman" w:hAnsi="Tahoma" w:cs="Tahoma"/>
                <w:sz w:val="20"/>
                <w:szCs w:val="20"/>
                <w:lang w:val="en-US"/>
              </w:rPr>
            </w:pPr>
          </w:p>
        </w:tc>
        <w:tc>
          <w:tcPr>
            <w:tcW w:w="4148" w:type="dxa"/>
          </w:tcPr>
          <w:p w14:paraId="4DDE539C" w14:textId="77777777" w:rsidR="00B94BB8" w:rsidRPr="00467CA6" w:rsidRDefault="00B94BB8" w:rsidP="00D44B81">
            <w:pPr>
              <w:spacing w:line="360" w:lineRule="auto"/>
              <w:jc w:val="right"/>
              <w:rPr>
                <w:rFonts w:ascii="Tahoma" w:hAnsi="Tahoma" w:cs="Tahoma"/>
                <w:sz w:val="20"/>
                <w:szCs w:val="20"/>
              </w:rPr>
            </w:pPr>
          </w:p>
          <w:p w14:paraId="132AE05A" w14:textId="005DD005" w:rsidR="007907C5" w:rsidRDefault="007907C5" w:rsidP="00D44B81">
            <w:pPr>
              <w:spacing w:line="360" w:lineRule="auto"/>
              <w:jc w:val="right"/>
              <w:rPr>
                <w:rFonts w:ascii="Tahoma" w:hAnsi="Tahoma" w:cs="Tahoma"/>
                <w:sz w:val="20"/>
                <w:szCs w:val="20"/>
              </w:rPr>
            </w:pPr>
            <w:r>
              <w:rPr>
                <w:rFonts w:ascii="Tahoma" w:hAnsi="Tahoma" w:cs="Tahoma"/>
                <w:sz w:val="20"/>
                <w:szCs w:val="20"/>
              </w:rPr>
              <w:t>2023-</w:t>
            </w:r>
            <w:r w:rsidR="00D456E6">
              <w:rPr>
                <w:rFonts w:ascii="Tahoma" w:hAnsi="Tahoma" w:cs="Tahoma"/>
                <w:sz w:val="20"/>
                <w:szCs w:val="20"/>
              </w:rPr>
              <w:t>03</w:t>
            </w:r>
            <w:r>
              <w:rPr>
                <w:rFonts w:ascii="Tahoma" w:hAnsi="Tahoma" w:cs="Tahoma"/>
                <w:sz w:val="20"/>
                <w:szCs w:val="20"/>
              </w:rPr>
              <w:t>-</w:t>
            </w:r>
            <w:r w:rsidR="00D456E6">
              <w:rPr>
                <w:rFonts w:ascii="Tahoma" w:hAnsi="Tahoma" w:cs="Tahoma"/>
                <w:sz w:val="20"/>
                <w:szCs w:val="20"/>
              </w:rPr>
              <w:t>27</w:t>
            </w:r>
            <w:r>
              <w:rPr>
                <w:rFonts w:ascii="Tahoma" w:hAnsi="Tahoma" w:cs="Tahoma"/>
                <w:sz w:val="20"/>
                <w:szCs w:val="20"/>
              </w:rPr>
              <w:t xml:space="preserve"> Nr. </w:t>
            </w:r>
          </w:p>
          <w:p w14:paraId="0B8ADDEE" w14:textId="445EED1D" w:rsidR="00B94BB8" w:rsidRPr="00467CA6" w:rsidRDefault="00B94BB8" w:rsidP="004F2AF2">
            <w:pPr>
              <w:spacing w:line="360" w:lineRule="auto"/>
              <w:jc w:val="right"/>
              <w:rPr>
                <w:rFonts w:ascii="Tahoma" w:hAnsi="Tahoma" w:cs="Tahoma"/>
                <w:sz w:val="20"/>
                <w:szCs w:val="20"/>
              </w:rPr>
            </w:pPr>
          </w:p>
        </w:tc>
      </w:tr>
    </w:tbl>
    <w:p w14:paraId="5C70A440" w14:textId="77777777" w:rsidR="004F2AF2" w:rsidRDefault="004F2AF2" w:rsidP="00D44B81">
      <w:pPr>
        <w:spacing w:after="0" w:line="360" w:lineRule="auto"/>
        <w:rPr>
          <w:rFonts w:ascii="Tahoma" w:hAnsi="Tahoma" w:cs="Tahoma"/>
          <w:b/>
          <w:bCs/>
          <w:sz w:val="20"/>
          <w:szCs w:val="20"/>
        </w:rPr>
      </w:pPr>
    </w:p>
    <w:p w14:paraId="644DA950" w14:textId="77777777" w:rsidR="004F2AF2" w:rsidRDefault="004F2AF2" w:rsidP="00D44B81">
      <w:pPr>
        <w:spacing w:after="0" w:line="360" w:lineRule="auto"/>
        <w:rPr>
          <w:rFonts w:ascii="Tahoma" w:hAnsi="Tahoma" w:cs="Tahoma"/>
          <w:b/>
          <w:bCs/>
          <w:sz w:val="20"/>
          <w:szCs w:val="20"/>
        </w:rPr>
      </w:pPr>
    </w:p>
    <w:p w14:paraId="7DAB2E49" w14:textId="28BDBA27" w:rsidR="00B94BB8" w:rsidRPr="00B94BB8" w:rsidRDefault="00B94BB8" w:rsidP="00D44B81">
      <w:pPr>
        <w:spacing w:after="0" w:line="360" w:lineRule="auto"/>
        <w:rPr>
          <w:rFonts w:ascii="Tahoma" w:hAnsi="Tahoma" w:cs="Tahoma"/>
          <w:b/>
          <w:bCs/>
          <w:sz w:val="20"/>
          <w:szCs w:val="20"/>
        </w:rPr>
      </w:pPr>
      <w:r w:rsidRPr="00B94BB8">
        <w:rPr>
          <w:rFonts w:ascii="Tahoma" w:hAnsi="Tahoma" w:cs="Tahoma"/>
          <w:b/>
          <w:bCs/>
          <w:sz w:val="20"/>
          <w:szCs w:val="20"/>
        </w:rPr>
        <w:t xml:space="preserve">DĖL VIEŠOJO PIRKIMO SUTARTIES </w:t>
      </w:r>
      <w:r w:rsidR="004F2AF2">
        <w:rPr>
          <w:rFonts w:ascii="Tahoma" w:hAnsi="Tahoma" w:cs="Tahoma"/>
          <w:b/>
          <w:bCs/>
          <w:sz w:val="20"/>
          <w:szCs w:val="20"/>
        </w:rPr>
        <w:t>KAINOS PERŽIŪRĖJIMO</w:t>
      </w:r>
    </w:p>
    <w:p w14:paraId="5B6B2079" w14:textId="126555FB" w:rsidR="00B94BB8" w:rsidRDefault="00B94BB8" w:rsidP="00D44B81">
      <w:pPr>
        <w:tabs>
          <w:tab w:val="left" w:pos="1260"/>
        </w:tabs>
        <w:spacing w:after="0" w:line="360" w:lineRule="auto"/>
        <w:ind w:firstLine="432"/>
        <w:contextualSpacing/>
        <w:jc w:val="both"/>
        <w:rPr>
          <w:rFonts w:ascii="Tahoma" w:eastAsia="Times New Roman" w:hAnsi="Tahoma" w:cs="Tahoma"/>
          <w:sz w:val="20"/>
          <w:szCs w:val="20"/>
        </w:rPr>
      </w:pPr>
    </w:p>
    <w:p w14:paraId="54A03195" w14:textId="209B1233" w:rsidR="004F2AF2" w:rsidRDefault="004F2AF2" w:rsidP="00D44B81">
      <w:pPr>
        <w:tabs>
          <w:tab w:val="left" w:pos="1260"/>
        </w:tabs>
        <w:spacing w:after="0" w:line="360" w:lineRule="auto"/>
        <w:ind w:firstLine="432"/>
        <w:contextualSpacing/>
        <w:jc w:val="both"/>
        <w:rPr>
          <w:rFonts w:ascii="Tahoma" w:eastAsia="Times New Roman" w:hAnsi="Tahoma" w:cs="Tahoma"/>
          <w:sz w:val="20"/>
          <w:szCs w:val="20"/>
        </w:rPr>
      </w:pPr>
    </w:p>
    <w:p w14:paraId="7815E5AC" w14:textId="77777777" w:rsidR="004F2AF2" w:rsidRPr="00B94BB8" w:rsidRDefault="004F2AF2" w:rsidP="00D44B81">
      <w:pPr>
        <w:tabs>
          <w:tab w:val="left" w:pos="1260"/>
        </w:tabs>
        <w:spacing w:after="0" w:line="360" w:lineRule="auto"/>
        <w:ind w:firstLine="432"/>
        <w:contextualSpacing/>
        <w:jc w:val="both"/>
        <w:rPr>
          <w:rFonts w:ascii="Tahoma" w:eastAsia="Times New Roman" w:hAnsi="Tahoma" w:cs="Tahoma"/>
          <w:sz w:val="20"/>
          <w:szCs w:val="20"/>
        </w:rPr>
      </w:pPr>
    </w:p>
    <w:p w14:paraId="1B68E15E" w14:textId="27E90F33" w:rsidR="00FF1577" w:rsidRPr="000F4509" w:rsidRDefault="00FF1577" w:rsidP="000F4509">
      <w:pPr>
        <w:spacing w:after="0" w:line="360" w:lineRule="auto"/>
        <w:ind w:firstLine="709"/>
        <w:jc w:val="both"/>
        <w:rPr>
          <w:rFonts w:ascii="Tahoma" w:hAnsi="Tahoma" w:cs="Tahoma"/>
          <w:sz w:val="20"/>
          <w:szCs w:val="20"/>
        </w:rPr>
      </w:pPr>
      <w:r w:rsidRPr="000F4509">
        <w:rPr>
          <w:rFonts w:ascii="Tahoma" w:hAnsi="Tahoma" w:cs="Tahoma"/>
          <w:sz w:val="20"/>
          <w:szCs w:val="20"/>
        </w:rPr>
        <w:t xml:space="preserve">2022 m. balandžio 20 d. tarp UAB „JANDAS“ (toliau – Teikėjas) ir AB „Vilniaus šilumos tinklai“ (toliau – Užsakovas) buvo pasirašyta viešojo pirkimo – pardavimo sutartis Nr. </w:t>
      </w:r>
      <w:r w:rsidR="004F2AF2" w:rsidRPr="004F2AF2">
        <w:rPr>
          <w:rFonts w:ascii="Tahoma" w:hAnsi="Tahoma" w:cs="Tahoma"/>
          <w:sz w:val="20"/>
          <w:szCs w:val="20"/>
        </w:rPr>
        <w:t>SUT-1329</w:t>
      </w:r>
      <w:r w:rsidR="004F2AF2">
        <w:rPr>
          <w:rFonts w:ascii="Tahoma" w:hAnsi="Tahoma" w:cs="Tahoma"/>
          <w:sz w:val="20"/>
          <w:szCs w:val="20"/>
        </w:rPr>
        <w:t xml:space="preserve"> (</w:t>
      </w:r>
      <w:r w:rsidR="004F2AF2" w:rsidRPr="004F2AF2">
        <w:rPr>
          <w:rFonts w:ascii="Tahoma" w:hAnsi="Tahoma" w:cs="Tahoma"/>
          <w:sz w:val="20"/>
          <w:szCs w:val="20"/>
        </w:rPr>
        <w:t>CPO204280</w:t>
      </w:r>
      <w:r w:rsidR="004F2AF2">
        <w:rPr>
          <w:rFonts w:ascii="Tahoma" w:hAnsi="Tahoma" w:cs="Tahoma"/>
          <w:sz w:val="20"/>
          <w:szCs w:val="20"/>
        </w:rPr>
        <w:t>)</w:t>
      </w:r>
      <w:r w:rsidRPr="000F4509">
        <w:rPr>
          <w:rFonts w:ascii="Tahoma" w:hAnsi="Tahoma" w:cs="Tahoma"/>
          <w:sz w:val="20"/>
          <w:szCs w:val="20"/>
        </w:rPr>
        <w:t xml:space="preserve"> (toliau – Pirkimo sutartis) , kurios objektas yra Šilumos tiekimo tinklų nuo Vileišio g. 5 iki ŠK01215 (Vileišio g. – Būgos g. – Olandų žiedas) Vilniuje rekonstravimo projekto parengimas (Pirkimo sutarties 2 p.).</w:t>
      </w:r>
    </w:p>
    <w:p w14:paraId="219AA413" w14:textId="77777777" w:rsidR="00FF1577" w:rsidRPr="000F4509" w:rsidRDefault="00FF1577" w:rsidP="000F4509">
      <w:pPr>
        <w:spacing w:after="0" w:line="360" w:lineRule="auto"/>
        <w:ind w:firstLine="709"/>
        <w:jc w:val="both"/>
        <w:rPr>
          <w:rFonts w:ascii="Tahoma" w:hAnsi="Tahoma" w:cs="Tahoma"/>
          <w:sz w:val="20"/>
          <w:szCs w:val="20"/>
        </w:rPr>
      </w:pPr>
      <w:r w:rsidRPr="000F4509">
        <w:rPr>
          <w:rFonts w:ascii="Tahoma" w:hAnsi="Tahoma" w:cs="Tahoma"/>
          <w:sz w:val="20"/>
          <w:szCs w:val="20"/>
        </w:rPr>
        <w:t>Pirkimo sutarties 11 p. įtvirtinta, jog Pirkimo sutarties vykdymo laikotarpiu (jei Pirkimo sutarties galiojimas kartu su pratęsimu yra ilgesnis nei vieneri metai), vieną kartą metuose kovo mėnesį, Pirkimo sutarties kaina peržiūrima (didinama ar mažinama) šiais atvejais ir tokia tvarka: 11.1. Pirkimo sutarties kaina / mėnesio įkainis perskaičiuojama ne vėliau kaip kiekvienų metų kovo 31 d., taikant Statistikos departamento prie Lietuvos Respublikos Vyriausybės paskelbtus architektūros ir inžinerijos veiklos, techninio tikrinimo ir analizės sąnaudų kainų indeksus, jeigu nuo Pirkimo sutarties įsigaliojimo dienos arba nuo Pirkimo sutarties kainos / mėnesio įkainio paskutinės peržiūros, architektūros ir inžinerijos veiklos, techninio tikrinimo ir analizės sąnaudų kainų pokytis yra didesnis kaip 5 procentai.</w:t>
      </w:r>
    </w:p>
    <w:p w14:paraId="3DD5F628" w14:textId="77777777" w:rsidR="0029570E" w:rsidRPr="000F4509" w:rsidRDefault="0029570E" w:rsidP="0029570E">
      <w:pPr>
        <w:spacing w:after="0" w:line="360" w:lineRule="auto"/>
        <w:ind w:firstLine="709"/>
        <w:jc w:val="both"/>
        <w:rPr>
          <w:rFonts w:ascii="Tahoma" w:hAnsi="Tahoma" w:cs="Tahoma"/>
          <w:sz w:val="20"/>
          <w:szCs w:val="20"/>
        </w:rPr>
      </w:pPr>
      <w:r w:rsidRPr="000F4509">
        <w:rPr>
          <w:rFonts w:ascii="Tahoma" w:hAnsi="Tahoma" w:cs="Tahoma"/>
          <w:sz w:val="20"/>
          <w:szCs w:val="20"/>
        </w:rPr>
        <w:t xml:space="preserve">Valstybės duomenų agentūros duomenimis, Pirkimo sutarties kainos pokytis nuo viešojo pirkimo įvykdymo ir pirkimo sutarties sudarymo yra 11,7 proc. (pridedamas Valstybės duomenų agentūros el. laiškas). Šis kainų indeksas, t.y. ūkio subjektams suteiktų inžinerijos veiklos ir su ja susijusių techninių konsultacijų, yra </w:t>
      </w:r>
      <w:r>
        <w:rPr>
          <w:rFonts w:ascii="Tahoma" w:hAnsi="Tahoma" w:cs="Tahoma"/>
          <w:sz w:val="20"/>
          <w:szCs w:val="20"/>
        </w:rPr>
        <w:t>skaičiuojamas k</w:t>
      </w:r>
      <w:r w:rsidRPr="000F4509">
        <w:rPr>
          <w:rFonts w:ascii="Tahoma" w:hAnsi="Tahoma" w:cs="Tahoma"/>
          <w:sz w:val="20"/>
          <w:szCs w:val="20"/>
        </w:rPr>
        <w:t>as ketvirtį. Remiantis šiais duomenis yra teisinis ir faktinis pagrindas peržiūrėti Pirkimo sutarties kainą. Todėl prašome peržiūrėti Pirkimo kainą pagal Pirkimo sutartyje nurodytą tvarką (Pirkimo sutarties 11.1- 11.5 p.).</w:t>
      </w:r>
    </w:p>
    <w:p w14:paraId="2904EF88" w14:textId="77777777" w:rsidR="00FF1577" w:rsidRPr="000F4509" w:rsidRDefault="00FF1577" w:rsidP="000F4509">
      <w:pPr>
        <w:spacing w:after="0" w:line="360" w:lineRule="auto"/>
        <w:ind w:firstLine="709"/>
        <w:jc w:val="both"/>
        <w:rPr>
          <w:rFonts w:ascii="Tahoma" w:hAnsi="Tahoma" w:cs="Tahoma"/>
          <w:sz w:val="20"/>
          <w:szCs w:val="20"/>
        </w:rPr>
      </w:pPr>
      <w:r w:rsidRPr="000F4509">
        <w:rPr>
          <w:rFonts w:ascii="Tahoma" w:hAnsi="Tahoma" w:cs="Tahoma"/>
          <w:sz w:val="20"/>
          <w:szCs w:val="20"/>
        </w:rPr>
        <w:t>Pirkimo sutarties 11.5. p. nurodyta, kad jei kiekvienu perskaičiavimo atveju aktas ir papildomas susitarimas dėl ne nuo Užsakovo priklausančių priežasčių nėra pasirašomas iki kovo 31 dienos, Užsakovas turi teisę už paslaugas, atliktas po einamųjų metų kovo mėnesio atsiskaityti su Tiekėju vadovaujantis iki to momento galiojusiomis Paslaugų kainomis / mėnesio įkainiu. Todėl prašome mūsų prašymą įvertinti ir papildomą susitarimą sudaryti iki šių metų kovo 31 dienos.</w:t>
      </w:r>
    </w:p>
    <w:p w14:paraId="602BEF45" w14:textId="7B2064FA" w:rsid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Pateikiame statistinę informaciją</w:t>
      </w:r>
      <w:r>
        <w:rPr>
          <w:rFonts w:ascii="Tahoma" w:hAnsi="Tahoma" w:cs="Tahoma"/>
          <w:sz w:val="20"/>
          <w:szCs w:val="20"/>
        </w:rPr>
        <w:t xml:space="preserve"> gautą iš </w:t>
      </w:r>
      <w:r w:rsidRPr="000F4509">
        <w:rPr>
          <w:rFonts w:ascii="Tahoma" w:hAnsi="Tahoma" w:cs="Tahoma"/>
          <w:sz w:val="20"/>
          <w:szCs w:val="20"/>
        </w:rPr>
        <w:t>Valstybės duomenų agentūros apie ūkio subjektams suteiktų inžinerijos veiklos ir su ja susijusių techninių konsultacijų kainų pokytį</w:t>
      </w:r>
      <w:r w:rsidR="004F2AF2">
        <w:rPr>
          <w:rFonts w:ascii="Tahoma" w:hAnsi="Tahoma" w:cs="Tahoma"/>
          <w:sz w:val="20"/>
          <w:szCs w:val="20"/>
        </w:rPr>
        <w:t>:</w:t>
      </w:r>
    </w:p>
    <w:p w14:paraId="24CED18B" w14:textId="77777777" w:rsidR="004F2AF2" w:rsidRPr="000F4509" w:rsidRDefault="004F2AF2" w:rsidP="000F4509">
      <w:pPr>
        <w:spacing w:after="0" w:line="360" w:lineRule="auto"/>
        <w:ind w:firstLine="709"/>
        <w:jc w:val="both"/>
        <w:rPr>
          <w:rFonts w:ascii="Tahoma" w:hAnsi="Tahoma" w:cs="Tahoma"/>
          <w:sz w:val="20"/>
          <w:szCs w:val="20"/>
        </w:rPr>
      </w:pPr>
    </w:p>
    <w:tbl>
      <w:tblPr>
        <w:tblW w:w="8217" w:type="dxa"/>
        <w:tblInd w:w="622" w:type="dxa"/>
        <w:tblCellMar>
          <w:left w:w="0" w:type="dxa"/>
          <w:right w:w="0" w:type="dxa"/>
        </w:tblCellMar>
        <w:tblLook w:val="04A0" w:firstRow="1" w:lastRow="0" w:firstColumn="1" w:lastColumn="0" w:noHBand="0" w:noVBand="1"/>
      </w:tblPr>
      <w:tblGrid>
        <w:gridCol w:w="3681"/>
        <w:gridCol w:w="4536"/>
      </w:tblGrid>
      <w:tr w:rsidR="000F4509" w:rsidRPr="000F4509" w14:paraId="546C305E" w14:textId="77777777" w:rsidTr="000F4509">
        <w:trPr>
          <w:trHeight w:val="397"/>
        </w:trPr>
        <w:tc>
          <w:tcPr>
            <w:tcW w:w="368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10870A47"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lastRenderedPageBreak/>
              <w:t>Paslaugos pavadinimas pagal Ekonominės veiklos rūšių klasifikatorių (EVRK red. 2)</w:t>
            </w:r>
          </w:p>
        </w:tc>
        <w:tc>
          <w:tcPr>
            <w:tcW w:w="4536" w:type="dxa"/>
            <w:tcBorders>
              <w:top w:val="single" w:sz="8" w:space="0" w:color="auto"/>
              <w:left w:val="nil"/>
              <w:bottom w:val="nil"/>
              <w:right w:val="single" w:sz="8" w:space="0" w:color="auto"/>
            </w:tcBorders>
            <w:tcMar>
              <w:top w:w="0" w:type="dxa"/>
              <w:left w:w="108" w:type="dxa"/>
              <w:bottom w:w="0" w:type="dxa"/>
              <w:right w:w="108" w:type="dxa"/>
            </w:tcMar>
            <w:vAlign w:val="center"/>
          </w:tcPr>
          <w:p w14:paraId="27A201F6"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Kainų pasikeitimas 2022 m. IV ketvirtį, palyginti su 2022 m. I ketvirčiu, proc.</w:t>
            </w:r>
          </w:p>
          <w:p w14:paraId="0D320EBD" w14:textId="77777777" w:rsidR="000F4509" w:rsidRPr="000F4509" w:rsidRDefault="000F4509" w:rsidP="000F4509">
            <w:pPr>
              <w:spacing w:after="0" w:line="360" w:lineRule="auto"/>
              <w:ind w:firstLine="709"/>
              <w:jc w:val="both"/>
              <w:rPr>
                <w:rFonts w:ascii="Tahoma" w:hAnsi="Tahoma" w:cs="Tahoma"/>
                <w:sz w:val="20"/>
                <w:szCs w:val="20"/>
              </w:rPr>
            </w:pPr>
          </w:p>
        </w:tc>
      </w:tr>
      <w:tr w:rsidR="000F4509" w:rsidRPr="000F4509" w14:paraId="419AB708" w14:textId="77777777" w:rsidTr="000F4509">
        <w:trPr>
          <w:trHeight w:val="761"/>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85978"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 xml:space="preserve">Inžinerijos veikla ir su ja susijusios techninės konsultacijos </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D29D5" w14:textId="77777777" w:rsidR="000F4509" w:rsidRPr="000F4509" w:rsidRDefault="000F4509" w:rsidP="000F4509">
            <w:pPr>
              <w:spacing w:after="0" w:line="360" w:lineRule="auto"/>
              <w:ind w:firstLine="709"/>
              <w:jc w:val="both"/>
              <w:rPr>
                <w:rFonts w:ascii="Tahoma" w:hAnsi="Tahoma" w:cs="Tahoma"/>
                <w:sz w:val="20"/>
                <w:szCs w:val="20"/>
              </w:rPr>
            </w:pPr>
            <w:r w:rsidRPr="000F4509">
              <w:rPr>
                <w:rFonts w:ascii="Tahoma" w:hAnsi="Tahoma" w:cs="Tahoma"/>
                <w:sz w:val="20"/>
                <w:szCs w:val="20"/>
              </w:rPr>
              <w:t>11,7</w:t>
            </w:r>
          </w:p>
        </w:tc>
      </w:tr>
    </w:tbl>
    <w:p w14:paraId="676C820C" w14:textId="6202B768" w:rsidR="000F4509" w:rsidRDefault="000F4509" w:rsidP="000F4509">
      <w:pPr>
        <w:spacing w:after="0" w:line="360" w:lineRule="auto"/>
        <w:ind w:firstLine="709"/>
        <w:jc w:val="both"/>
        <w:rPr>
          <w:rFonts w:ascii="Tahoma" w:hAnsi="Tahoma" w:cs="Tahoma"/>
          <w:sz w:val="20"/>
          <w:szCs w:val="20"/>
        </w:rPr>
      </w:pPr>
    </w:p>
    <w:p w14:paraId="1D42F629" w14:textId="280D4C4A" w:rsidR="004F2AF2" w:rsidRDefault="004F2AF2" w:rsidP="000F4509">
      <w:pPr>
        <w:spacing w:after="0" w:line="360" w:lineRule="auto"/>
        <w:ind w:firstLine="709"/>
        <w:jc w:val="both"/>
        <w:rPr>
          <w:rFonts w:ascii="Tahoma" w:hAnsi="Tahoma" w:cs="Tahoma"/>
          <w:b/>
          <w:bCs/>
          <w:sz w:val="20"/>
          <w:szCs w:val="20"/>
        </w:rPr>
      </w:pPr>
      <w:r w:rsidRPr="004F2AF2">
        <w:rPr>
          <w:rFonts w:ascii="Tahoma" w:hAnsi="Tahoma" w:cs="Tahoma"/>
          <w:b/>
          <w:bCs/>
          <w:sz w:val="20"/>
          <w:szCs w:val="20"/>
        </w:rPr>
        <w:t>Pridedama:</w:t>
      </w:r>
    </w:p>
    <w:p w14:paraId="21346B88" w14:textId="119B2EE1" w:rsidR="004F2AF2" w:rsidRPr="004F2AF2" w:rsidRDefault="004F2AF2" w:rsidP="004F2AF2">
      <w:pPr>
        <w:pStyle w:val="ListParagraph"/>
        <w:numPr>
          <w:ilvl w:val="0"/>
          <w:numId w:val="12"/>
        </w:numPr>
        <w:spacing w:after="0" w:line="360" w:lineRule="auto"/>
        <w:jc w:val="both"/>
        <w:rPr>
          <w:rFonts w:ascii="Tahoma" w:hAnsi="Tahoma" w:cs="Tahoma"/>
          <w:b/>
          <w:bCs/>
          <w:sz w:val="20"/>
          <w:szCs w:val="20"/>
        </w:rPr>
      </w:pPr>
      <w:r w:rsidRPr="004F2AF2">
        <w:rPr>
          <w:rFonts w:ascii="Tahoma" w:hAnsi="Tahoma" w:cs="Tahoma"/>
          <w:sz w:val="20"/>
          <w:szCs w:val="20"/>
        </w:rPr>
        <w:t>Valstybės duomenų agentūros</w:t>
      </w:r>
      <w:r>
        <w:rPr>
          <w:rFonts w:ascii="Tahoma" w:hAnsi="Tahoma" w:cs="Tahoma"/>
          <w:sz w:val="20"/>
          <w:szCs w:val="20"/>
        </w:rPr>
        <w:t xml:space="preserve"> atsakymas (el. laiškas) – 4 lapai.</w:t>
      </w:r>
    </w:p>
    <w:p w14:paraId="73E3C056" w14:textId="5C0D0802" w:rsidR="00B94BB8" w:rsidRDefault="00B94BB8" w:rsidP="00D44B81">
      <w:pPr>
        <w:spacing w:after="0" w:line="360" w:lineRule="auto"/>
        <w:rPr>
          <w:rFonts w:ascii="Tahoma"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44B81" w:rsidRPr="00467CA6" w14:paraId="007C1C7D" w14:textId="77777777" w:rsidTr="00F83946">
        <w:tc>
          <w:tcPr>
            <w:tcW w:w="4927" w:type="dxa"/>
          </w:tcPr>
          <w:p w14:paraId="17DFC748" w14:textId="77777777" w:rsidR="00D44B81" w:rsidRDefault="00D44B81" w:rsidP="00F83946">
            <w:pPr>
              <w:spacing w:line="360" w:lineRule="auto"/>
              <w:jc w:val="both"/>
              <w:rPr>
                <w:rFonts w:ascii="Tahoma" w:hAnsi="Tahoma" w:cs="Tahoma"/>
                <w:sz w:val="20"/>
                <w:szCs w:val="20"/>
              </w:rPr>
            </w:pPr>
            <w:r w:rsidRPr="00467CA6">
              <w:rPr>
                <w:rFonts w:ascii="Tahoma" w:hAnsi="Tahoma" w:cs="Tahoma"/>
                <w:sz w:val="20"/>
                <w:szCs w:val="20"/>
              </w:rPr>
              <w:t>Direktorius</w:t>
            </w:r>
          </w:p>
          <w:p w14:paraId="4B2765E8" w14:textId="096236DF" w:rsidR="004F2AF2" w:rsidRPr="00467CA6" w:rsidRDefault="004F2AF2" w:rsidP="00F83946">
            <w:pPr>
              <w:spacing w:line="360" w:lineRule="auto"/>
              <w:jc w:val="both"/>
              <w:rPr>
                <w:rFonts w:ascii="Tahoma" w:hAnsi="Tahoma" w:cs="Tahoma"/>
                <w:sz w:val="20"/>
                <w:szCs w:val="20"/>
              </w:rPr>
            </w:pPr>
          </w:p>
        </w:tc>
        <w:tc>
          <w:tcPr>
            <w:tcW w:w="4927" w:type="dxa"/>
          </w:tcPr>
          <w:p w14:paraId="417D56EA" w14:textId="406FA638" w:rsidR="00D44B81" w:rsidRPr="00467CA6" w:rsidRDefault="00D44B81" w:rsidP="00F83946">
            <w:pPr>
              <w:spacing w:line="360" w:lineRule="auto"/>
              <w:jc w:val="right"/>
              <w:rPr>
                <w:rFonts w:ascii="Tahoma" w:hAnsi="Tahoma" w:cs="Tahoma"/>
                <w:sz w:val="20"/>
                <w:szCs w:val="20"/>
              </w:rPr>
            </w:pPr>
          </w:p>
        </w:tc>
      </w:tr>
    </w:tbl>
    <w:p w14:paraId="345D93D8" w14:textId="77777777" w:rsidR="00D44B81" w:rsidRPr="00467CA6" w:rsidRDefault="00D44B81" w:rsidP="00D44B81">
      <w:pPr>
        <w:spacing w:after="0" w:line="360" w:lineRule="auto"/>
        <w:rPr>
          <w:rFonts w:ascii="Tahoma" w:hAnsi="Tahoma" w:cs="Tahoma"/>
          <w:sz w:val="20"/>
          <w:szCs w:val="20"/>
        </w:rPr>
      </w:pPr>
      <w:r w:rsidRPr="00467CA6">
        <w:rPr>
          <w:rFonts w:ascii="Tahoma" w:hAnsi="Tahoma" w:cs="Tahoma"/>
          <w:sz w:val="20"/>
          <w:szCs w:val="20"/>
        </w:rPr>
        <w:t>Originalas siunčiamas nebus.</w:t>
      </w:r>
    </w:p>
    <w:p w14:paraId="11EBA7BA" w14:textId="3C939459" w:rsidR="007907C5" w:rsidRDefault="007907C5" w:rsidP="00914B56">
      <w:pPr>
        <w:jc w:val="right"/>
        <w:rPr>
          <w:rFonts w:ascii="Tahoma" w:hAnsi="Tahoma" w:cs="Tahoma"/>
          <w:i/>
          <w:iCs/>
          <w:sz w:val="20"/>
          <w:szCs w:val="20"/>
        </w:rPr>
      </w:pPr>
    </w:p>
    <w:p w14:paraId="240BE2BD" w14:textId="77777777" w:rsidR="007907C5" w:rsidRDefault="007907C5" w:rsidP="00914B56">
      <w:pPr>
        <w:jc w:val="right"/>
        <w:rPr>
          <w:rFonts w:ascii="Tahoma" w:hAnsi="Tahoma" w:cs="Tahoma"/>
          <w:i/>
          <w:iCs/>
          <w:sz w:val="20"/>
          <w:szCs w:val="20"/>
        </w:rPr>
      </w:pPr>
    </w:p>
    <w:p w14:paraId="464CF3DD" w14:textId="77777777" w:rsidR="007907C5" w:rsidRDefault="007907C5" w:rsidP="00914B56">
      <w:pPr>
        <w:jc w:val="right"/>
        <w:rPr>
          <w:rFonts w:ascii="Tahoma" w:hAnsi="Tahoma" w:cs="Tahoma"/>
          <w:i/>
          <w:iCs/>
          <w:sz w:val="20"/>
          <w:szCs w:val="20"/>
        </w:rPr>
      </w:pPr>
    </w:p>
    <w:p w14:paraId="1AC892EC" w14:textId="77777777" w:rsidR="007907C5" w:rsidRDefault="007907C5" w:rsidP="00914B56">
      <w:pPr>
        <w:jc w:val="right"/>
        <w:rPr>
          <w:rFonts w:ascii="Tahoma" w:hAnsi="Tahoma" w:cs="Tahoma"/>
          <w:i/>
          <w:iCs/>
          <w:sz w:val="20"/>
          <w:szCs w:val="20"/>
        </w:rPr>
      </w:pPr>
    </w:p>
    <w:p w14:paraId="29F65A07" w14:textId="77777777" w:rsidR="007907C5" w:rsidRDefault="007907C5" w:rsidP="00914B56">
      <w:pPr>
        <w:jc w:val="right"/>
        <w:rPr>
          <w:rFonts w:ascii="Tahoma" w:hAnsi="Tahoma" w:cs="Tahoma"/>
          <w:i/>
          <w:iCs/>
          <w:sz w:val="20"/>
          <w:szCs w:val="20"/>
        </w:rPr>
      </w:pPr>
    </w:p>
    <w:p w14:paraId="77504319" w14:textId="77777777" w:rsidR="007907C5" w:rsidRDefault="007907C5" w:rsidP="00914B56">
      <w:pPr>
        <w:jc w:val="right"/>
        <w:rPr>
          <w:rFonts w:ascii="Tahoma" w:hAnsi="Tahoma" w:cs="Tahoma"/>
          <w:i/>
          <w:iCs/>
          <w:sz w:val="20"/>
          <w:szCs w:val="20"/>
        </w:rPr>
      </w:pPr>
    </w:p>
    <w:p w14:paraId="59E8B5EB" w14:textId="77777777" w:rsidR="007907C5" w:rsidRDefault="007907C5" w:rsidP="00914B56">
      <w:pPr>
        <w:jc w:val="right"/>
        <w:rPr>
          <w:rFonts w:ascii="Tahoma" w:hAnsi="Tahoma" w:cs="Tahoma"/>
          <w:i/>
          <w:iCs/>
          <w:sz w:val="20"/>
          <w:szCs w:val="20"/>
        </w:rPr>
      </w:pPr>
    </w:p>
    <w:p w14:paraId="11B82D24" w14:textId="77777777" w:rsidR="007907C5" w:rsidRDefault="007907C5" w:rsidP="00914B56">
      <w:pPr>
        <w:jc w:val="right"/>
        <w:rPr>
          <w:rFonts w:ascii="Tahoma" w:hAnsi="Tahoma" w:cs="Tahoma"/>
          <w:i/>
          <w:iCs/>
          <w:sz w:val="20"/>
          <w:szCs w:val="20"/>
        </w:rPr>
      </w:pPr>
    </w:p>
    <w:p w14:paraId="17D0F279" w14:textId="77777777" w:rsidR="007907C5" w:rsidRDefault="007907C5" w:rsidP="00914B56">
      <w:pPr>
        <w:jc w:val="right"/>
        <w:rPr>
          <w:rFonts w:ascii="Tahoma" w:hAnsi="Tahoma" w:cs="Tahoma"/>
          <w:i/>
          <w:iCs/>
          <w:sz w:val="20"/>
          <w:szCs w:val="20"/>
        </w:rPr>
      </w:pPr>
    </w:p>
    <w:p w14:paraId="2C916F28" w14:textId="38E0F64B" w:rsidR="007907C5" w:rsidRDefault="007907C5" w:rsidP="00914B56">
      <w:pPr>
        <w:jc w:val="right"/>
        <w:rPr>
          <w:rFonts w:ascii="Tahoma" w:hAnsi="Tahoma" w:cs="Tahoma"/>
          <w:i/>
          <w:iCs/>
          <w:sz w:val="20"/>
          <w:szCs w:val="20"/>
        </w:rPr>
      </w:pPr>
    </w:p>
    <w:p w14:paraId="29555DA2" w14:textId="4AF5E725" w:rsidR="004F2AF2" w:rsidRDefault="004F2AF2" w:rsidP="00914B56">
      <w:pPr>
        <w:jc w:val="right"/>
        <w:rPr>
          <w:rFonts w:ascii="Tahoma" w:hAnsi="Tahoma" w:cs="Tahoma"/>
          <w:i/>
          <w:iCs/>
          <w:sz w:val="20"/>
          <w:szCs w:val="20"/>
        </w:rPr>
      </w:pPr>
    </w:p>
    <w:p w14:paraId="56B1415E" w14:textId="6925A590" w:rsidR="004F2AF2" w:rsidRDefault="004F2AF2" w:rsidP="00914B56">
      <w:pPr>
        <w:jc w:val="right"/>
        <w:rPr>
          <w:rFonts w:ascii="Tahoma" w:hAnsi="Tahoma" w:cs="Tahoma"/>
          <w:i/>
          <w:iCs/>
          <w:sz w:val="20"/>
          <w:szCs w:val="20"/>
        </w:rPr>
      </w:pPr>
    </w:p>
    <w:p w14:paraId="644D6D29" w14:textId="0961B4A9" w:rsidR="004F2AF2" w:rsidRDefault="004F2AF2" w:rsidP="00914B56">
      <w:pPr>
        <w:jc w:val="right"/>
        <w:rPr>
          <w:rFonts w:ascii="Tahoma" w:hAnsi="Tahoma" w:cs="Tahoma"/>
          <w:i/>
          <w:iCs/>
          <w:sz w:val="20"/>
          <w:szCs w:val="20"/>
        </w:rPr>
      </w:pPr>
    </w:p>
    <w:p w14:paraId="045C670E" w14:textId="67EA2547" w:rsidR="004F2AF2" w:rsidRDefault="004F2AF2" w:rsidP="00914B56">
      <w:pPr>
        <w:jc w:val="right"/>
        <w:rPr>
          <w:rFonts w:ascii="Tahoma" w:hAnsi="Tahoma" w:cs="Tahoma"/>
          <w:i/>
          <w:iCs/>
          <w:sz w:val="20"/>
          <w:szCs w:val="20"/>
        </w:rPr>
      </w:pPr>
    </w:p>
    <w:p w14:paraId="1CA5008B" w14:textId="77777777" w:rsidR="004F2AF2" w:rsidRDefault="004F2AF2" w:rsidP="00914B56">
      <w:pPr>
        <w:jc w:val="right"/>
        <w:rPr>
          <w:rFonts w:ascii="Tahoma" w:hAnsi="Tahoma" w:cs="Tahoma"/>
          <w:i/>
          <w:iCs/>
          <w:sz w:val="20"/>
          <w:szCs w:val="20"/>
        </w:rPr>
      </w:pPr>
    </w:p>
    <w:p w14:paraId="6815F07D" w14:textId="77777777" w:rsidR="007907C5" w:rsidRDefault="007907C5" w:rsidP="00914B56">
      <w:pPr>
        <w:jc w:val="right"/>
        <w:rPr>
          <w:rFonts w:ascii="Tahoma" w:hAnsi="Tahoma" w:cs="Tahoma"/>
          <w:i/>
          <w:iCs/>
          <w:sz w:val="20"/>
          <w:szCs w:val="20"/>
        </w:rPr>
      </w:pPr>
    </w:p>
    <w:sectPr w:rsidR="007907C5" w:rsidSect="005C0196">
      <w:headerReference w:type="default" r:id="rId10"/>
      <w:footerReference w:type="default" r:id="rId11"/>
      <w:pgSz w:w="11906" w:h="16838"/>
      <w:pgMar w:top="1699" w:right="562" w:bottom="1138" w:left="1440" w:header="562"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EAB8" w14:textId="77777777" w:rsidR="00E45F39" w:rsidRDefault="00E45F39" w:rsidP="0073155B">
      <w:pPr>
        <w:spacing w:after="0" w:line="240" w:lineRule="auto"/>
      </w:pPr>
      <w:r>
        <w:separator/>
      </w:r>
    </w:p>
  </w:endnote>
  <w:endnote w:type="continuationSeparator" w:id="0">
    <w:p w14:paraId="1CDB8B44" w14:textId="77777777" w:rsidR="00E45F39" w:rsidRDefault="00E45F39" w:rsidP="0073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433"/>
    </w:tblGrid>
    <w:tr w:rsidR="005C0196" w14:paraId="05A4B2F5" w14:textId="77777777" w:rsidTr="005C0196">
      <w:trPr>
        <w:trHeight w:val="1307"/>
      </w:trPr>
      <w:tc>
        <w:tcPr>
          <w:tcW w:w="6205" w:type="dxa"/>
        </w:tcPr>
        <w:p w14:paraId="561C6EA3" w14:textId="1182C314" w:rsidR="00FE226E" w:rsidRDefault="00FE226E" w:rsidP="005C0196">
          <w:pPr>
            <w:pStyle w:val="Header"/>
            <w:rPr>
              <w:noProof/>
              <w:lang w:eastAsia="lt-LT"/>
            </w:rPr>
          </w:pPr>
          <w:r w:rsidRPr="00C94C7E">
            <w:rPr>
              <w:noProof/>
              <w:lang w:val="en-US"/>
            </w:rPr>
            <w:drawing>
              <wp:inline distT="0" distB="0" distL="0" distR="0" wp14:anchorId="47412C4C" wp14:editId="446E9E08">
                <wp:extent cx="697636" cy="900790"/>
                <wp:effectExtent l="0" t="0" r="7620" b="0"/>
                <wp:docPr id="151" name="Paveikslėli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278" cy="937772"/>
                        </a:xfrm>
                        <a:prstGeom prst="rect">
                          <a:avLst/>
                        </a:prstGeom>
                        <a:noFill/>
                        <a:ln>
                          <a:noFill/>
                        </a:ln>
                      </pic:spPr>
                    </pic:pic>
                  </a:graphicData>
                </a:graphic>
              </wp:inline>
            </w:drawing>
          </w:r>
          <w:r w:rsidR="00827F90">
            <w:rPr>
              <w:noProof/>
              <w:lang w:eastAsia="lt-LT"/>
            </w:rPr>
            <w:t xml:space="preserve">  </w:t>
          </w:r>
          <w:r w:rsidR="00827F90">
            <w:rPr>
              <w:noProof/>
            </w:rPr>
            <w:drawing>
              <wp:inline distT="0" distB="0" distL="0" distR="0" wp14:anchorId="4DDCF56C" wp14:editId="61A69C65">
                <wp:extent cx="974090" cy="974090"/>
                <wp:effectExtent l="0" t="0" r="0" b="0"/>
                <wp:docPr id="152" name="Paveikslėli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17" cy="1016017"/>
                        </a:xfrm>
                        <a:prstGeom prst="rect">
                          <a:avLst/>
                        </a:prstGeom>
                        <a:noFill/>
                        <a:ln>
                          <a:noFill/>
                        </a:ln>
                      </pic:spPr>
                    </pic:pic>
                  </a:graphicData>
                </a:graphic>
              </wp:inline>
            </w:drawing>
          </w:r>
          <w:r w:rsidR="00827F90">
            <w:rPr>
              <w:noProof/>
            </w:rPr>
            <w:t xml:space="preserve"> </w:t>
          </w:r>
          <w:r w:rsidR="00B94BB8">
            <w:rPr>
              <w:noProof/>
            </w:rPr>
            <w:drawing>
              <wp:inline distT="0" distB="0" distL="0" distR="0" wp14:anchorId="60828698" wp14:editId="0A725521">
                <wp:extent cx="819150" cy="7334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r w:rsidR="00827F90">
            <w:rPr>
              <w:noProof/>
            </w:rPr>
            <w:t xml:space="preserve"> </w:t>
          </w:r>
        </w:p>
      </w:tc>
      <w:tc>
        <w:tcPr>
          <w:tcW w:w="3433" w:type="dxa"/>
        </w:tcPr>
        <w:p w14:paraId="07208541" w14:textId="534D4351" w:rsidR="00FE226E" w:rsidRDefault="00FE226E" w:rsidP="005C0196">
          <w:pPr>
            <w:pStyle w:val="Header"/>
            <w:jc w:val="center"/>
            <w:rPr>
              <w:rFonts w:ascii="Tahoma" w:hAnsi="Tahoma" w:cs="Tahoma"/>
              <w:sz w:val="18"/>
              <w:szCs w:val="20"/>
            </w:rPr>
          </w:pPr>
          <w:r>
            <w:rPr>
              <w:noProof/>
              <w:lang w:eastAsia="lt-LT"/>
            </w:rPr>
            <w:drawing>
              <wp:inline distT="0" distB="0" distL="0" distR="0" wp14:anchorId="287ABFD4" wp14:editId="51C3AB9D">
                <wp:extent cx="1916909" cy="600075"/>
                <wp:effectExtent l="0" t="0" r="0" b="0"/>
                <wp:docPr id="1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8683" cy="631935"/>
                        </a:xfrm>
                        <a:prstGeom prst="rect">
                          <a:avLst/>
                        </a:prstGeom>
                        <a:noFill/>
                        <a:ln>
                          <a:noFill/>
                        </a:ln>
                      </pic:spPr>
                    </pic:pic>
                  </a:graphicData>
                </a:graphic>
              </wp:inline>
            </w:drawing>
          </w:r>
        </w:p>
      </w:tc>
    </w:tr>
  </w:tbl>
  <w:p w14:paraId="0D776479" w14:textId="375DBD33" w:rsidR="006B08DD" w:rsidRDefault="006B08DD" w:rsidP="006B08DD">
    <w:pPr>
      <w:pStyle w:val="Header"/>
      <w:jc w:val="right"/>
      <w:rPr>
        <w:rFonts w:ascii="Tahoma" w:hAnsi="Tahoma" w:cs="Tahoma"/>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DA13" w14:textId="77777777" w:rsidR="00E45F39" w:rsidRDefault="00E45F39" w:rsidP="0073155B">
      <w:pPr>
        <w:spacing w:after="0" w:line="240" w:lineRule="auto"/>
      </w:pPr>
      <w:r>
        <w:separator/>
      </w:r>
    </w:p>
  </w:footnote>
  <w:footnote w:type="continuationSeparator" w:id="0">
    <w:p w14:paraId="61711CBD" w14:textId="77777777" w:rsidR="00E45F39" w:rsidRDefault="00E45F39" w:rsidP="0073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23"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262"/>
    </w:tblGrid>
    <w:tr w:rsidR="00DD186F" w14:paraId="2E6337A0" w14:textId="77777777" w:rsidTr="004F494F">
      <w:tc>
        <w:tcPr>
          <w:tcW w:w="5461" w:type="dxa"/>
          <w:tcBorders>
            <w:bottom w:val="single" w:sz="4" w:space="0" w:color="808080" w:themeColor="background1" w:themeShade="80"/>
          </w:tcBorders>
          <w:vAlign w:val="center"/>
        </w:tcPr>
        <w:p w14:paraId="0B369536" w14:textId="5BC1E552" w:rsidR="00AF4CB4" w:rsidRPr="003E00FC" w:rsidRDefault="006B08DD" w:rsidP="005D117F">
          <w:pPr>
            <w:pStyle w:val="Header"/>
            <w:rPr>
              <w:rFonts w:ascii="Tahoma" w:hAnsi="Tahoma" w:cs="Tahoma"/>
              <w:b/>
              <w:sz w:val="18"/>
              <w:szCs w:val="20"/>
            </w:rPr>
          </w:pPr>
          <w:r>
            <w:rPr>
              <w:rFonts w:ascii="Tahoma" w:hAnsi="Tahoma" w:cs="Tahoma"/>
              <w:b/>
              <w:sz w:val="18"/>
              <w:szCs w:val="20"/>
            </w:rPr>
            <w:t>UAB</w:t>
          </w:r>
          <w:r w:rsidR="00AF4CB4" w:rsidRPr="003E00FC">
            <w:rPr>
              <w:rFonts w:ascii="Tahoma" w:hAnsi="Tahoma" w:cs="Tahoma"/>
              <w:b/>
              <w:sz w:val="18"/>
              <w:szCs w:val="20"/>
            </w:rPr>
            <w:t xml:space="preserve"> „Jandas“</w:t>
          </w:r>
        </w:p>
        <w:p w14:paraId="4806DE62" w14:textId="1C6E4304" w:rsidR="00AF4CB4" w:rsidRPr="003E00FC" w:rsidRDefault="002F582B" w:rsidP="00AF4CB4">
          <w:pPr>
            <w:pStyle w:val="Header"/>
            <w:rPr>
              <w:rFonts w:ascii="Tahoma" w:hAnsi="Tahoma" w:cs="Tahoma"/>
              <w:sz w:val="18"/>
              <w:szCs w:val="20"/>
            </w:rPr>
          </w:pPr>
          <w:r>
            <w:rPr>
              <w:rFonts w:ascii="Tahoma" w:hAnsi="Tahoma" w:cs="Tahoma"/>
              <w:sz w:val="18"/>
              <w:szCs w:val="20"/>
            </w:rPr>
            <w:t>Į</w:t>
          </w:r>
          <w:r w:rsidR="00AF4CB4" w:rsidRPr="003E00FC">
            <w:rPr>
              <w:rFonts w:ascii="Tahoma" w:hAnsi="Tahoma" w:cs="Tahoma"/>
              <w:sz w:val="18"/>
              <w:szCs w:val="20"/>
            </w:rPr>
            <w:t>monės kodas: 304885427</w:t>
          </w:r>
        </w:p>
        <w:p w14:paraId="4A8E1E0F" w14:textId="79292282" w:rsidR="00AF4CB4" w:rsidRPr="003E00FC" w:rsidRDefault="00AF4CB4" w:rsidP="00AF4CB4">
          <w:pPr>
            <w:pStyle w:val="Header"/>
            <w:rPr>
              <w:rFonts w:ascii="Tahoma" w:hAnsi="Tahoma" w:cs="Tahoma"/>
              <w:sz w:val="18"/>
              <w:szCs w:val="20"/>
            </w:rPr>
          </w:pPr>
          <w:r w:rsidRPr="003E00FC">
            <w:rPr>
              <w:rFonts w:ascii="Tahoma" w:hAnsi="Tahoma" w:cs="Tahoma"/>
              <w:sz w:val="18"/>
              <w:szCs w:val="20"/>
            </w:rPr>
            <w:t xml:space="preserve">Adresas: </w:t>
          </w:r>
          <w:r w:rsidR="00465963">
            <w:rPr>
              <w:rFonts w:ascii="Tahoma" w:hAnsi="Tahoma" w:cs="Tahoma"/>
              <w:sz w:val="18"/>
              <w:szCs w:val="20"/>
            </w:rPr>
            <w:t xml:space="preserve">Varžupio 2-oji g. </w:t>
          </w:r>
          <w:r w:rsidR="00B94BB8">
            <w:rPr>
              <w:rFonts w:ascii="Tahoma" w:hAnsi="Tahoma" w:cs="Tahoma"/>
              <w:sz w:val="18"/>
              <w:szCs w:val="20"/>
            </w:rPr>
            <w:t>9</w:t>
          </w:r>
          <w:r w:rsidR="00465963">
            <w:rPr>
              <w:rFonts w:ascii="Tahoma" w:hAnsi="Tahoma" w:cs="Tahoma"/>
              <w:sz w:val="18"/>
              <w:szCs w:val="20"/>
            </w:rPr>
            <w:t>,</w:t>
          </w:r>
          <w:r w:rsidR="00226FFF" w:rsidRPr="00226FFF">
            <w:rPr>
              <w:rFonts w:ascii="Tahoma" w:hAnsi="Tahoma" w:cs="Tahoma"/>
              <w:sz w:val="18"/>
              <w:szCs w:val="20"/>
            </w:rPr>
            <w:t xml:space="preserve"> LT-53348</w:t>
          </w:r>
          <w:r w:rsidR="00465963">
            <w:rPr>
              <w:rFonts w:ascii="Tahoma" w:hAnsi="Tahoma" w:cs="Tahoma"/>
              <w:sz w:val="18"/>
              <w:szCs w:val="20"/>
            </w:rPr>
            <w:t xml:space="preserve"> Akademija, Kauno r</w:t>
          </w:r>
          <w:r w:rsidRPr="003E00FC">
            <w:rPr>
              <w:rFonts w:ascii="Tahoma" w:hAnsi="Tahoma" w:cs="Tahoma"/>
              <w:sz w:val="18"/>
              <w:szCs w:val="20"/>
            </w:rPr>
            <w:t>.</w:t>
          </w:r>
        </w:p>
        <w:p w14:paraId="59BB14B6" w14:textId="084F78CD" w:rsidR="00DD186F" w:rsidRPr="004F494F" w:rsidRDefault="00AF4CB4" w:rsidP="004F494F">
          <w:pPr>
            <w:spacing w:after="120"/>
            <w:rPr>
              <w:rFonts w:ascii="Tahoma" w:hAnsi="Tahoma" w:cs="Tahoma"/>
              <w:sz w:val="18"/>
              <w:szCs w:val="20"/>
            </w:rPr>
          </w:pPr>
          <w:r w:rsidRPr="003E00FC">
            <w:rPr>
              <w:rFonts w:ascii="Tahoma" w:hAnsi="Tahoma" w:cs="Tahoma"/>
              <w:sz w:val="18"/>
              <w:szCs w:val="20"/>
            </w:rPr>
            <w:t xml:space="preserve">Kontaktai: +370 </w:t>
          </w:r>
          <w:r w:rsidR="00C17DA1">
            <w:rPr>
              <w:rFonts w:ascii="Tahoma" w:hAnsi="Tahoma" w:cs="Tahoma"/>
              <w:sz w:val="18"/>
              <w:szCs w:val="20"/>
            </w:rPr>
            <w:t>677 83132</w:t>
          </w:r>
          <w:r w:rsidRPr="003E00FC">
            <w:rPr>
              <w:rFonts w:ascii="Tahoma" w:hAnsi="Tahoma" w:cs="Tahoma"/>
              <w:sz w:val="18"/>
              <w:szCs w:val="20"/>
            </w:rPr>
            <w:t>, info@jandas.lt</w:t>
          </w:r>
        </w:p>
      </w:tc>
      <w:tc>
        <w:tcPr>
          <w:tcW w:w="5262" w:type="dxa"/>
          <w:tcBorders>
            <w:bottom w:val="single" w:sz="4" w:space="0" w:color="808080" w:themeColor="background1" w:themeShade="80"/>
          </w:tcBorders>
          <w:vAlign w:val="center"/>
        </w:tcPr>
        <w:p w14:paraId="3A461A14" w14:textId="1A3F4130" w:rsidR="00DD186F" w:rsidRDefault="00DD186F" w:rsidP="006B08DD">
          <w:pPr>
            <w:pStyle w:val="Header"/>
            <w:jc w:val="right"/>
          </w:pPr>
        </w:p>
      </w:tc>
    </w:tr>
  </w:tbl>
  <w:p w14:paraId="7D170551" w14:textId="630733A5" w:rsidR="0073155B" w:rsidRPr="006B08DD" w:rsidRDefault="0073155B" w:rsidP="006B08DD">
    <w:pPr>
      <w:pStyle w:val="Header"/>
      <w:jc w:val="right"/>
      <w:rPr>
        <w:rFonts w:ascii="Tahoma" w:hAnsi="Tahoma" w:cs="Tahoma"/>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BC2"/>
    <w:multiLevelType w:val="hybridMultilevel"/>
    <w:tmpl w:val="D846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15847"/>
    <w:multiLevelType w:val="hybridMultilevel"/>
    <w:tmpl w:val="16B8EB2E"/>
    <w:lvl w:ilvl="0" w:tplc="EDB002A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E5C672D"/>
    <w:multiLevelType w:val="hybridMultilevel"/>
    <w:tmpl w:val="7924B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A6DD1"/>
    <w:multiLevelType w:val="hybridMultilevel"/>
    <w:tmpl w:val="16AC1DD2"/>
    <w:lvl w:ilvl="0" w:tplc="07F6CCC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FD489E"/>
    <w:multiLevelType w:val="multilevel"/>
    <w:tmpl w:val="3A0A08B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D07EF"/>
    <w:multiLevelType w:val="hybridMultilevel"/>
    <w:tmpl w:val="0940198E"/>
    <w:lvl w:ilvl="0" w:tplc="FC82B6AA">
      <w:start w:val="202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9C5B5B"/>
    <w:multiLevelType w:val="hybridMultilevel"/>
    <w:tmpl w:val="FA4A8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484502"/>
    <w:multiLevelType w:val="hybridMultilevel"/>
    <w:tmpl w:val="D9A2AA3A"/>
    <w:lvl w:ilvl="0" w:tplc="F97A684E">
      <w:start w:val="2022"/>
      <w:numFmt w:val="bullet"/>
      <w:lvlText w:val="-"/>
      <w:lvlJc w:val="left"/>
      <w:pPr>
        <w:ind w:left="792" w:hanging="360"/>
      </w:pPr>
      <w:rPr>
        <w:rFonts w:ascii="Times New Roman" w:eastAsia="Calibri" w:hAnsi="Times New Roman" w:cs="Times New Roman" w:hint="default"/>
      </w:rPr>
    </w:lvl>
    <w:lvl w:ilvl="1" w:tplc="04270003">
      <w:start w:val="1"/>
      <w:numFmt w:val="bullet"/>
      <w:lvlText w:val="o"/>
      <w:lvlJc w:val="left"/>
      <w:pPr>
        <w:ind w:left="1512" w:hanging="360"/>
      </w:pPr>
      <w:rPr>
        <w:rFonts w:ascii="Courier New" w:hAnsi="Courier New" w:cs="Courier New" w:hint="default"/>
      </w:rPr>
    </w:lvl>
    <w:lvl w:ilvl="2" w:tplc="04270005">
      <w:start w:val="1"/>
      <w:numFmt w:val="bullet"/>
      <w:lvlText w:val=""/>
      <w:lvlJc w:val="left"/>
      <w:pPr>
        <w:ind w:left="2232" w:hanging="360"/>
      </w:pPr>
      <w:rPr>
        <w:rFonts w:ascii="Wingdings" w:hAnsi="Wingdings" w:hint="default"/>
      </w:rPr>
    </w:lvl>
    <w:lvl w:ilvl="3" w:tplc="04270001">
      <w:start w:val="1"/>
      <w:numFmt w:val="bullet"/>
      <w:lvlText w:val=""/>
      <w:lvlJc w:val="left"/>
      <w:pPr>
        <w:ind w:left="2952" w:hanging="360"/>
      </w:pPr>
      <w:rPr>
        <w:rFonts w:ascii="Symbol" w:hAnsi="Symbol" w:hint="default"/>
      </w:rPr>
    </w:lvl>
    <w:lvl w:ilvl="4" w:tplc="04270003">
      <w:start w:val="1"/>
      <w:numFmt w:val="bullet"/>
      <w:lvlText w:val="o"/>
      <w:lvlJc w:val="left"/>
      <w:pPr>
        <w:ind w:left="3672" w:hanging="360"/>
      </w:pPr>
      <w:rPr>
        <w:rFonts w:ascii="Courier New" w:hAnsi="Courier New" w:cs="Courier New" w:hint="default"/>
      </w:rPr>
    </w:lvl>
    <w:lvl w:ilvl="5" w:tplc="04270005">
      <w:start w:val="1"/>
      <w:numFmt w:val="bullet"/>
      <w:lvlText w:val=""/>
      <w:lvlJc w:val="left"/>
      <w:pPr>
        <w:ind w:left="4392" w:hanging="360"/>
      </w:pPr>
      <w:rPr>
        <w:rFonts w:ascii="Wingdings" w:hAnsi="Wingdings" w:hint="default"/>
      </w:rPr>
    </w:lvl>
    <w:lvl w:ilvl="6" w:tplc="04270001">
      <w:start w:val="1"/>
      <w:numFmt w:val="bullet"/>
      <w:lvlText w:val=""/>
      <w:lvlJc w:val="left"/>
      <w:pPr>
        <w:ind w:left="5112" w:hanging="360"/>
      </w:pPr>
      <w:rPr>
        <w:rFonts w:ascii="Symbol" w:hAnsi="Symbol" w:hint="default"/>
      </w:rPr>
    </w:lvl>
    <w:lvl w:ilvl="7" w:tplc="04270003">
      <w:start w:val="1"/>
      <w:numFmt w:val="bullet"/>
      <w:lvlText w:val="o"/>
      <w:lvlJc w:val="left"/>
      <w:pPr>
        <w:ind w:left="5832" w:hanging="360"/>
      </w:pPr>
      <w:rPr>
        <w:rFonts w:ascii="Courier New" w:hAnsi="Courier New" w:cs="Courier New" w:hint="default"/>
      </w:rPr>
    </w:lvl>
    <w:lvl w:ilvl="8" w:tplc="04270005">
      <w:start w:val="1"/>
      <w:numFmt w:val="bullet"/>
      <w:lvlText w:val=""/>
      <w:lvlJc w:val="left"/>
      <w:pPr>
        <w:ind w:left="6552" w:hanging="360"/>
      </w:pPr>
      <w:rPr>
        <w:rFonts w:ascii="Wingdings" w:hAnsi="Wingdings" w:hint="default"/>
      </w:rPr>
    </w:lvl>
  </w:abstractNum>
  <w:abstractNum w:abstractNumId="8" w15:restartNumberingAfterBreak="0">
    <w:nsid w:val="3F9E61BD"/>
    <w:multiLevelType w:val="hybridMultilevel"/>
    <w:tmpl w:val="4CAE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841D1"/>
    <w:multiLevelType w:val="hybridMultilevel"/>
    <w:tmpl w:val="80C0C7CA"/>
    <w:lvl w:ilvl="0" w:tplc="27C03A0E">
      <w:start w:val="6"/>
      <w:numFmt w:val="bullet"/>
      <w:lvlText w:val=""/>
      <w:lvlJc w:val="left"/>
      <w:pPr>
        <w:ind w:left="720" w:hanging="360"/>
      </w:pPr>
      <w:rPr>
        <w:rFonts w:ascii="Symbol" w:eastAsiaTheme="minorHAnsi" w:hAnsi="Symbol" w:cs="Arial"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BC0801"/>
    <w:multiLevelType w:val="hybridMultilevel"/>
    <w:tmpl w:val="7924B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7F6D60"/>
    <w:multiLevelType w:val="hybridMultilevel"/>
    <w:tmpl w:val="632A9B22"/>
    <w:lvl w:ilvl="0" w:tplc="B0042F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33191932">
    <w:abstractNumId w:val="2"/>
  </w:num>
  <w:num w:numId="2" w16cid:durableId="1531525442">
    <w:abstractNumId w:val="9"/>
  </w:num>
  <w:num w:numId="3" w16cid:durableId="2087412514">
    <w:abstractNumId w:val="10"/>
  </w:num>
  <w:num w:numId="4" w16cid:durableId="2128961642">
    <w:abstractNumId w:val="4"/>
  </w:num>
  <w:num w:numId="5" w16cid:durableId="1926920191">
    <w:abstractNumId w:val="6"/>
  </w:num>
  <w:num w:numId="6" w16cid:durableId="1702242303">
    <w:abstractNumId w:val="11"/>
  </w:num>
  <w:num w:numId="7" w16cid:durableId="975765804">
    <w:abstractNumId w:val="7"/>
  </w:num>
  <w:num w:numId="8" w16cid:durableId="1926768220">
    <w:abstractNumId w:val="8"/>
  </w:num>
  <w:num w:numId="9" w16cid:durableId="1955020897">
    <w:abstractNumId w:val="3"/>
  </w:num>
  <w:num w:numId="10" w16cid:durableId="1026103807">
    <w:abstractNumId w:val="5"/>
  </w:num>
  <w:num w:numId="11" w16cid:durableId="1461916576">
    <w:abstractNumId w:val="0"/>
  </w:num>
  <w:num w:numId="12" w16cid:durableId="99263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5B"/>
    <w:rsid w:val="000218EA"/>
    <w:rsid w:val="000305B8"/>
    <w:rsid w:val="0004529F"/>
    <w:rsid w:val="000B11DE"/>
    <w:rsid w:val="000D7E54"/>
    <w:rsid w:val="000E1800"/>
    <w:rsid w:val="000E22B2"/>
    <w:rsid w:val="000F4509"/>
    <w:rsid w:val="00122570"/>
    <w:rsid w:val="001D6D1B"/>
    <w:rsid w:val="00226FFF"/>
    <w:rsid w:val="002349B8"/>
    <w:rsid w:val="00255D7D"/>
    <w:rsid w:val="0029570E"/>
    <w:rsid w:val="002C1847"/>
    <w:rsid w:val="002F582B"/>
    <w:rsid w:val="00307D19"/>
    <w:rsid w:val="003124BF"/>
    <w:rsid w:val="00347ED3"/>
    <w:rsid w:val="00352D9C"/>
    <w:rsid w:val="00377EC9"/>
    <w:rsid w:val="003A7772"/>
    <w:rsid w:val="003E00FC"/>
    <w:rsid w:val="00417F66"/>
    <w:rsid w:val="00432386"/>
    <w:rsid w:val="00465963"/>
    <w:rsid w:val="004B502E"/>
    <w:rsid w:val="004D720F"/>
    <w:rsid w:val="004F2AF2"/>
    <w:rsid w:val="004F494F"/>
    <w:rsid w:val="00505B9A"/>
    <w:rsid w:val="00516354"/>
    <w:rsid w:val="00584AD4"/>
    <w:rsid w:val="005C0196"/>
    <w:rsid w:val="005D117F"/>
    <w:rsid w:val="006203DA"/>
    <w:rsid w:val="00636DBD"/>
    <w:rsid w:val="00671B3B"/>
    <w:rsid w:val="00697D13"/>
    <w:rsid w:val="006A5892"/>
    <w:rsid w:val="006B08DD"/>
    <w:rsid w:val="006E06D3"/>
    <w:rsid w:val="006E28D2"/>
    <w:rsid w:val="006F1358"/>
    <w:rsid w:val="00703DF1"/>
    <w:rsid w:val="00722309"/>
    <w:rsid w:val="007239F9"/>
    <w:rsid w:val="0073155B"/>
    <w:rsid w:val="007907C5"/>
    <w:rsid w:val="007B6D27"/>
    <w:rsid w:val="007C0F93"/>
    <w:rsid w:val="007D719A"/>
    <w:rsid w:val="00802EEA"/>
    <w:rsid w:val="00805AC8"/>
    <w:rsid w:val="00827F90"/>
    <w:rsid w:val="00833F21"/>
    <w:rsid w:val="008636B7"/>
    <w:rsid w:val="00892F32"/>
    <w:rsid w:val="008957F8"/>
    <w:rsid w:val="008A12D0"/>
    <w:rsid w:val="008B0088"/>
    <w:rsid w:val="00914B56"/>
    <w:rsid w:val="0092128E"/>
    <w:rsid w:val="00923D86"/>
    <w:rsid w:val="00993355"/>
    <w:rsid w:val="00994963"/>
    <w:rsid w:val="009C33D0"/>
    <w:rsid w:val="00AB487A"/>
    <w:rsid w:val="00AF4CB4"/>
    <w:rsid w:val="00AF75E8"/>
    <w:rsid w:val="00B45B9E"/>
    <w:rsid w:val="00B833AB"/>
    <w:rsid w:val="00B94BB8"/>
    <w:rsid w:val="00BD7648"/>
    <w:rsid w:val="00BE6D1A"/>
    <w:rsid w:val="00C139F2"/>
    <w:rsid w:val="00C17DA1"/>
    <w:rsid w:val="00C34F56"/>
    <w:rsid w:val="00C77BE3"/>
    <w:rsid w:val="00D33E6A"/>
    <w:rsid w:val="00D44B81"/>
    <w:rsid w:val="00D456E6"/>
    <w:rsid w:val="00DD186F"/>
    <w:rsid w:val="00E02E50"/>
    <w:rsid w:val="00E43AD7"/>
    <w:rsid w:val="00E45F39"/>
    <w:rsid w:val="00E728CF"/>
    <w:rsid w:val="00E8580C"/>
    <w:rsid w:val="00E925E7"/>
    <w:rsid w:val="00E937EF"/>
    <w:rsid w:val="00EA3252"/>
    <w:rsid w:val="00EB3FC7"/>
    <w:rsid w:val="00F30BF1"/>
    <w:rsid w:val="00FB43B4"/>
    <w:rsid w:val="00FD335B"/>
    <w:rsid w:val="00FD70C8"/>
    <w:rsid w:val="00FE226E"/>
    <w:rsid w:val="00FF157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D170546"/>
  <w15:docId w15:val="{32D9F4E1-7BA3-4E2B-BAFB-617C80E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5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155B"/>
  </w:style>
  <w:style w:type="paragraph" w:styleId="Footer">
    <w:name w:val="footer"/>
    <w:basedOn w:val="Normal"/>
    <w:link w:val="FooterChar"/>
    <w:uiPriority w:val="99"/>
    <w:unhideWhenUsed/>
    <w:rsid w:val="007315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155B"/>
  </w:style>
  <w:style w:type="paragraph" w:styleId="BalloonText">
    <w:name w:val="Balloon Text"/>
    <w:basedOn w:val="Normal"/>
    <w:link w:val="BalloonTextChar"/>
    <w:uiPriority w:val="99"/>
    <w:semiHidden/>
    <w:unhideWhenUsed/>
    <w:rsid w:val="0073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5B"/>
    <w:rPr>
      <w:rFonts w:ascii="Tahoma" w:hAnsi="Tahoma" w:cs="Tahoma"/>
      <w:sz w:val="16"/>
      <w:szCs w:val="16"/>
    </w:rPr>
  </w:style>
  <w:style w:type="table" w:styleId="TableGrid">
    <w:name w:val="Table Grid"/>
    <w:basedOn w:val="TableNormal"/>
    <w:uiPriority w:val="39"/>
    <w:rsid w:val="007315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0F93"/>
    <w:pPr>
      <w:ind w:left="720"/>
      <w:contextualSpacing/>
    </w:pPr>
  </w:style>
  <w:style w:type="paragraph" w:customStyle="1" w:styleId="SWECOText">
    <w:name w:val="SWECO Text"/>
    <w:qFormat/>
    <w:rsid w:val="00671B3B"/>
    <w:pPr>
      <w:spacing w:before="120" w:after="120" w:line="360" w:lineRule="auto"/>
      <w:jc w:val="both"/>
    </w:pPr>
    <w:rPr>
      <w:rFonts w:ascii="Arial" w:eastAsia="Times New Roman" w:hAnsi="Arial" w:cs="Times New Roman"/>
      <w:sz w:val="20"/>
      <w:szCs w:val="20"/>
      <w:lang w:val="en-US"/>
    </w:rPr>
  </w:style>
  <w:style w:type="character" w:styleId="Hyperlink">
    <w:name w:val="Hyperlink"/>
    <w:basedOn w:val="DefaultParagraphFont"/>
    <w:uiPriority w:val="99"/>
    <w:unhideWhenUsed/>
    <w:rsid w:val="002349B8"/>
    <w:rPr>
      <w:color w:val="0000FF"/>
      <w:u w:val="single"/>
    </w:rPr>
  </w:style>
  <w:style w:type="character" w:styleId="PlaceholderText">
    <w:name w:val="Placeholder Text"/>
    <w:basedOn w:val="DefaultParagraphFont"/>
    <w:uiPriority w:val="99"/>
    <w:semiHidden/>
    <w:rsid w:val="002349B8"/>
    <w:rPr>
      <w:color w:val="808080"/>
    </w:rPr>
  </w:style>
  <w:style w:type="paragraph" w:styleId="BodyText">
    <w:name w:val="Body Text"/>
    <w:basedOn w:val="Normal"/>
    <w:link w:val="BodyTextChar"/>
    <w:semiHidden/>
    <w:unhideWhenUsed/>
    <w:rsid w:val="00B94BB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94BB8"/>
    <w:rPr>
      <w:rFonts w:ascii="Times New Roman" w:eastAsia="Times New Roman" w:hAnsi="Times New Roman" w:cs="Times New Roman"/>
      <w:sz w:val="24"/>
      <w:szCs w:val="20"/>
    </w:rPr>
  </w:style>
  <w:style w:type="character" w:customStyle="1" w:styleId="normaltextrun">
    <w:name w:val="normaltextrun"/>
    <w:basedOn w:val="DefaultParagraphFont"/>
    <w:rsid w:val="007907C5"/>
  </w:style>
  <w:style w:type="character" w:styleId="CommentReference">
    <w:name w:val="annotation reference"/>
    <w:basedOn w:val="DefaultParagraphFont"/>
    <w:uiPriority w:val="99"/>
    <w:semiHidden/>
    <w:unhideWhenUsed/>
    <w:rsid w:val="00EB3FC7"/>
    <w:rPr>
      <w:sz w:val="16"/>
      <w:szCs w:val="16"/>
    </w:rPr>
  </w:style>
  <w:style w:type="paragraph" w:styleId="CommentText">
    <w:name w:val="annotation text"/>
    <w:basedOn w:val="Normal"/>
    <w:link w:val="CommentTextChar"/>
    <w:uiPriority w:val="99"/>
    <w:unhideWhenUsed/>
    <w:rsid w:val="00EB3FC7"/>
    <w:pPr>
      <w:spacing w:line="240" w:lineRule="auto"/>
    </w:pPr>
    <w:rPr>
      <w:sz w:val="20"/>
      <w:szCs w:val="20"/>
    </w:rPr>
  </w:style>
  <w:style w:type="character" w:customStyle="1" w:styleId="CommentTextChar">
    <w:name w:val="Comment Text Char"/>
    <w:basedOn w:val="DefaultParagraphFont"/>
    <w:link w:val="CommentText"/>
    <w:uiPriority w:val="99"/>
    <w:rsid w:val="00EB3FC7"/>
    <w:rPr>
      <w:sz w:val="20"/>
      <w:szCs w:val="20"/>
    </w:rPr>
  </w:style>
  <w:style w:type="paragraph" w:styleId="CommentSubject">
    <w:name w:val="annotation subject"/>
    <w:basedOn w:val="CommentText"/>
    <w:next w:val="CommentText"/>
    <w:link w:val="CommentSubjectChar"/>
    <w:uiPriority w:val="99"/>
    <w:semiHidden/>
    <w:unhideWhenUsed/>
    <w:rsid w:val="00EB3FC7"/>
    <w:rPr>
      <w:b/>
      <w:bCs/>
    </w:rPr>
  </w:style>
  <w:style w:type="character" w:customStyle="1" w:styleId="CommentSubjectChar">
    <w:name w:val="Comment Subject Char"/>
    <w:basedOn w:val="CommentTextChar"/>
    <w:link w:val="CommentSubject"/>
    <w:uiPriority w:val="99"/>
    <w:semiHidden/>
    <w:rsid w:val="00EB3FC7"/>
    <w:rPr>
      <w:b/>
      <w:bCs/>
      <w:sz w:val="20"/>
      <w:szCs w:val="20"/>
    </w:rPr>
  </w:style>
  <w:style w:type="character" w:styleId="UnresolvedMention">
    <w:name w:val="Unresolved Mention"/>
    <w:basedOn w:val="DefaultParagraphFont"/>
    <w:uiPriority w:val="99"/>
    <w:semiHidden/>
    <w:unhideWhenUsed/>
    <w:rsid w:val="00030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4042">
      <w:bodyDiv w:val="1"/>
      <w:marLeft w:val="0"/>
      <w:marRight w:val="0"/>
      <w:marTop w:val="0"/>
      <w:marBottom w:val="0"/>
      <w:divBdr>
        <w:top w:val="none" w:sz="0" w:space="0" w:color="auto"/>
        <w:left w:val="none" w:sz="0" w:space="0" w:color="auto"/>
        <w:bottom w:val="none" w:sz="0" w:space="0" w:color="auto"/>
        <w:right w:val="none" w:sz="0" w:space="0" w:color="auto"/>
      </w:divBdr>
    </w:div>
    <w:div w:id="3322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1ADCA0266803947BB0E5F863D1F2922" ma:contentTypeVersion="12" ma:contentTypeDescription="Kurkite naują dokumentą." ma:contentTypeScope="" ma:versionID="61f66e5799e8105c14d1ec298bfcb62e">
  <xsd:schema xmlns:xsd="http://www.w3.org/2001/XMLSchema" xmlns:xs="http://www.w3.org/2001/XMLSchema" xmlns:p="http://schemas.microsoft.com/office/2006/metadata/properties" xmlns:ns2="5cee4cd7-4f2d-4ead-aa9e-8118b4c88b6a" xmlns:ns3="413bd800-9cc7-4b33-bbe3-cb24f5a86244" targetNamespace="http://schemas.microsoft.com/office/2006/metadata/properties" ma:root="true" ma:fieldsID="313c67bf6aec59aa70fab24513c20082" ns2:_="" ns3:_="">
    <xsd:import namespace="5cee4cd7-4f2d-4ead-aa9e-8118b4c88b6a"/>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4cd7-4f2d-4ead-aa9e-8118b4c8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FB4F6-BC44-4FCA-806A-53A11A667BCC}">
  <ds:schemaRefs>
    <ds:schemaRef ds:uri="http://schemas.microsoft.com/sharepoint/v3/contenttype/forms"/>
  </ds:schemaRefs>
</ds:datastoreItem>
</file>

<file path=customXml/itemProps2.xml><?xml version="1.0" encoding="utf-8"?>
<ds:datastoreItem xmlns:ds="http://schemas.openxmlformats.org/officeDocument/2006/customXml" ds:itemID="{A2ACB75E-5981-4BA8-8EB0-E63C6913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4cd7-4f2d-4ead-aa9e-8118b4c88b6a"/>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25A48-3484-46F5-8E50-35B48AF6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1844</Words>
  <Characters>1052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Simona Lebednykienė</cp:lastModifiedBy>
  <cp:revision>8</cp:revision>
  <cp:lastPrinted>2019-11-21T11:58:00Z</cp:lastPrinted>
  <dcterms:created xsi:type="dcterms:W3CDTF">2023-02-21T17:07:00Z</dcterms:created>
  <dcterms:modified xsi:type="dcterms:W3CDTF">2023-04-17T12:10:00Z</dcterms:modified>
</cp:coreProperties>
</file>