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FA7"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202</w:t>
      </w:r>
      <w:r w:rsidR="00EF52D3" w:rsidRPr="00A56F38">
        <w:rPr>
          <w:rFonts w:ascii="Times New Roman" w:eastAsia="Times New Roman" w:hAnsi="Times New Roman" w:cs="Times New Roman"/>
          <w:sz w:val="24"/>
          <w:szCs w:val="24"/>
          <w:lang w:eastAsia="lt-LT"/>
        </w:rPr>
        <w:t>3</w:t>
      </w:r>
      <w:r w:rsidRPr="00A56F38">
        <w:rPr>
          <w:rFonts w:ascii="Times New Roman" w:eastAsia="Times New Roman" w:hAnsi="Times New Roman" w:cs="Times New Roman"/>
          <w:sz w:val="24"/>
          <w:szCs w:val="24"/>
          <w:lang w:eastAsia="lt-LT"/>
        </w:rPr>
        <w:t xml:space="preserve"> m.                              d. </w:t>
      </w:r>
    </w:p>
    <w:p w14:paraId="62FA616A"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Paslaugų viešojo pirkimo-pardavimo                     </w:t>
      </w:r>
    </w:p>
    <w:p w14:paraId="3A77FEBE"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sutarties Nr.          </w:t>
      </w:r>
    </w:p>
    <w:p w14:paraId="287493B2" w14:textId="77777777" w:rsidR="00124024" w:rsidRPr="00A56F38" w:rsidRDefault="00B97CCE"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1 </w:t>
      </w:r>
      <w:r w:rsidR="00124024" w:rsidRPr="00A56F38">
        <w:rPr>
          <w:rFonts w:ascii="Times New Roman" w:eastAsia="Times New Roman" w:hAnsi="Times New Roman" w:cs="Times New Roman"/>
          <w:sz w:val="24"/>
          <w:szCs w:val="24"/>
          <w:lang w:eastAsia="lt-LT"/>
        </w:rPr>
        <w:t xml:space="preserve">priedas </w:t>
      </w:r>
    </w:p>
    <w:p w14:paraId="0445DC38" w14:textId="1727F64C" w:rsidR="005D4190" w:rsidRPr="00A56F38" w:rsidRDefault="005D4190" w:rsidP="00803CDA">
      <w:pPr>
        <w:spacing w:after="0" w:line="240" w:lineRule="auto"/>
        <w:jc w:val="center"/>
        <w:rPr>
          <w:rFonts w:ascii="Times New Roman" w:hAnsi="Times New Roman" w:cs="Times New Roman"/>
          <w:b/>
          <w:sz w:val="24"/>
          <w:szCs w:val="24"/>
        </w:rPr>
      </w:pPr>
    </w:p>
    <w:p w14:paraId="532430F0" w14:textId="77777777" w:rsidR="00124024" w:rsidRPr="00A56F38" w:rsidRDefault="00124024" w:rsidP="00803CDA">
      <w:pPr>
        <w:spacing w:after="0" w:line="240" w:lineRule="auto"/>
        <w:jc w:val="center"/>
        <w:rPr>
          <w:rFonts w:ascii="Times New Roman" w:hAnsi="Times New Roman" w:cs="Times New Roman"/>
          <w:b/>
          <w:sz w:val="24"/>
          <w:szCs w:val="24"/>
        </w:rPr>
      </w:pPr>
      <w:r w:rsidRPr="00A56F38">
        <w:rPr>
          <w:rFonts w:ascii="Times New Roman" w:hAnsi="Times New Roman" w:cs="Times New Roman"/>
          <w:b/>
          <w:sz w:val="24"/>
          <w:szCs w:val="24"/>
        </w:rPr>
        <w:t>TECHNINĖ SPECIFIKACIJA</w:t>
      </w:r>
    </w:p>
    <w:p w14:paraId="2E7641ED" w14:textId="104887B5" w:rsidR="00CE70BC" w:rsidRDefault="00CE70BC" w:rsidP="00803CDA">
      <w:pPr>
        <w:spacing w:after="0" w:line="240" w:lineRule="auto"/>
        <w:jc w:val="center"/>
        <w:rPr>
          <w:rFonts w:ascii="Times New Roman" w:hAnsi="Times New Roman" w:cs="Times New Roman"/>
          <w:b/>
          <w:bCs/>
          <w:sz w:val="24"/>
          <w:szCs w:val="24"/>
        </w:rPr>
      </w:pPr>
    </w:p>
    <w:p w14:paraId="7E4B5CC3" w14:textId="77777777" w:rsidR="00B112A0" w:rsidRPr="00F937D5" w:rsidRDefault="00B112A0" w:rsidP="00B112A0">
      <w:pPr>
        <w:numPr>
          <w:ilvl w:val="0"/>
          <w:numId w:val="24"/>
        </w:numPr>
        <w:suppressAutoHyphens/>
        <w:spacing w:after="0" w:line="276" w:lineRule="auto"/>
        <w:contextualSpacing/>
        <w:jc w:val="center"/>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BENDRA INFORMACIJA</w:t>
      </w:r>
    </w:p>
    <w:p w14:paraId="2C329B9A" w14:textId="77777777" w:rsidR="00B112A0" w:rsidRPr="00F937D5" w:rsidRDefault="00B112A0" w:rsidP="00B112A0">
      <w:pPr>
        <w:spacing w:after="0" w:line="240" w:lineRule="auto"/>
        <w:ind w:firstLine="709"/>
        <w:contextualSpacing/>
        <w:rPr>
          <w:rFonts w:ascii="Times New Roman" w:eastAsia="Calibri" w:hAnsi="Times New Roman" w:cs="Times New Roman"/>
          <w:b/>
          <w:sz w:val="24"/>
          <w:szCs w:val="24"/>
        </w:rPr>
      </w:pPr>
    </w:p>
    <w:p w14:paraId="2C88390A" w14:textId="77777777" w:rsidR="00B112A0" w:rsidRPr="00F937D5" w:rsidRDefault="00B112A0" w:rsidP="00B112A0">
      <w:pPr>
        <w:numPr>
          <w:ilvl w:val="1"/>
          <w:numId w:val="25"/>
        </w:numPr>
        <w:suppressAutoHyphens/>
        <w:spacing w:after="0" w:line="240" w:lineRule="auto"/>
        <w:contextualSpacing/>
        <w:textAlignment w:val="baseline"/>
        <w:rPr>
          <w:rFonts w:ascii="Times New Roman" w:eastAsia="Calibri" w:hAnsi="Times New Roman" w:cs="Mangal"/>
          <w:b/>
          <w:bCs/>
          <w:sz w:val="24"/>
          <w:szCs w:val="21"/>
        </w:rPr>
      </w:pPr>
      <w:bookmarkStart w:id="0" w:name="_Toc326962883"/>
      <w:bookmarkStart w:id="1" w:name="_Toc302993286"/>
      <w:bookmarkStart w:id="2" w:name="_Toc300843740"/>
      <w:bookmarkStart w:id="3" w:name="_Toc326962884"/>
      <w:bookmarkStart w:id="4" w:name="_Toc302993287"/>
      <w:bookmarkStart w:id="5" w:name="_Toc300843741"/>
      <w:bookmarkEnd w:id="0"/>
      <w:bookmarkEnd w:id="1"/>
      <w:bookmarkEnd w:id="2"/>
      <w:r w:rsidRPr="00F937D5">
        <w:rPr>
          <w:rFonts w:ascii="Times New Roman" w:eastAsia="Calibri" w:hAnsi="Times New Roman" w:cs="Mangal"/>
          <w:b/>
          <w:bCs/>
          <w:sz w:val="24"/>
          <w:szCs w:val="21"/>
        </w:rPr>
        <w:t>Techninėje specifikacijoje naudojamos sąvokos</w:t>
      </w:r>
      <w:bookmarkEnd w:id="3"/>
      <w:bookmarkEnd w:id="4"/>
      <w:bookmarkEnd w:id="5"/>
    </w:p>
    <w:p w14:paraId="01010329" w14:textId="77777777" w:rsidR="00B112A0" w:rsidRPr="00F937D5" w:rsidRDefault="00B112A0" w:rsidP="00B112A0">
      <w:pPr>
        <w:spacing w:after="0" w:line="240" w:lineRule="auto"/>
        <w:ind w:left="1129"/>
        <w:contextualSpacing/>
        <w:rPr>
          <w:rFonts w:ascii="Times New Roman" w:eastAsia="Calibri" w:hAnsi="Times New Roman" w:cs="Mangal"/>
          <w:b/>
          <w:bCs/>
          <w:sz w:val="24"/>
          <w:szCs w:val="21"/>
        </w:rPr>
      </w:pPr>
    </w:p>
    <w:tbl>
      <w:tblPr>
        <w:tblW w:w="9526" w:type="dxa"/>
        <w:tblInd w:w="108" w:type="dxa"/>
        <w:tblLayout w:type="fixed"/>
        <w:tblLook w:val="04A0" w:firstRow="1" w:lastRow="0" w:firstColumn="1" w:lastColumn="0" w:noHBand="0" w:noVBand="1"/>
      </w:tblPr>
      <w:tblGrid>
        <w:gridCol w:w="2268"/>
        <w:gridCol w:w="7258"/>
      </w:tblGrid>
      <w:tr w:rsidR="00B112A0" w:rsidRPr="00F937D5" w14:paraId="5638C8D9" w14:textId="77777777" w:rsidTr="00165B2B">
        <w:trPr>
          <w:trHeight w:val="413"/>
          <w:tblHead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E2FD29" w14:textId="77777777" w:rsidR="00B112A0" w:rsidRPr="00F937D5" w:rsidRDefault="00B112A0" w:rsidP="00165B2B">
            <w:pPr>
              <w:widowControl w:val="0"/>
              <w:rPr>
                <w:rFonts w:ascii="Times New Roman" w:eastAsia="Times New Roman" w:hAnsi="Times New Roman" w:cs="Times New Roman"/>
                <w:b/>
                <w:bCs/>
                <w:sz w:val="24"/>
                <w:szCs w:val="24"/>
                <w:lang w:eastAsia="lt-LT"/>
              </w:rPr>
            </w:pPr>
            <w:r w:rsidRPr="00F937D5">
              <w:rPr>
                <w:rFonts w:ascii="Times New Roman" w:eastAsia="Times New Roman" w:hAnsi="Times New Roman" w:cs="Times New Roman"/>
                <w:kern w:val="2"/>
                <w:sz w:val="24"/>
                <w:szCs w:val="24"/>
                <w:lang w:eastAsia="ru-RU" w:bidi="hi-IN"/>
              </w:rPr>
              <w:t>Sąvoka / sutrumpinimas</w:t>
            </w:r>
          </w:p>
        </w:tc>
        <w:tc>
          <w:tcPr>
            <w:tcW w:w="7257" w:type="dxa"/>
            <w:tcBorders>
              <w:top w:val="single" w:sz="4" w:space="0" w:color="000000"/>
              <w:bottom w:val="single" w:sz="4" w:space="0" w:color="000000"/>
              <w:right w:val="single" w:sz="4" w:space="0" w:color="000000"/>
            </w:tcBorders>
            <w:shd w:val="clear" w:color="auto" w:fill="auto"/>
          </w:tcPr>
          <w:p w14:paraId="0516C965" w14:textId="77777777" w:rsidR="00B112A0" w:rsidRPr="00F937D5" w:rsidRDefault="00B112A0" w:rsidP="00165B2B">
            <w:pPr>
              <w:widowControl w:val="0"/>
              <w:rPr>
                <w:rFonts w:ascii="Times New Roman" w:eastAsia="Times New Roman" w:hAnsi="Times New Roman" w:cs="Times New Roman"/>
                <w:b/>
                <w:bCs/>
                <w:sz w:val="24"/>
                <w:szCs w:val="24"/>
                <w:lang w:eastAsia="lt-LT"/>
              </w:rPr>
            </w:pPr>
            <w:r w:rsidRPr="00F937D5">
              <w:rPr>
                <w:rFonts w:ascii="Times New Roman" w:eastAsia="Times New Roman" w:hAnsi="Times New Roman" w:cs="Times New Roman"/>
                <w:kern w:val="2"/>
                <w:sz w:val="24"/>
                <w:szCs w:val="24"/>
                <w:lang w:eastAsia="ru-RU" w:bidi="hi-IN"/>
              </w:rPr>
              <w:t>Paaiškinimas</w:t>
            </w:r>
          </w:p>
        </w:tc>
      </w:tr>
      <w:tr w:rsidR="00B112A0" w:rsidRPr="00F937D5" w14:paraId="329011EE"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5B7E01E9"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AN</w:t>
            </w:r>
          </w:p>
        </w:tc>
        <w:tc>
          <w:tcPr>
            <w:tcW w:w="7257" w:type="dxa"/>
            <w:tcBorders>
              <w:bottom w:val="single" w:sz="4" w:space="0" w:color="000000"/>
              <w:right w:val="single" w:sz="4" w:space="0" w:color="000000"/>
            </w:tcBorders>
            <w:shd w:val="clear" w:color="auto" w:fill="auto"/>
          </w:tcPr>
          <w:p w14:paraId="0C1C3E56"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Administracinis nusižengimas</w:t>
            </w:r>
          </w:p>
        </w:tc>
      </w:tr>
      <w:tr w:rsidR="00B112A0" w:rsidRPr="00F937D5" w14:paraId="5A286DFF"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5C0CA323"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 xml:space="preserve">ANK </w:t>
            </w:r>
          </w:p>
        </w:tc>
        <w:tc>
          <w:tcPr>
            <w:tcW w:w="7257" w:type="dxa"/>
            <w:tcBorders>
              <w:bottom w:val="single" w:sz="4" w:space="0" w:color="000000"/>
              <w:right w:val="single" w:sz="4" w:space="0" w:color="000000"/>
            </w:tcBorders>
            <w:shd w:val="clear" w:color="auto" w:fill="auto"/>
          </w:tcPr>
          <w:p w14:paraId="6BDB6116"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Administracinių nusižengimų kodeksas</w:t>
            </w:r>
          </w:p>
        </w:tc>
      </w:tr>
      <w:tr w:rsidR="00B112A0" w:rsidRPr="00F937D5" w14:paraId="03273FFA" w14:textId="77777777" w:rsidTr="00165B2B">
        <w:trPr>
          <w:trHeight w:val="191"/>
        </w:trPr>
        <w:tc>
          <w:tcPr>
            <w:tcW w:w="2268" w:type="dxa"/>
            <w:tcBorders>
              <w:left w:val="single" w:sz="4" w:space="0" w:color="000000"/>
              <w:bottom w:val="single" w:sz="4" w:space="0" w:color="000000"/>
              <w:right w:val="single" w:sz="4" w:space="0" w:color="000000"/>
            </w:tcBorders>
            <w:shd w:val="clear" w:color="auto" w:fill="auto"/>
          </w:tcPr>
          <w:p w14:paraId="5C10A3C8"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ANR arba Registras</w:t>
            </w:r>
          </w:p>
        </w:tc>
        <w:tc>
          <w:tcPr>
            <w:tcW w:w="7257" w:type="dxa"/>
            <w:tcBorders>
              <w:bottom w:val="single" w:sz="4" w:space="0" w:color="000000"/>
              <w:right w:val="single" w:sz="4" w:space="0" w:color="000000"/>
            </w:tcBorders>
            <w:shd w:val="clear" w:color="auto" w:fill="auto"/>
          </w:tcPr>
          <w:p w14:paraId="056808D3"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Administracinių nusižengimų registras</w:t>
            </w:r>
          </w:p>
        </w:tc>
      </w:tr>
      <w:tr w:rsidR="00B112A0" w:rsidRPr="00F937D5" w14:paraId="01CEAD11" w14:textId="77777777" w:rsidTr="00165B2B">
        <w:trPr>
          <w:trHeight w:val="318"/>
        </w:trPr>
        <w:tc>
          <w:tcPr>
            <w:tcW w:w="2268" w:type="dxa"/>
            <w:tcBorders>
              <w:left w:val="single" w:sz="4" w:space="0" w:color="000000"/>
              <w:bottom w:val="single" w:sz="4" w:space="0" w:color="000000"/>
              <w:right w:val="single" w:sz="4" w:space="0" w:color="000000"/>
            </w:tcBorders>
            <w:shd w:val="clear" w:color="auto" w:fill="auto"/>
          </w:tcPr>
          <w:p w14:paraId="13CE0B93"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DPKS</w:t>
            </w:r>
          </w:p>
        </w:tc>
        <w:tc>
          <w:tcPr>
            <w:tcW w:w="7257" w:type="dxa"/>
            <w:tcBorders>
              <w:bottom w:val="single" w:sz="4" w:space="0" w:color="000000"/>
              <w:right w:val="single" w:sz="4" w:space="0" w:color="000000"/>
            </w:tcBorders>
            <w:shd w:val="clear" w:color="auto" w:fill="auto"/>
          </w:tcPr>
          <w:p w14:paraId="629ED142"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Daugiafunkcinė pažeidimų kontrolės sistema</w:t>
            </w:r>
          </w:p>
        </w:tc>
      </w:tr>
      <w:tr w:rsidR="00B112A0" w:rsidRPr="00F937D5" w14:paraId="4DDE56C5" w14:textId="77777777" w:rsidTr="00165B2B">
        <w:trPr>
          <w:trHeight w:val="280"/>
        </w:trPr>
        <w:tc>
          <w:tcPr>
            <w:tcW w:w="2268" w:type="dxa"/>
            <w:tcBorders>
              <w:left w:val="single" w:sz="4" w:space="0" w:color="000000"/>
              <w:bottom w:val="single" w:sz="4" w:space="0" w:color="000000"/>
              <w:right w:val="single" w:sz="4" w:space="0" w:color="000000"/>
            </w:tcBorders>
            <w:shd w:val="clear" w:color="auto" w:fill="auto"/>
          </w:tcPr>
          <w:p w14:paraId="70D221B7"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IBPS</w:t>
            </w:r>
          </w:p>
        </w:tc>
        <w:tc>
          <w:tcPr>
            <w:tcW w:w="7257" w:type="dxa"/>
            <w:tcBorders>
              <w:bottom w:val="single" w:sz="4" w:space="0" w:color="000000"/>
              <w:right w:val="single" w:sz="4" w:space="0" w:color="000000"/>
            </w:tcBorders>
            <w:shd w:val="clear" w:color="auto" w:fill="auto"/>
          </w:tcPr>
          <w:p w14:paraId="486460B2"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Liberation Serif" w:eastAsia="SimSun, 宋体" w:hAnsi="Liberation Serif" w:cs="Arial"/>
                <w:kern w:val="2"/>
                <w:sz w:val="24"/>
                <w:szCs w:val="24"/>
                <w:lang w:eastAsia="zh-CN" w:bidi="hi-IN"/>
              </w:rPr>
              <w:t>Integruota baudžiamojo proceso informacinė sistema</w:t>
            </w:r>
          </w:p>
        </w:tc>
      </w:tr>
      <w:tr w:rsidR="00B112A0" w:rsidRPr="00F937D5" w14:paraId="6F533989" w14:textId="77777777" w:rsidTr="00165B2B">
        <w:trPr>
          <w:trHeight w:val="403"/>
        </w:trPr>
        <w:tc>
          <w:tcPr>
            <w:tcW w:w="2268" w:type="dxa"/>
            <w:tcBorders>
              <w:left w:val="single" w:sz="4" w:space="0" w:color="000000"/>
              <w:bottom w:val="single" w:sz="4" w:space="0" w:color="000000"/>
              <w:right w:val="single" w:sz="4" w:space="0" w:color="000000"/>
            </w:tcBorders>
            <w:shd w:val="clear" w:color="auto" w:fill="auto"/>
          </w:tcPr>
          <w:p w14:paraId="65B38FB1"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IRD</w:t>
            </w:r>
          </w:p>
        </w:tc>
        <w:tc>
          <w:tcPr>
            <w:tcW w:w="7257" w:type="dxa"/>
            <w:tcBorders>
              <w:bottom w:val="single" w:sz="4" w:space="0" w:color="000000"/>
              <w:right w:val="single" w:sz="4" w:space="0" w:color="000000"/>
            </w:tcBorders>
            <w:shd w:val="clear" w:color="auto" w:fill="auto"/>
          </w:tcPr>
          <w:p w14:paraId="349C681F"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Informatikos ir ryšių departamentas prie Lietuvos Respublikos vidaus reikalų ministerijos</w:t>
            </w:r>
          </w:p>
        </w:tc>
      </w:tr>
      <w:tr w:rsidR="00B112A0" w:rsidRPr="00F937D5" w14:paraId="0FD61A48" w14:textId="77777777" w:rsidTr="00165B2B">
        <w:trPr>
          <w:trHeight w:val="277"/>
        </w:trPr>
        <w:tc>
          <w:tcPr>
            <w:tcW w:w="2268" w:type="dxa"/>
            <w:tcBorders>
              <w:left w:val="single" w:sz="4" w:space="0" w:color="000000"/>
              <w:bottom w:val="single" w:sz="4" w:space="0" w:color="000000"/>
              <w:right w:val="single" w:sz="4" w:space="0" w:color="000000"/>
            </w:tcBorders>
            <w:shd w:val="clear" w:color="auto" w:fill="auto"/>
          </w:tcPr>
          <w:p w14:paraId="66D33986"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JAR</w:t>
            </w:r>
          </w:p>
        </w:tc>
        <w:tc>
          <w:tcPr>
            <w:tcW w:w="7257" w:type="dxa"/>
            <w:tcBorders>
              <w:bottom w:val="single" w:sz="4" w:space="0" w:color="000000"/>
              <w:right w:val="single" w:sz="4" w:space="0" w:color="000000"/>
            </w:tcBorders>
            <w:shd w:val="clear" w:color="auto" w:fill="auto"/>
          </w:tcPr>
          <w:p w14:paraId="5052B427"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Juridinių asmenų registras</w:t>
            </w:r>
          </w:p>
        </w:tc>
      </w:tr>
      <w:tr w:rsidR="00B112A0" w:rsidRPr="00F937D5" w14:paraId="5E311532"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23BAF507"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KTPVR</w:t>
            </w:r>
          </w:p>
        </w:tc>
        <w:tc>
          <w:tcPr>
            <w:tcW w:w="7257" w:type="dxa"/>
            <w:tcBorders>
              <w:bottom w:val="single" w:sz="4" w:space="0" w:color="000000"/>
              <w:right w:val="single" w:sz="4" w:space="0" w:color="000000"/>
            </w:tcBorders>
            <w:shd w:val="clear" w:color="auto" w:fill="auto"/>
          </w:tcPr>
          <w:p w14:paraId="5656E236"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Lietuvos Respublikos kelių transporto priemonių vairuotojų registras</w:t>
            </w:r>
          </w:p>
        </w:tc>
      </w:tr>
      <w:tr w:rsidR="00B112A0" w:rsidRPr="00F937D5" w14:paraId="1845973F"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1C07085E"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KTPR</w:t>
            </w:r>
          </w:p>
        </w:tc>
        <w:tc>
          <w:tcPr>
            <w:tcW w:w="7257" w:type="dxa"/>
            <w:tcBorders>
              <w:bottom w:val="single" w:sz="4" w:space="0" w:color="000000"/>
              <w:right w:val="single" w:sz="4" w:space="0" w:color="000000"/>
            </w:tcBorders>
            <w:shd w:val="clear" w:color="auto" w:fill="auto"/>
          </w:tcPr>
          <w:p w14:paraId="54D8B286"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Lietuvos Respublikos kelių transporto priemonių registras</w:t>
            </w:r>
          </w:p>
        </w:tc>
      </w:tr>
      <w:tr w:rsidR="00B112A0" w:rsidRPr="00F937D5" w14:paraId="683ECAC0"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40C81A30" w14:textId="77777777" w:rsidR="00B112A0" w:rsidRPr="00F937D5" w:rsidRDefault="00B112A0" w:rsidP="00165B2B">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MMR</w:t>
            </w:r>
          </w:p>
        </w:tc>
        <w:tc>
          <w:tcPr>
            <w:tcW w:w="7257" w:type="dxa"/>
            <w:tcBorders>
              <w:bottom w:val="single" w:sz="4" w:space="0" w:color="000000"/>
              <w:right w:val="single" w:sz="4" w:space="0" w:color="000000"/>
            </w:tcBorders>
            <w:shd w:val="clear" w:color="auto" w:fill="auto"/>
          </w:tcPr>
          <w:p w14:paraId="57A17628"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Mokesčių mokėtojų registras</w:t>
            </w:r>
          </w:p>
        </w:tc>
      </w:tr>
      <w:tr w:rsidR="00B112A0" w:rsidRPr="00F937D5" w14:paraId="23433A9C"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4BF50902" w14:textId="77777777" w:rsidR="00B112A0" w:rsidRPr="00F937D5" w:rsidRDefault="00B112A0" w:rsidP="00165B2B">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EPP</w:t>
            </w:r>
          </w:p>
        </w:tc>
        <w:tc>
          <w:tcPr>
            <w:tcW w:w="7257" w:type="dxa"/>
            <w:tcBorders>
              <w:bottom w:val="single" w:sz="4" w:space="0" w:color="000000"/>
              <w:right w:val="single" w:sz="4" w:space="0" w:color="000000"/>
            </w:tcBorders>
            <w:shd w:val="clear" w:color="auto" w:fill="auto"/>
          </w:tcPr>
          <w:p w14:paraId="126762BA"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Elektroninių paslaugų portalas</w:t>
            </w:r>
          </w:p>
        </w:tc>
      </w:tr>
      <w:tr w:rsidR="00B112A0" w:rsidRPr="00F937D5" w14:paraId="0787318A"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652C3F9F" w14:textId="77777777" w:rsidR="00B112A0" w:rsidRPr="00F937D5" w:rsidRDefault="00B112A0" w:rsidP="00165B2B">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KET</w:t>
            </w:r>
          </w:p>
        </w:tc>
        <w:tc>
          <w:tcPr>
            <w:tcW w:w="7257" w:type="dxa"/>
            <w:tcBorders>
              <w:bottom w:val="single" w:sz="4" w:space="0" w:color="000000"/>
              <w:right w:val="single" w:sz="4" w:space="0" w:color="000000"/>
            </w:tcBorders>
            <w:shd w:val="clear" w:color="auto" w:fill="auto"/>
          </w:tcPr>
          <w:p w14:paraId="6D91A581"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Kelių eismo taisyklės</w:t>
            </w:r>
          </w:p>
        </w:tc>
      </w:tr>
      <w:tr w:rsidR="00B112A0" w:rsidRPr="00F937D5" w14:paraId="1D2A7444"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68842F5B" w14:textId="77777777" w:rsidR="00B112A0" w:rsidRPr="00F937D5" w:rsidRDefault="00B112A0" w:rsidP="00165B2B">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TPSAIS</w:t>
            </w:r>
          </w:p>
        </w:tc>
        <w:tc>
          <w:tcPr>
            <w:tcW w:w="7257" w:type="dxa"/>
            <w:tcBorders>
              <w:bottom w:val="single" w:sz="4" w:space="0" w:color="000000"/>
              <w:right w:val="single" w:sz="4" w:space="0" w:color="000000"/>
            </w:tcBorders>
            <w:shd w:val="clear" w:color="auto" w:fill="auto"/>
          </w:tcPr>
          <w:p w14:paraId="3219A70D"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Transporto priemonių savininkų apskaitos informacinė sistema</w:t>
            </w:r>
          </w:p>
        </w:tc>
      </w:tr>
      <w:tr w:rsidR="00B112A0" w:rsidRPr="00F937D5" w14:paraId="4FFC487E"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00BB26AE" w14:textId="77777777" w:rsidR="00B112A0" w:rsidRPr="00F937D5" w:rsidRDefault="00B112A0" w:rsidP="00165B2B">
            <w:pPr>
              <w:widowControl w:val="0"/>
              <w:spacing w:after="0"/>
              <w:rPr>
                <w:rFonts w:ascii="Times New Roman" w:eastAsia="SimSu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PFS</w:t>
            </w:r>
          </w:p>
        </w:tc>
        <w:tc>
          <w:tcPr>
            <w:tcW w:w="7257" w:type="dxa"/>
            <w:tcBorders>
              <w:bottom w:val="single" w:sz="4" w:space="0" w:color="000000"/>
              <w:right w:val="single" w:sz="4" w:space="0" w:color="000000"/>
            </w:tcBorders>
            <w:shd w:val="clear" w:color="auto" w:fill="auto"/>
          </w:tcPr>
          <w:p w14:paraId="26C789C0"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ANR)</w:t>
            </w:r>
          </w:p>
        </w:tc>
      </w:tr>
      <w:tr w:rsidR="00B112A0" w:rsidRPr="00F937D5" w14:paraId="5B969CAA"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1C75E287"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proofErr w:type="spellStart"/>
            <w:r w:rsidRPr="00F937D5">
              <w:rPr>
                <w:rFonts w:ascii="Times New Roman" w:eastAsia="Times New Roman" w:hAnsi="Times New Roman" w:cs="Times New Roman"/>
                <w:kern w:val="2"/>
                <w:sz w:val="24"/>
                <w:szCs w:val="24"/>
                <w:lang w:eastAsia="ru-RU" w:bidi="hi-IN"/>
              </w:rPr>
              <w:t>Gitlab</w:t>
            </w:r>
            <w:proofErr w:type="spellEnd"/>
          </w:p>
        </w:tc>
        <w:tc>
          <w:tcPr>
            <w:tcW w:w="7257" w:type="dxa"/>
            <w:tcBorders>
              <w:bottom w:val="single" w:sz="4" w:space="0" w:color="000000"/>
              <w:right w:val="single" w:sz="4" w:space="0" w:color="000000"/>
            </w:tcBorders>
            <w:shd w:val="clear" w:color="auto" w:fill="auto"/>
          </w:tcPr>
          <w:p w14:paraId="7180219E"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IRD pateikta programų išeities tekstų versijų kontrolės sistemos aplinka</w:t>
            </w:r>
          </w:p>
        </w:tc>
      </w:tr>
      <w:tr w:rsidR="00B112A0" w:rsidRPr="00F937D5" w14:paraId="332904C9"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3C04FFBF"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ROIK</w:t>
            </w:r>
          </w:p>
        </w:tc>
        <w:tc>
          <w:tcPr>
            <w:tcW w:w="7257" w:type="dxa"/>
            <w:tcBorders>
              <w:bottom w:val="single" w:sz="4" w:space="0" w:color="000000"/>
              <w:right w:val="single" w:sz="4" w:space="0" w:color="000000"/>
            </w:tcBorders>
            <w:shd w:val="clear" w:color="auto" w:fill="auto"/>
          </w:tcPr>
          <w:p w14:paraId="26D421FF" w14:textId="77777777" w:rsidR="00B112A0" w:rsidRPr="00F937D5" w:rsidRDefault="00B112A0" w:rsidP="00165B2B">
            <w:pPr>
              <w:widowControl w:val="0"/>
              <w:spacing w:after="0"/>
              <w:rPr>
                <w:rFonts w:ascii="Times New Roman" w:eastAsia="Calibri" w:hAnsi="Times New Roman" w:cs="Times New Roman"/>
                <w:sz w:val="24"/>
                <w:szCs w:val="24"/>
              </w:rPr>
            </w:pPr>
            <w:r w:rsidRPr="00F937D5">
              <w:rPr>
                <w:rFonts w:ascii="Times New Roman" w:eastAsia="Times New Roman" w:hAnsi="Times New Roman" w:cs="Times New Roman"/>
                <w:kern w:val="2"/>
                <w:sz w:val="24"/>
                <w:szCs w:val="24"/>
                <w:lang w:eastAsia="ru-RU" w:bidi="hi-IN"/>
              </w:rPr>
              <w:t>Administracinių nusižengimų registro objekto identifikacinis kodas</w:t>
            </w:r>
          </w:p>
        </w:tc>
      </w:tr>
      <w:tr w:rsidR="00B112A0" w:rsidRPr="00F937D5" w14:paraId="3D7B7776"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47A961FE"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PĮ</w:t>
            </w:r>
          </w:p>
        </w:tc>
        <w:tc>
          <w:tcPr>
            <w:tcW w:w="7257" w:type="dxa"/>
            <w:tcBorders>
              <w:bottom w:val="single" w:sz="4" w:space="0" w:color="000000"/>
              <w:right w:val="single" w:sz="4" w:space="0" w:color="000000"/>
            </w:tcBorders>
            <w:shd w:val="clear" w:color="auto" w:fill="auto"/>
          </w:tcPr>
          <w:p w14:paraId="48213859"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Programinė įranga</w:t>
            </w:r>
          </w:p>
        </w:tc>
      </w:tr>
      <w:tr w:rsidR="00B112A0" w:rsidRPr="00F937D5" w14:paraId="78C3673D"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44A2CE7F"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PO</w:t>
            </w:r>
          </w:p>
        </w:tc>
        <w:tc>
          <w:tcPr>
            <w:tcW w:w="7257" w:type="dxa"/>
            <w:tcBorders>
              <w:bottom w:val="single" w:sz="4" w:space="0" w:color="000000"/>
              <w:right w:val="single" w:sz="4" w:space="0" w:color="000000"/>
            </w:tcBorders>
            <w:shd w:val="clear" w:color="auto" w:fill="auto"/>
          </w:tcPr>
          <w:p w14:paraId="34D8B5CE"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Perkančioji organizacija</w:t>
            </w:r>
          </w:p>
        </w:tc>
      </w:tr>
      <w:tr w:rsidR="00B112A0" w:rsidRPr="00F937D5" w14:paraId="234FB22D"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7B5C9355"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TA</w:t>
            </w:r>
          </w:p>
        </w:tc>
        <w:tc>
          <w:tcPr>
            <w:tcW w:w="7257" w:type="dxa"/>
            <w:tcBorders>
              <w:bottom w:val="single" w:sz="4" w:space="0" w:color="000000"/>
              <w:right w:val="single" w:sz="4" w:space="0" w:color="000000"/>
            </w:tcBorders>
            <w:shd w:val="clear" w:color="auto" w:fill="auto"/>
          </w:tcPr>
          <w:p w14:paraId="298D0D9B"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Transporto techninė apžiūra</w:t>
            </w:r>
          </w:p>
        </w:tc>
      </w:tr>
      <w:tr w:rsidR="00B112A0" w:rsidRPr="00F937D5" w14:paraId="1A032459"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43732B09"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TP</w:t>
            </w:r>
          </w:p>
        </w:tc>
        <w:tc>
          <w:tcPr>
            <w:tcW w:w="7257" w:type="dxa"/>
            <w:tcBorders>
              <w:bottom w:val="single" w:sz="4" w:space="0" w:color="000000"/>
              <w:right w:val="single" w:sz="4" w:space="0" w:color="000000"/>
            </w:tcBorders>
            <w:shd w:val="clear" w:color="auto" w:fill="auto"/>
          </w:tcPr>
          <w:p w14:paraId="3446C512"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Transporto priemonė</w:t>
            </w:r>
          </w:p>
        </w:tc>
      </w:tr>
      <w:tr w:rsidR="00B112A0" w:rsidRPr="00F937D5" w14:paraId="3CDCB95A"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059637E3"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VP</w:t>
            </w:r>
          </w:p>
        </w:tc>
        <w:tc>
          <w:tcPr>
            <w:tcW w:w="7257" w:type="dxa"/>
            <w:tcBorders>
              <w:bottom w:val="single" w:sz="4" w:space="0" w:color="000000"/>
              <w:right w:val="single" w:sz="4" w:space="0" w:color="000000"/>
            </w:tcBorders>
            <w:shd w:val="clear" w:color="auto" w:fill="auto"/>
          </w:tcPr>
          <w:p w14:paraId="6EEAB2DD"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Vairuotojo pažymėjimas</w:t>
            </w:r>
          </w:p>
        </w:tc>
      </w:tr>
      <w:tr w:rsidR="00B112A0" w:rsidRPr="00F937D5" w14:paraId="7234EEF8"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7ABF8F47"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VTADB</w:t>
            </w:r>
          </w:p>
        </w:tc>
        <w:tc>
          <w:tcPr>
            <w:tcW w:w="7257" w:type="dxa"/>
            <w:tcBorders>
              <w:bottom w:val="single" w:sz="4" w:space="0" w:color="000000"/>
              <w:right w:val="single" w:sz="4" w:space="0" w:color="000000"/>
            </w:tcBorders>
            <w:shd w:val="clear" w:color="auto" w:fill="auto"/>
          </w:tcPr>
          <w:p w14:paraId="21E891FA"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Valstybinės techninės apžiūros duomenų bazė</w:t>
            </w:r>
          </w:p>
        </w:tc>
      </w:tr>
      <w:tr w:rsidR="00B112A0" w:rsidRPr="00F937D5" w14:paraId="6F458FF9"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73C0A769"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MAIS</w:t>
            </w:r>
          </w:p>
        </w:tc>
        <w:tc>
          <w:tcPr>
            <w:tcW w:w="7257" w:type="dxa"/>
            <w:tcBorders>
              <w:bottom w:val="single" w:sz="4" w:space="0" w:color="000000"/>
              <w:right w:val="single" w:sz="4" w:space="0" w:color="000000"/>
            </w:tcBorders>
            <w:shd w:val="clear" w:color="auto" w:fill="auto"/>
          </w:tcPr>
          <w:p w14:paraId="40E36925"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Mokesčių apskaitos informacinė sistema</w:t>
            </w:r>
          </w:p>
        </w:tc>
      </w:tr>
      <w:tr w:rsidR="00B112A0" w:rsidRPr="00F937D5" w14:paraId="2A96BE29"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5AB133FF"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UR</w:t>
            </w:r>
          </w:p>
        </w:tc>
        <w:tc>
          <w:tcPr>
            <w:tcW w:w="7257" w:type="dxa"/>
            <w:tcBorders>
              <w:bottom w:val="single" w:sz="4" w:space="0" w:color="000000"/>
              <w:right w:val="single" w:sz="4" w:space="0" w:color="000000"/>
            </w:tcBorders>
            <w:shd w:val="clear" w:color="auto" w:fill="auto"/>
          </w:tcPr>
          <w:p w14:paraId="5B24B73E"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Užsieniečių registras</w:t>
            </w:r>
          </w:p>
        </w:tc>
      </w:tr>
      <w:tr w:rsidR="00B112A0" w:rsidRPr="00F937D5" w14:paraId="58CAC3C1"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7409EF4D"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ILTU</w:t>
            </w:r>
          </w:p>
        </w:tc>
        <w:tc>
          <w:tcPr>
            <w:tcW w:w="7257" w:type="dxa"/>
            <w:tcBorders>
              <w:bottom w:val="single" w:sz="4" w:space="0" w:color="000000"/>
              <w:right w:val="single" w:sz="4" w:space="0" w:color="000000"/>
            </w:tcBorders>
            <w:shd w:val="clear" w:color="auto" w:fill="auto"/>
          </w:tcPr>
          <w:p w14:paraId="3C2E56F5"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Užsienio fizinio asmens identifikacinis kodas</w:t>
            </w:r>
          </w:p>
        </w:tc>
      </w:tr>
      <w:tr w:rsidR="00B112A0" w:rsidRPr="00F937D5" w14:paraId="37A5A7E3"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75C49947"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MIGRIS</w:t>
            </w:r>
          </w:p>
        </w:tc>
        <w:tc>
          <w:tcPr>
            <w:tcW w:w="7257" w:type="dxa"/>
            <w:tcBorders>
              <w:bottom w:val="single" w:sz="4" w:space="0" w:color="000000"/>
              <w:right w:val="single" w:sz="4" w:space="0" w:color="000000"/>
            </w:tcBorders>
            <w:shd w:val="clear" w:color="auto" w:fill="auto"/>
          </w:tcPr>
          <w:p w14:paraId="123934A7" w14:textId="77777777" w:rsidR="00B112A0" w:rsidRPr="00F937D5" w:rsidRDefault="00B112A0" w:rsidP="00165B2B">
            <w:pPr>
              <w:widowControl w:val="0"/>
              <w:spacing w:after="0"/>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Migracijos departamento prie Lietuvos Respublikos vidaus reikalų ministerijos informacinė sistema</w:t>
            </w:r>
          </w:p>
        </w:tc>
      </w:tr>
      <w:tr w:rsidR="00B112A0" w:rsidRPr="00F937D5" w14:paraId="1135F4B0" w14:textId="77777777" w:rsidTr="00165B2B">
        <w:trPr>
          <w:trHeight w:val="300"/>
        </w:trPr>
        <w:tc>
          <w:tcPr>
            <w:tcW w:w="2268" w:type="dxa"/>
            <w:tcBorders>
              <w:left w:val="single" w:sz="4" w:space="0" w:color="000000"/>
              <w:bottom w:val="single" w:sz="4" w:space="0" w:color="000000"/>
              <w:right w:val="single" w:sz="4" w:space="0" w:color="000000"/>
            </w:tcBorders>
            <w:shd w:val="clear" w:color="auto" w:fill="auto"/>
          </w:tcPr>
          <w:p w14:paraId="6926724C"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LKPT</w:t>
            </w:r>
          </w:p>
        </w:tc>
        <w:tc>
          <w:tcPr>
            <w:tcW w:w="7257" w:type="dxa"/>
            <w:tcBorders>
              <w:bottom w:val="single" w:sz="4" w:space="0" w:color="000000"/>
              <w:right w:val="single" w:sz="4" w:space="0" w:color="000000"/>
            </w:tcBorders>
            <w:shd w:val="clear" w:color="auto" w:fill="auto"/>
          </w:tcPr>
          <w:p w14:paraId="02FBCEB7" w14:textId="77777777" w:rsidR="00B112A0" w:rsidRPr="00F937D5" w:rsidRDefault="00B112A0" w:rsidP="00165B2B">
            <w:pPr>
              <w:widowControl w:val="0"/>
              <w:spacing w:after="0"/>
              <w:rPr>
                <w:rFonts w:ascii="Times New Roman" w:eastAsia="Times New Roman" w:hAnsi="Times New Roman" w:cs="Times New Roman"/>
                <w:sz w:val="24"/>
                <w:szCs w:val="24"/>
                <w:lang w:eastAsia="lt-LT"/>
              </w:rPr>
            </w:pPr>
            <w:r w:rsidRPr="00F937D5">
              <w:rPr>
                <w:rFonts w:ascii="Times New Roman" w:eastAsia="Times New Roman" w:hAnsi="Times New Roman" w:cs="Times New Roman"/>
                <w:kern w:val="2"/>
                <w:sz w:val="24"/>
                <w:szCs w:val="24"/>
                <w:lang w:eastAsia="ru-RU" w:bidi="hi-IN"/>
              </w:rPr>
              <w:t>Lietuvos kelių policijos tarnyba</w:t>
            </w:r>
          </w:p>
        </w:tc>
      </w:tr>
    </w:tbl>
    <w:p w14:paraId="5DF8ABE0" w14:textId="77777777" w:rsidR="00B112A0" w:rsidRPr="00F937D5" w:rsidRDefault="00B112A0" w:rsidP="00B112A0">
      <w:pPr>
        <w:suppressAutoHyphens/>
        <w:spacing w:after="0" w:line="240" w:lineRule="auto"/>
        <w:textAlignment w:val="baseline"/>
        <w:rPr>
          <w:rFonts w:ascii="Liberation Serif" w:eastAsia="SimSun, 宋体" w:hAnsi="Liberation Serif" w:cs="Arial"/>
          <w:kern w:val="2"/>
          <w:sz w:val="24"/>
          <w:szCs w:val="24"/>
          <w:lang w:eastAsia="zh-CN" w:bidi="hi-IN"/>
        </w:rPr>
      </w:pPr>
    </w:p>
    <w:p w14:paraId="785BB629" w14:textId="77777777" w:rsidR="00B112A0" w:rsidRPr="00F937D5" w:rsidRDefault="00B112A0" w:rsidP="00B112A0">
      <w:pPr>
        <w:numPr>
          <w:ilvl w:val="0"/>
          <w:numId w:val="24"/>
        </w:numPr>
        <w:tabs>
          <w:tab w:val="left" w:pos="567"/>
          <w:tab w:val="left" w:pos="851"/>
        </w:tabs>
        <w:suppressAutoHyphens/>
        <w:spacing w:after="0" w:line="276" w:lineRule="auto"/>
        <w:contextualSpacing/>
        <w:jc w:val="center"/>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PIRKIMO OBJEKTAS</w:t>
      </w:r>
    </w:p>
    <w:p w14:paraId="7168384E" w14:textId="77777777" w:rsidR="00B112A0" w:rsidRPr="00F937D5" w:rsidRDefault="00B112A0" w:rsidP="00B112A0">
      <w:pPr>
        <w:spacing w:after="0" w:line="240" w:lineRule="auto"/>
        <w:ind w:firstLine="680"/>
        <w:rPr>
          <w:rFonts w:ascii="Times New Roman" w:eastAsia="Calibri" w:hAnsi="Times New Roman" w:cs="Times New Roman"/>
          <w:b/>
          <w:sz w:val="24"/>
          <w:szCs w:val="24"/>
        </w:rPr>
      </w:pPr>
    </w:p>
    <w:p w14:paraId="4644FA74" w14:textId="77777777" w:rsidR="00B112A0" w:rsidRPr="00F937D5" w:rsidRDefault="00B112A0" w:rsidP="00B112A0">
      <w:pPr>
        <w:numPr>
          <w:ilvl w:val="1"/>
          <w:numId w:val="26"/>
        </w:numPr>
        <w:tabs>
          <w:tab w:val="left" w:pos="709"/>
        </w:tabs>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Pirkimo objektas yra Registro PĮ modifikavimas ir jos įdiegimas pagal šios Techninės specifikacijos reikalavimus </w:t>
      </w:r>
      <w:r w:rsidRPr="00F937D5">
        <w:rPr>
          <w:rFonts w:ascii="Times New Roman" w:eastAsia="Calibri" w:hAnsi="Times New Roman" w:cs="Times New Roman"/>
          <w:kern w:val="2"/>
          <w:sz w:val="24"/>
          <w:szCs w:val="24"/>
          <w:lang w:eastAsia="ru-RU" w:bidi="hi-IN"/>
        </w:rPr>
        <w:t>ir Registro PĮ priežiūros paslaugos iki 1700 valandų, užsakytiems pakeitimams ir patobulinimams atlikti, suteikta</w:t>
      </w:r>
      <w:r w:rsidRPr="00F937D5">
        <w:rPr>
          <w:rFonts w:ascii="Times New Roman" w:eastAsia="Calibri" w:hAnsi="Times New Roman" w:cs="Times New Roman"/>
          <w:sz w:val="24"/>
          <w:szCs w:val="24"/>
        </w:rPr>
        <w:t xml:space="preserve"> garantinė priežiūra Registro PĮ pakeitimams.</w:t>
      </w:r>
    </w:p>
    <w:p w14:paraId="5F490031" w14:textId="02733D26" w:rsidR="00B112A0" w:rsidRPr="00F937D5" w:rsidRDefault="00B112A0" w:rsidP="00B112A0">
      <w:pPr>
        <w:numPr>
          <w:ilvl w:val="1"/>
          <w:numId w:val="26"/>
        </w:numPr>
        <w:tabs>
          <w:tab w:val="left" w:pos="709"/>
        </w:tabs>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Registro PĮ modifikavimas ir jos įdiegimas atliekamas pagal Paslaugų teikimo grafiką (projekto veiklų tvarkaraštį), kuris Tiekėjo suderinamas su Perkančiąja organizacija </w:t>
      </w:r>
      <w:r w:rsidRPr="00F937D5">
        <w:rPr>
          <w:rFonts w:ascii="Times New Roman" w:eastAsia="Calibri" w:hAnsi="Times New Roman" w:cs="Times New Roman"/>
          <w:kern w:val="2"/>
          <w:sz w:val="24"/>
          <w:szCs w:val="24"/>
          <w:lang w:eastAsia="ru-RU" w:bidi="hi-IN"/>
        </w:rPr>
        <w:t xml:space="preserve">ir pasirašomas per 10 (dešimt) darbo dienų nuo </w:t>
      </w:r>
      <w:r w:rsidR="00E55602">
        <w:rPr>
          <w:rFonts w:ascii="Times New Roman" w:eastAsia="Calibri" w:hAnsi="Times New Roman" w:cs="Times New Roman"/>
          <w:kern w:val="2"/>
          <w:sz w:val="24"/>
          <w:szCs w:val="24"/>
          <w:lang w:eastAsia="ru-RU" w:bidi="hi-IN"/>
        </w:rPr>
        <w:t>S</w:t>
      </w:r>
      <w:r w:rsidRPr="00F937D5">
        <w:rPr>
          <w:rFonts w:ascii="Times New Roman" w:eastAsia="Calibri" w:hAnsi="Times New Roman" w:cs="Times New Roman"/>
          <w:kern w:val="2"/>
          <w:sz w:val="24"/>
          <w:szCs w:val="24"/>
          <w:lang w:eastAsia="ru-RU" w:bidi="hi-IN"/>
        </w:rPr>
        <w:t>utarties įsigaliojimo dienos</w:t>
      </w:r>
      <w:r w:rsidRPr="00F937D5">
        <w:rPr>
          <w:rFonts w:ascii="Times New Roman" w:eastAsia="Calibri" w:hAnsi="Times New Roman" w:cs="Times New Roman"/>
          <w:sz w:val="24"/>
          <w:szCs w:val="24"/>
        </w:rPr>
        <w:t xml:space="preserve">. </w:t>
      </w:r>
      <w:r w:rsidRPr="00F937D5">
        <w:rPr>
          <w:rFonts w:ascii="Times New Roman" w:eastAsia="Calibri" w:hAnsi="Times New Roman" w:cs="Times New Roman"/>
          <w:kern w:val="2"/>
          <w:sz w:val="24"/>
          <w:szCs w:val="24"/>
          <w:lang w:eastAsia="ru-RU" w:bidi="hi-IN"/>
        </w:rPr>
        <w:t xml:space="preserve">Paslaugų teikimo grafike nurodomi terminai laikantis šių reikalavimų: Registro PĮ modifikavimo paslaugos ir įdiegimas pagal šios Techninės specifikacijos III skyriuje nurodytus reikalavimus turi būti atlikti per 24 (dvidešimt keturis) mėnesius nuo </w:t>
      </w:r>
      <w:r w:rsidR="005B16D5">
        <w:rPr>
          <w:rFonts w:ascii="Times New Roman" w:eastAsia="Calibri" w:hAnsi="Times New Roman" w:cs="Times New Roman"/>
          <w:kern w:val="2"/>
          <w:sz w:val="24"/>
          <w:szCs w:val="24"/>
          <w:lang w:eastAsia="ru-RU" w:bidi="hi-IN"/>
        </w:rPr>
        <w:t>S</w:t>
      </w:r>
      <w:r w:rsidRPr="00F937D5">
        <w:rPr>
          <w:rFonts w:ascii="Times New Roman" w:eastAsia="Calibri" w:hAnsi="Times New Roman" w:cs="Times New Roman"/>
          <w:kern w:val="2"/>
          <w:sz w:val="24"/>
          <w:szCs w:val="24"/>
          <w:lang w:eastAsia="ru-RU" w:bidi="hi-IN"/>
        </w:rPr>
        <w:t>utarties įsigaliojimo datos. Modifikuotos konkrečios Registro PĮ garantinė priežiūra turi būti vykdoma 12 (dvylika) mėnesių nuo šios Registro PĮ modifikavimo perdavimo-priėmimo akto pasirašymo dienos.</w:t>
      </w:r>
    </w:p>
    <w:p w14:paraId="0E993FA8" w14:textId="19FD957A" w:rsidR="00B112A0" w:rsidRPr="00F937D5" w:rsidRDefault="00B112A0" w:rsidP="00B112A0">
      <w:pPr>
        <w:numPr>
          <w:ilvl w:val="1"/>
          <w:numId w:val="26"/>
        </w:numPr>
        <w:tabs>
          <w:tab w:val="left" w:pos="709"/>
        </w:tabs>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Registro PĮ priežiūros paslaugos teikiamos pagal Perkančiosios organizacijos poreikį šios specifikacijos 21 punkte nustatyta tvarka pagal</w:t>
      </w:r>
      <w:r w:rsidRPr="00F937D5">
        <w:rPr>
          <w:rFonts w:ascii="Times New Roman" w:eastAsia="Times New Roman" w:hAnsi="Times New Roman" w:cs="Times New Roman"/>
          <w:kern w:val="2"/>
          <w:sz w:val="24"/>
          <w:szCs w:val="24"/>
          <w:lang w:eastAsia="ru-RU" w:bidi="hi-IN"/>
        </w:rPr>
        <w:t xml:space="preserve"> </w:t>
      </w:r>
      <w:r w:rsidRPr="00F937D5">
        <w:rPr>
          <w:rFonts w:ascii="Times New Roman" w:eastAsia="Calibri" w:hAnsi="Times New Roman" w:cs="Times New Roman"/>
          <w:sz w:val="24"/>
          <w:szCs w:val="24"/>
        </w:rPr>
        <w:t>šios Techninės specifikacijos III skyriuje nurodytus reikalavimus</w:t>
      </w:r>
      <w:r>
        <w:rPr>
          <w:rFonts w:ascii="Times New Roman" w:eastAsia="Calibri" w:hAnsi="Times New Roman" w:cs="Times New Roman"/>
          <w:sz w:val="24"/>
          <w:szCs w:val="24"/>
        </w:rPr>
        <w:t xml:space="preserve"> </w:t>
      </w:r>
      <w:r w:rsidRPr="00E13053">
        <w:rPr>
          <w:rFonts w:ascii="Times New Roman" w:eastAsia="Calibri" w:hAnsi="Times New Roman" w:cs="Times New Roman"/>
          <w:sz w:val="24"/>
          <w:szCs w:val="24"/>
        </w:rPr>
        <w:t xml:space="preserve">24 (dvidešimt keturis) mėnesius nuo </w:t>
      </w:r>
      <w:r w:rsidR="00E55602">
        <w:rPr>
          <w:rFonts w:ascii="Times New Roman" w:eastAsia="Calibri" w:hAnsi="Times New Roman" w:cs="Times New Roman"/>
          <w:sz w:val="24"/>
          <w:szCs w:val="24"/>
        </w:rPr>
        <w:t>S</w:t>
      </w:r>
      <w:r w:rsidRPr="00E13053">
        <w:rPr>
          <w:rFonts w:ascii="Times New Roman" w:eastAsia="Calibri" w:hAnsi="Times New Roman" w:cs="Times New Roman"/>
          <w:sz w:val="24"/>
          <w:szCs w:val="24"/>
        </w:rPr>
        <w:t>utarties įsigaliojimo dienos užsakymų vertinimuose nustatytais terminais</w:t>
      </w:r>
      <w:r w:rsidRPr="00F937D5">
        <w:rPr>
          <w:rFonts w:ascii="Times New Roman" w:eastAsia="Calibri" w:hAnsi="Times New Roman" w:cs="Times New Roman"/>
          <w:sz w:val="24"/>
          <w:szCs w:val="24"/>
        </w:rPr>
        <w:t>. Konkrečios Registro PĮ priežiūros paslaugos rezultatams garantinė priežiūra turi būti vykdoma 12 (dvylika) mėnesių nuo šios Registro PĮ priežiūros perdavimo-priėmimo akto pasirašymo dienos.</w:t>
      </w:r>
    </w:p>
    <w:p w14:paraId="282BBA11" w14:textId="77777777" w:rsidR="00B112A0" w:rsidRPr="00F937D5" w:rsidRDefault="00B112A0" w:rsidP="00B112A0">
      <w:pPr>
        <w:numPr>
          <w:ilvl w:val="1"/>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Pirkimo užduočiai įvykdyti Tiekėjas privalės:</w:t>
      </w:r>
    </w:p>
    <w:p w14:paraId="308DF432"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kern w:val="2"/>
          <w:sz w:val="24"/>
          <w:szCs w:val="24"/>
          <w:lang w:eastAsia="ru-RU" w:bidi="hi-IN"/>
        </w:rPr>
        <w:t>atlikti funkcionalumo analizę ir projektavimą, parengti analizės ir projektavimo dokumentaciją ir suderinti su Perkančiąja organizacija;</w:t>
      </w:r>
    </w:p>
    <w:p w14:paraId="50DDE9B8"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modifikuoti esamą Registro PĮ pagal III skyriuje nurodytus reikalavimus;</w:t>
      </w:r>
    </w:p>
    <w:p w14:paraId="6C5C2397"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modifikuotą (sukurtą) PĮ įdiegti į IRD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aplinką ir dalyvauti testuojant;</w:t>
      </w:r>
    </w:p>
    <w:p w14:paraId="25CE3957"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modifikuotą (sukurtą) ir ištestuotą PĮ įdiegti į IRD darbinę aplinką;</w:t>
      </w:r>
    </w:p>
    <w:p w14:paraId="737A7E37"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atnaujinant esamą ar sukurti naują Registro dokumentaciją;</w:t>
      </w:r>
    </w:p>
    <w:p w14:paraId="3D490C5A" w14:textId="77777777" w:rsidR="00B112A0" w:rsidRPr="00F937D5" w:rsidRDefault="00B112A0" w:rsidP="00B112A0">
      <w:pPr>
        <w:numPr>
          <w:ilvl w:val="2"/>
          <w:numId w:val="26"/>
        </w:numPr>
        <w:suppressAutoHyphens/>
        <w:spacing w:after="0" w:line="240" w:lineRule="auto"/>
        <w:ind w:left="0" w:firstLine="709"/>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teikti Registro PĮ pakeitimams garantinės priežiūros paslaugą.</w:t>
      </w:r>
    </w:p>
    <w:p w14:paraId="366BA2A7" w14:textId="77777777" w:rsidR="00B112A0" w:rsidRPr="00F937D5" w:rsidRDefault="00B112A0" w:rsidP="00B112A0">
      <w:pPr>
        <w:spacing w:after="0"/>
        <w:ind w:firstLine="709"/>
        <w:contextualSpacing/>
        <w:rPr>
          <w:rFonts w:ascii="Times New Roman" w:eastAsia="Calibri" w:hAnsi="Times New Roman" w:cs="Times New Roman"/>
          <w:sz w:val="24"/>
          <w:szCs w:val="24"/>
        </w:rPr>
      </w:pPr>
      <w:r w:rsidRPr="00F937D5">
        <w:rPr>
          <w:rFonts w:ascii="Times New Roman" w:eastAsia="Calibri" w:hAnsi="Times New Roman" w:cs="Times New Roman"/>
          <w:sz w:val="24"/>
          <w:szCs w:val="24"/>
        </w:rPr>
        <w:t>2.5.</w:t>
      </w:r>
      <w:r w:rsidRPr="00F937D5">
        <w:rPr>
          <w:rFonts w:ascii="Times New Roman" w:eastAsia="Times New Roman" w:hAnsi="Times New Roman" w:cs="Times New Roman"/>
          <w:kern w:val="2"/>
          <w:sz w:val="24"/>
          <w:szCs w:val="24"/>
          <w:lang w:eastAsia="ru-RU" w:bidi="hi-IN"/>
        </w:rPr>
        <w:t xml:space="preserve"> </w:t>
      </w:r>
      <w:r w:rsidRPr="00F937D5">
        <w:rPr>
          <w:rFonts w:ascii="Times New Roman" w:eastAsia="Calibri" w:hAnsi="Times New Roman" w:cs="Times New Roman"/>
          <w:sz w:val="24"/>
          <w:szCs w:val="24"/>
        </w:rPr>
        <w:t>Pirkimo objektui taikomi reikalavimai</w:t>
      </w:r>
      <w:r>
        <w:rPr>
          <w:rFonts w:ascii="Times New Roman" w:eastAsia="Calibri" w:hAnsi="Times New Roman" w:cs="Times New Roman"/>
          <w:sz w:val="24"/>
          <w:szCs w:val="24"/>
        </w:rPr>
        <w:t>,</w:t>
      </w:r>
      <w:r w:rsidRPr="00F937D5">
        <w:rPr>
          <w:rFonts w:ascii="Times New Roman" w:eastAsia="Calibri" w:hAnsi="Times New Roman" w:cs="Times New Roman"/>
          <w:sz w:val="24"/>
          <w:szCs w:val="24"/>
        </w:rPr>
        <w:t xml:space="preserve"> susiję su nacionaliniu saugumu:</w:t>
      </w:r>
    </w:p>
    <w:tbl>
      <w:tblPr>
        <w:tblW w:w="9944" w:type="dxa"/>
        <w:tblInd w:w="-29" w:type="dxa"/>
        <w:tblLayout w:type="fixed"/>
        <w:tblCellMar>
          <w:top w:w="57" w:type="dxa"/>
          <w:left w:w="57" w:type="dxa"/>
          <w:bottom w:w="57" w:type="dxa"/>
          <w:right w:w="57" w:type="dxa"/>
        </w:tblCellMar>
        <w:tblLook w:val="04A0" w:firstRow="1" w:lastRow="0" w:firstColumn="1" w:lastColumn="0" w:noHBand="0" w:noVBand="1"/>
      </w:tblPr>
      <w:tblGrid>
        <w:gridCol w:w="863"/>
        <w:gridCol w:w="9081"/>
      </w:tblGrid>
      <w:tr w:rsidR="00B112A0" w:rsidRPr="00DE4C08" w14:paraId="617B554A" w14:textId="77777777" w:rsidTr="00165B2B">
        <w:tc>
          <w:tcPr>
            <w:tcW w:w="863" w:type="dxa"/>
            <w:tcBorders>
              <w:top w:val="single" w:sz="4" w:space="0" w:color="000000"/>
              <w:left w:val="single" w:sz="6" w:space="0" w:color="000000"/>
              <w:bottom w:val="single" w:sz="4" w:space="0" w:color="000000"/>
              <w:right w:val="nil"/>
            </w:tcBorders>
          </w:tcPr>
          <w:p w14:paraId="5A4B9EDB" w14:textId="77777777" w:rsidR="00B112A0" w:rsidRPr="00DE4C08" w:rsidRDefault="00B112A0" w:rsidP="00165B2B">
            <w:pPr>
              <w:widowControl w:val="0"/>
              <w:tabs>
                <w:tab w:val="left" w:pos="244"/>
                <w:tab w:val="left" w:pos="527"/>
              </w:tabs>
              <w:suppressAutoHyphens/>
              <w:snapToGrid w:val="0"/>
              <w:spacing w:after="0" w:line="240" w:lineRule="auto"/>
              <w:ind w:left="57"/>
              <w:contextualSpacing/>
              <w:rPr>
                <w:rFonts w:ascii="Times New Roman" w:eastAsia="Times New Roman" w:hAnsi="Times New Roman" w:cs="Times New Roman"/>
                <w:bCs/>
                <w:color w:val="000000"/>
              </w:rPr>
            </w:pPr>
            <w:r w:rsidRPr="00DE4C08">
              <w:rPr>
                <w:rFonts w:ascii="Times New Roman" w:eastAsia="Times New Roman" w:hAnsi="Times New Roman" w:cs="Times New Roman"/>
                <w:bCs/>
                <w:color w:val="000000"/>
              </w:rPr>
              <w:t>2.5.1</w:t>
            </w:r>
          </w:p>
        </w:tc>
        <w:tc>
          <w:tcPr>
            <w:tcW w:w="9081" w:type="dxa"/>
            <w:tcBorders>
              <w:top w:val="single" w:sz="4" w:space="0" w:color="000000"/>
              <w:left w:val="single" w:sz="6" w:space="0" w:color="000000"/>
              <w:bottom w:val="single" w:sz="4" w:space="0" w:color="000000"/>
              <w:right w:val="single" w:sz="6" w:space="0" w:color="000000"/>
            </w:tcBorders>
            <w:hideMark/>
          </w:tcPr>
          <w:p w14:paraId="221A2E9F" w14:textId="54B1CEC5" w:rsidR="00B112A0" w:rsidRPr="00DE4C08" w:rsidRDefault="00B112A0" w:rsidP="008348C1">
            <w:pPr>
              <w:suppressAutoHyphens/>
              <w:spacing w:before="60" w:after="60" w:line="256" w:lineRule="auto"/>
              <w:jc w:val="both"/>
              <w:rPr>
                <w:rFonts w:ascii="Times New Roman" w:eastAsia="Calibri" w:hAnsi="Times New Roman" w:cs="Times New Roman"/>
                <w:bCs/>
                <w:color w:val="000000"/>
                <w:sz w:val="24"/>
                <w:szCs w:val="24"/>
              </w:rPr>
            </w:pPr>
            <w:r w:rsidRPr="00DE4C08">
              <w:rPr>
                <w:rFonts w:ascii="Times New Roman" w:eastAsia="Calibri" w:hAnsi="Times New Roman" w:cs="Times New Roman"/>
                <w:b/>
                <w:sz w:val="24"/>
                <w:szCs w:val="24"/>
                <w:u w:val="single"/>
              </w:rPr>
              <w:t xml:space="preserve">Pirkimo objektui taikomi VPĮ 37 str. 8 dalies reikalavimai susiję su nacionaliniu saugumu. </w:t>
            </w:r>
            <w:r w:rsidRPr="00DE4C08">
              <w:rPr>
                <w:rFonts w:ascii="Times New Roman" w:eastAsia="Calibri" w:hAnsi="Times New Roman" w:cs="Times New Roman"/>
                <w:sz w:val="24"/>
                <w:szCs w:val="24"/>
              </w:rPr>
              <w:t>Perkančioji organizacija, veikianti srityse, kurios laikomos nacionaliniam saugumui užtikrinti strategiškai svarbių ūkio sektorių dalimi, ar valdanti ypatingos svarbos informacinę infrastruktūrą,</w:t>
            </w:r>
            <w:r w:rsidRPr="00DE4C08">
              <w:rPr>
                <w:rFonts w:ascii="Times New Roman" w:eastAsia="Calibri" w:hAnsi="Times New Roman" w:cs="Times New Roman"/>
                <w:sz w:val="24"/>
                <w:szCs w:val="24"/>
                <w:u w:val="single"/>
              </w:rPr>
              <w:t xml:space="preserve"> reikalauja, kad </w:t>
            </w:r>
            <w:r w:rsidR="003D6AE3">
              <w:rPr>
                <w:rFonts w:ascii="Times New Roman" w:eastAsia="Calibri" w:hAnsi="Times New Roman" w:cs="Times New Roman"/>
                <w:sz w:val="24"/>
                <w:szCs w:val="24"/>
              </w:rPr>
              <w:t>T</w:t>
            </w:r>
            <w:r w:rsidRPr="00DE4C08">
              <w:rPr>
                <w:rFonts w:ascii="Times New Roman" w:eastAsia="Calibri" w:hAnsi="Times New Roman" w:cs="Times New Roman"/>
                <w:sz w:val="24"/>
                <w:szCs w:val="24"/>
              </w:rPr>
              <w:t xml:space="preserve">iekėjo siūlomos paslaugos nekeltų grėsmės nacionaliniam saugumui, kai sandorio pagrindu susidarytų aplinkybės, nurodytos Nacionaliniam saugumui užtikrinti svarbių objektų apsaugos įstatymo 13 straipsnio 4 dalies 1 punkte. Laikoma, kad </w:t>
            </w:r>
            <w:r w:rsidR="003D6AE3">
              <w:rPr>
                <w:rFonts w:ascii="Times New Roman" w:eastAsia="Calibri" w:hAnsi="Times New Roman" w:cs="Times New Roman"/>
                <w:sz w:val="24"/>
                <w:szCs w:val="24"/>
              </w:rPr>
              <w:t>T</w:t>
            </w:r>
            <w:r w:rsidRPr="00DE4C08">
              <w:rPr>
                <w:rFonts w:ascii="Times New Roman" w:eastAsia="Calibri" w:hAnsi="Times New Roman" w:cs="Times New Roman"/>
                <w:sz w:val="24"/>
                <w:szCs w:val="24"/>
              </w:rPr>
              <w:t xml:space="preserve">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sidR="00C03FBA">
              <w:rPr>
                <w:rFonts w:ascii="Times New Roman" w:eastAsia="Calibri" w:hAnsi="Times New Roman" w:cs="Times New Roman"/>
                <w:sz w:val="24"/>
                <w:szCs w:val="24"/>
              </w:rPr>
              <w:t>T</w:t>
            </w:r>
            <w:r w:rsidRPr="00DE4C08">
              <w:rPr>
                <w:rFonts w:ascii="Times New Roman" w:eastAsia="Calibri" w:hAnsi="Times New Roman" w:cs="Times New Roman"/>
                <w:sz w:val="24"/>
                <w:szCs w:val="24"/>
              </w:rPr>
              <w:t>iekėjo pasiūlymas atmetamas.</w:t>
            </w:r>
          </w:p>
        </w:tc>
      </w:tr>
      <w:tr w:rsidR="00B112A0" w:rsidRPr="00DE4C08" w14:paraId="7D64A6E0" w14:textId="77777777" w:rsidTr="00165B2B">
        <w:tc>
          <w:tcPr>
            <w:tcW w:w="863" w:type="dxa"/>
            <w:tcBorders>
              <w:top w:val="single" w:sz="4" w:space="0" w:color="000000"/>
              <w:left w:val="single" w:sz="6" w:space="0" w:color="000000"/>
              <w:bottom w:val="single" w:sz="4" w:space="0" w:color="000000"/>
              <w:right w:val="nil"/>
            </w:tcBorders>
          </w:tcPr>
          <w:p w14:paraId="5383D551" w14:textId="77777777" w:rsidR="00B112A0" w:rsidRPr="00DE4C08" w:rsidRDefault="00B112A0" w:rsidP="00165B2B">
            <w:pPr>
              <w:widowControl w:val="0"/>
              <w:tabs>
                <w:tab w:val="left" w:pos="244"/>
                <w:tab w:val="left" w:pos="527"/>
              </w:tabs>
              <w:suppressAutoHyphens/>
              <w:snapToGrid w:val="0"/>
              <w:spacing w:after="0" w:line="240" w:lineRule="auto"/>
              <w:contextualSpacing/>
              <w:rPr>
                <w:rFonts w:ascii="Times New Roman" w:eastAsia="Times New Roman" w:hAnsi="Times New Roman" w:cs="Times New Roman"/>
                <w:bCs/>
                <w:color w:val="000000"/>
                <w:sz w:val="24"/>
                <w:szCs w:val="24"/>
              </w:rPr>
            </w:pPr>
            <w:r w:rsidRPr="00DE4C08">
              <w:rPr>
                <w:rFonts w:ascii="Times New Roman" w:eastAsia="Times New Roman" w:hAnsi="Times New Roman" w:cs="Times New Roman"/>
                <w:bCs/>
                <w:color w:val="000000"/>
                <w:sz w:val="24"/>
                <w:szCs w:val="24"/>
              </w:rPr>
              <w:t>2.5.2</w:t>
            </w:r>
          </w:p>
        </w:tc>
        <w:tc>
          <w:tcPr>
            <w:tcW w:w="9081" w:type="dxa"/>
            <w:tcBorders>
              <w:top w:val="single" w:sz="4" w:space="0" w:color="000000"/>
              <w:left w:val="single" w:sz="6" w:space="0" w:color="000000"/>
              <w:bottom w:val="single" w:sz="4" w:space="0" w:color="000000"/>
              <w:right w:val="single" w:sz="6" w:space="0" w:color="000000"/>
            </w:tcBorders>
            <w:hideMark/>
          </w:tcPr>
          <w:p w14:paraId="039B71AD" w14:textId="77777777" w:rsidR="00B112A0" w:rsidRPr="00DE4C08" w:rsidRDefault="00B112A0" w:rsidP="00165B2B">
            <w:pPr>
              <w:suppressAutoHyphens/>
              <w:spacing w:before="60" w:after="60" w:line="256" w:lineRule="auto"/>
              <w:rPr>
                <w:rFonts w:ascii="Times New Roman" w:eastAsia="Calibri" w:hAnsi="Times New Roman" w:cs="Times New Roman"/>
                <w:bCs/>
                <w:color w:val="000000"/>
                <w:sz w:val="24"/>
                <w:szCs w:val="24"/>
              </w:rPr>
            </w:pPr>
            <w:r w:rsidRPr="00DE4C08">
              <w:rPr>
                <w:rFonts w:ascii="Times New Roman" w:eastAsia="Calibri" w:hAnsi="Times New Roman" w:cs="Times New Roman"/>
                <w:b/>
                <w:sz w:val="24"/>
                <w:szCs w:val="24"/>
              </w:rPr>
              <w:t xml:space="preserve">Pirkimo objektui taikomi VPĮ 37 str. 9 dalies reikalavimai susiję su nacionaliniu saugumu*. </w:t>
            </w:r>
            <w:r w:rsidRPr="00DE4C08">
              <w:rPr>
                <w:rFonts w:ascii="Times New Roman" w:eastAsia="Calibri" w:hAnsi="Times New Roman" w:cs="Times New Roman"/>
                <w:sz w:val="24"/>
                <w:szCs w:val="24"/>
              </w:rPr>
              <w:t>Tiekėjas privalo įrodyti, kad siūlomos paslaugos nekelia grėsmės nacionaliniam saugumui, kad paslaugų teikimas nėra vykdomas iš VPĮ 92 straipsnio 14 dalyje numatytame sąraše nurodytų valstybių ar teritorijų.</w:t>
            </w:r>
          </w:p>
        </w:tc>
      </w:tr>
      <w:tr w:rsidR="00B112A0" w:rsidRPr="00DE4C08" w14:paraId="145384C9" w14:textId="77777777" w:rsidTr="00165B2B">
        <w:tc>
          <w:tcPr>
            <w:tcW w:w="863" w:type="dxa"/>
            <w:tcBorders>
              <w:top w:val="single" w:sz="4" w:space="0" w:color="000000"/>
              <w:left w:val="single" w:sz="6" w:space="0" w:color="000000"/>
              <w:bottom w:val="single" w:sz="4" w:space="0" w:color="000000"/>
              <w:right w:val="nil"/>
            </w:tcBorders>
          </w:tcPr>
          <w:p w14:paraId="1962E5F3" w14:textId="77777777" w:rsidR="00B112A0" w:rsidRPr="00DE4C08" w:rsidRDefault="00B112A0" w:rsidP="00165B2B">
            <w:pPr>
              <w:widowControl w:val="0"/>
              <w:tabs>
                <w:tab w:val="left" w:pos="244"/>
                <w:tab w:val="left" w:pos="527"/>
              </w:tabs>
              <w:suppressAutoHyphens/>
              <w:snapToGrid w:val="0"/>
              <w:spacing w:after="0" w:line="240" w:lineRule="auto"/>
              <w:contextualSpacing/>
              <w:rPr>
                <w:rFonts w:ascii="Times New Roman" w:eastAsia="Times New Roman" w:hAnsi="Times New Roman" w:cs="Times New Roman"/>
                <w:bCs/>
                <w:color w:val="000000"/>
                <w:sz w:val="24"/>
                <w:szCs w:val="24"/>
              </w:rPr>
            </w:pPr>
            <w:r w:rsidRPr="00DE4C08">
              <w:rPr>
                <w:rFonts w:ascii="Times New Roman" w:eastAsia="Times New Roman" w:hAnsi="Times New Roman" w:cs="Times New Roman"/>
                <w:bCs/>
                <w:color w:val="000000"/>
                <w:sz w:val="24"/>
                <w:szCs w:val="24"/>
              </w:rPr>
              <w:t>2.5.3</w:t>
            </w:r>
          </w:p>
        </w:tc>
        <w:tc>
          <w:tcPr>
            <w:tcW w:w="9081" w:type="dxa"/>
            <w:tcBorders>
              <w:top w:val="single" w:sz="4" w:space="0" w:color="000000"/>
              <w:left w:val="single" w:sz="6" w:space="0" w:color="000000"/>
              <w:bottom w:val="single" w:sz="4" w:space="0" w:color="000000"/>
              <w:right w:val="single" w:sz="6" w:space="0" w:color="000000"/>
            </w:tcBorders>
            <w:hideMark/>
          </w:tcPr>
          <w:p w14:paraId="021C5773" w14:textId="3962D2EE" w:rsidR="00B112A0" w:rsidRPr="00DE4C08" w:rsidRDefault="00B112A0" w:rsidP="008348C1">
            <w:pPr>
              <w:suppressAutoHyphens/>
              <w:spacing w:before="60" w:after="60" w:line="256" w:lineRule="auto"/>
              <w:jc w:val="both"/>
              <w:rPr>
                <w:rFonts w:ascii="Times New Roman" w:eastAsia="Calibri" w:hAnsi="Times New Roman" w:cs="Times New Roman"/>
                <w:bCs/>
                <w:color w:val="000000"/>
                <w:sz w:val="24"/>
                <w:szCs w:val="24"/>
              </w:rPr>
            </w:pPr>
            <w:r w:rsidRPr="00DE4C08">
              <w:rPr>
                <w:rFonts w:ascii="Times New Roman" w:eastAsia="Calibri" w:hAnsi="Times New Roman" w:cs="Times New Roman"/>
                <w:sz w:val="24"/>
                <w:szCs w:val="24"/>
              </w:rPr>
              <w:t xml:space="preserve">Perkančioji organizacija pasiūlymo atitikčiai VPĮ 37 straipsnio 9 dalies reikalavimams patvirtinti iš </w:t>
            </w:r>
            <w:r w:rsidR="00C03FBA">
              <w:rPr>
                <w:rFonts w:ascii="Times New Roman" w:eastAsia="Calibri" w:hAnsi="Times New Roman" w:cs="Times New Roman"/>
                <w:sz w:val="24"/>
                <w:szCs w:val="24"/>
              </w:rPr>
              <w:t>T</w:t>
            </w:r>
            <w:r w:rsidRPr="00DE4C08">
              <w:rPr>
                <w:rFonts w:ascii="Times New Roman" w:eastAsia="Calibri" w:hAnsi="Times New Roman" w:cs="Times New Roman"/>
                <w:sz w:val="24"/>
                <w:szCs w:val="24"/>
              </w:rPr>
              <w:t xml:space="preserve">iekėjo reikalauja </w:t>
            </w:r>
            <w:r w:rsidRPr="00DE4C08">
              <w:rPr>
                <w:rFonts w:ascii="Times New Roman" w:eastAsia="Calibri" w:hAnsi="Times New Roman" w:cs="Times New Roman"/>
                <w:bCs/>
                <w:sz w:val="24"/>
                <w:szCs w:val="24"/>
                <w:u w:val="single"/>
              </w:rPr>
              <w:t>KARTU SU PASIŪLYMU</w:t>
            </w:r>
            <w:r w:rsidRPr="00DE4C08">
              <w:rPr>
                <w:rFonts w:ascii="Times New Roman" w:eastAsia="Calibri" w:hAnsi="Times New Roman" w:cs="Times New Roman"/>
                <w:sz w:val="24"/>
                <w:szCs w:val="24"/>
                <w:u w:val="single"/>
              </w:rPr>
              <w:t xml:space="preserve"> </w:t>
            </w:r>
            <w:r w:rsidRPr="00DE4C08">
              <w:rPr>
                <w:rFonts w:ascii="Times New Roman" w:eastAsia="Calibri" w:hAnsi="Times New Roman" w:cs="Times New Roman"/>
                <w:bCs/>
                <w:sz w:val="24"/>
                <w:szCs w:val="24"/>
                <w:u w:val="single"/>
              </w:rPr>
              <w:t>PATEIKTI</w:t>
            </w:r>
            <w:r w:rsidRPr="00DE4C08">
              <w:rPr>
                <w:rFonts w:ascii="Times New Roman" w:eastAsia="Calibri" w:hAnsi="Times New Roman" w:cs="Times New Roman"/>
                <w:bCs/>
                <w:sz w:val="24"/>
                <w:szCs w:val="24"/>
              </w:rPr>
              <w:t xml:space="preserve"> užpildytą pirkimo dokumentą „Nacionalinio saugumo reikalavimų atitikties deklaracija“ (8 TVŪD PD ATITIKTIES DEKLARACIJA), o iš ekonomiškai naudingiausią pasiūlymą pateikusio tiekėjo reikalaus pateikti </w:t>
            </w:r>
            <w:r w:rsidRPr="00DE4C08">
              <w:rPr>
                <w:rFonts w:ascii="Times New Roman" w:eastAsia="Calibri" w:hAnsi="Times New Roman" w:cs="Times New Roman"/>
                <w:bCs/>
                <w:i/>
                <w:sz w:val="24"/>
                <w:szCs w:val="24"/>
              </w:rPr>
              <w:t>(</w:t>
            </w:r>
            <w:r w:rsidRPr="00DE4C08">
              <w:rPr>
                <w:rFonts w:ascii="Times New Roman" w:eastAsia="Calibri" w:hAnsi="Times New Roman" w:cs="Times New Roman"/>
                <w:bCs/>
                <w:i/>
                <w:sz w:val="24"/>
                <w:szCs w:val="24"/>
                <w:u w:val="single"/>
              </w:rPr>
              <w:t>kartu su pasiūlymu šių dokumentų tiekėjas pateikti neturi</w:t>
            </w:r>
            <w:r w:rsidRPr="00DE4C08">
              <w:rPr>
                <w:rFonts w:ascii="Times New Roman" w:eastAsia="Calibri" w:hAnsi="Times New Roman" w:cs="Times New Roman"/>
                <w:bCs/>
                <w:i/>
                <w:sz w:val="24"/>
                <w:szCs w:val="24"/>
              </w:rPr>
              <w:t>)</w:t>
            </w:r>
            <w:r w:rsidRPr="00DE4C08">
              <w:rPr>
                <w:rFonts w:ascii="Times New Roman" w:eastAsia="Calibri" w:hAnsi="Times New Roman" w:cs="Times New Roman"/>
                <w:bCs/>
                <w:sz w:val="24"/>
                <w:szCs w:val="24"/>
              </w:rPr>
              <w:t xml:space="preserve"> – vieną ar kelis šiuos dokumentus**: </w:t>
            </w:r>
            <w:r w:rsidRPr="00DE4C08">
              <w:rPr>
                <w:rFonts w:ascii="Times New Roman" w:eastAsia="Calibri" w:hAnsi="Times New Roman" w:cs="Times New Roman"/>
                <w:sz w:val="24"/>
                <w:szCs w:val="24"/>
              </w:rPr>
              <w:t xml:space="preserve">juridinio asmens vadovo </w:t>
            </w:r>
            <w:r w:rsidRPr="00DE4C08">
              <w:rPr>
                <w:rFonts w:ascii="Times New Roman" w:eastAsia="Calibri" w:hAnsi="Times New Roman" w:cs="Times New Roman"/>
                <w:bCs/>
                <w:sz w:val="24"/>
                <w:szCs w:val="24"/>
              </w:rPr>
              <w:t>patvirtintą</w:t>
            </w:r>
            <w:r w:rsidRPr="00DE4C08">
              <w:rPr>
                <w:rFonts w:ascii="Times New Roman" w:eastAsia="Calibri" w:hAnsi="Times New Roman" w:cs="Times New Roman"/>
                <w:sz w:val="24"/>
                <w:szCs w:val="24"/>
              </w:rPr>
              <w:t xml:space="preserve"> juridinio asmens steigimo dokumentų </w:t>
            </w:r>
            <w:r w:rsidRPr="00DE4C08">
              <w:rPr>
                <w:rFonts w:ascii="Times New Roman" w:eastAsia="Calibri" w:hAnsi="Times New Roman" w:cs="Times New Roman"/>
                <w:bCs/>
                <w:sz w:val="24"/>
                <w:szCs w:val="24"/>
              </w:rPr>
              <w:t>kopiją</w:t>
            </w:r>
            <w:r w:rsidRPr="00DE4C08">
              <w:rPr>
                <w:rFonts w:ascii="Times New Roman" w:eastAsia="Calibri" w:hAnsi="Times New Roman" w:cs="Times New Roman"/>
                <w:sz w:val="24"/>
                <w:szCs w:val="24"/>
              </w:rPr>
              <w:t xml:space="preserve">, Juridinių asmenų registro </w:t>
            </w:r>
            <w:r w:rsidRPr="00DE4C08">
              <w:rPr>
                <w:rFonts w:ascii="Times New Roman" w:eastAsia="Calibri" w:hAnsi="Times New Roman" w:cs="Times New Roman"/>
                <w:bCs/>
                <w:sz w:val="24"/>
                <w:szCs w:val="24"/>
              </w:rPr>
              <w:t>išplėstinį išrašą</w:t>
            </w:r>
            <w:r w:rsidRPr="00DE4C08">
              <w:rPr>
                <w:rFonts w:ascii="Times New Roman" w:eastAsia="Calibri" w:hAnsi="Times New Roman" w:cs="Times New Roman"/>
                <w:sz w:val="24"/>
                <w:szCs w:val="24"/>
              </w:rPr>
              <w:t xml:space="preserve"> su istorija, </w:t>
            </w:r>
            <w:r w:rsidRPr="00DE4C08">
              <w:rPr>
                <w:rFonts w:ascii="Times New Roman" w:eastAsia="Calibri" w:hAnsi="Times New Roman" w:cs="Times New Roman"/>
                <w:bCs/>
                <w:sz w:val="24"/>
                <w:szCs w:val="24"/>
              </w:rPr>
              <w:t xml:space="preserve">Juridinių asmenų </w:t>
            </w:r>
            <w:r w:rsidRPr="00DE4C08">
              <w:rPr>
                <w:rFonts w:ascii="Times New Roman" w:eastAsia="Calibri" w:hAnsi="Times New Roman" w:cs="Times New Roman"/>
                <w:bCs/>
                <w:sz w:val="24"/>
                <w:szCs w:val="24"/>
              </w:rPr>
              <w:lastRenderedPageBreak/>
              <w:t>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DE4C08">
              <w:rPr>
                <w:rFonts w:ascii="Times New Roman" w:eastAsia="Calibri" w:hAnsi="Times New Roman" w:cs="Times New Roman"/>
                <w:sz w:val="24"/>
                <w:szCs w:val="24"/>
              </w:rPr>
              <w:t xml:space="preserve"> arba </w:t>
            </w:r>
            <w:r w:rsidRPr="00DE4C08">
              <w:rPr>
                <w:rFonts w:ascii="Times New Roman" w:eastAsia="Calibri" w:hAnsi="Times New Roman" w:cs="Times New Roman"/>
                <w:bCs/>
                <w:sz w:val="24"/>
                <w:szCs w:val="24"/>
              </w:rPr>
              <w:t xml:space="preserve">atitinkamus </w:t>
            </w:r>
            <w:r w:rsidRPr="00DE4C08">
              <w:rPr>
                <w:rFonts w:ascii="Times New Roman" w:eastAsia="Calibri" w:hAnsi="Times New Roman" w:cs="Times New Roman"/>
                <w:sz w:val="24"/>
                <w:szCs w:val="24"/>
              </w:rPr>
              <w:t xml:space="preserve">valstybės narės ar trečiosios šalies </w:t>
            </w:r>
            <w:r w:rsidRPr="00DE4C08">
              <w:rPr>
                <w:rFonts w:ascii="Times New Roman" w:eastAsia="Calibri" w:hAnsi="Times New Roman" w:cs="Times New Roman"/>
                <w:bCs/>
                <w:sz w:val="24"/>
                <w:szCs w:val="24"/>
              </w:rPr>
              <w:t xml:space="preserve">dokumentus, ar kitus </w:t>
            </w:r>
            <w:r w:rsidR="009F5419">
              <w:rPr>
                <w:rFonts w:ascii="Times New Roman" w:eastAsia="Calibri" w:hAnsi="Times New Roman" w:cs="Times New Roman"/>
                <w:bCs/>
                <w:sz w:val="24"/>
                <w:szCs w:val="24"/>
              </w:rPr>
              <w:t>P</w:t>
            </w:r>
            <w:r w:rsidRPr="00DE4C08">
              <w:rPr>
                <w:rFonts w:ascii="Times New Roman" w:eastAsia="Calibri" w:hAnsi="Times New Roman" w:cs="Times New Roman"/>
                <w:bCs/>
                <w:sz w:val="24"/>
                <w:szCs w:val="24"/>
              </w:rPr>
              <w:t>erkančiajai organizacijai priimtinus dokumentus</w:t>
            </w:r>
            <w:r w:rsidRPr="00DE4C08">
              <w:rPr>
                <w:rFonts w:ascii="Times New Roman" w:eastAsia="Calibri" w:hAnsi="Times New Roman" w:cs="Times New Roman"/>
                <w:sz w:val="24"/>
                <w:szCs w:val="24"/>
              </w:rPr>
              <w:t>.</w:t>
            </w:r>
          </w:p>
        </w:tc>
      </w:tr>
      <w:tr w:rsidR="00B112A0" w:rsidRPr="00DE4C08" w14:paraId="305BE76A" w14:textId="77777777" w:rsidTr="00165B2B">
        <w:tc>
          <w:tcPr>
            <w:tcW w:w="9944" w:type="dxa"/>
            <w:gridSpan w:val="2"/>
            <w:tcBorders>
              <w:top w:val="single" w:sz="4" w:space="0" w:color="000000"/>
              <w:left w:val="single" w:sz="6" w:space="0" w:color="000000"/>
              <w:bottom w:val="single" w:sz="4" w:space="0" w:color="000000"/>
              <w:right w:val="single" w:sz="6" w:space="0" w:color="000000"/>
            </w:tcBorders>
            <w:hideMark/>
          </w:tcPr>
          <w:p w14:paraId="6319DABA" w14:textId="77777777" w:rsidR="00B112A0" w:rsidRPr="00DE4C08" w:rsidRDefault="00B112A0" w:rsidP="00165B2B">
            <w:pPr>
              <w:suppressAutoHyphens/>
              <w:spacing w:before="60" w:after="60" w:line="256" w:lineRule="auto"/>
              <w:rPr>
                <w:rFonts w:ascii="Times New Roman" w:eastAsia="Calibri" w:hAnsi="Times New Roman" w:cs="Times New Roman"/>
                <w:b/>
                <w:sz w:val="24"/>
                <w:szCs w:val="24"/>
              </w:rPr>
            </w:pPr>
            <w:r w:rsidRPr="00DE4C08">
              <w:rPr>
                <w:rFonts w:ascii="Times New Roman" w:eastAsia="Calibri" w:hAnsi="Times New Roman" w:cs="Times New Roman"/>
                <w:b/>
                <w:sz w:val="24"/>
                <w:szCs w:val="24"/>
              </w:rPr>
              <w:lastRenderedPageBreak/>
              <w:t>Pastabos:</w:t>
            </w:r>
          </w:p>
          <w:p w14:paraId="71E8FBE4" w14:textId="1F42C264" w:rsidR="00B112A0" w:rsidRPr="00DE4C08" w:rsidRDefault="00B112A0" w:rsidP="005A30FD">
            <w:pPr>
              <w:suppressAutoHyphens/>
              <w:spacing w:before="60" w:after="60" w:line="256" w:lineRule="auto"/>
              <w:jc w:val="both"/>
              <w:rPr>
                <w:rFonts w:ascii="Times New Roman" w:eastAsia="Calibri" w:hAnsi="Times New Roman" w:cs="Times New Roman"/>
                <w:bCs/>
                <w:sz w:val="24"/>
                <w:szCs w:val="24"/>
              </w:rPr>
            </w:pPr>
            <w:r w:rsidRPr="00DE4C08">
              <w:rPr>
                <w:rFonts w:ascii="Times New Roman" w:eastAsia="Calibri" w:hAnsi="Times New Roman" w:cs="Times New Roman"/>
                <w:bCs/>
                <w:sz w:val="24"/>
                <w:szCs w:val="24"/>
              </w:rPr>
              <w:t xml:space="preserve">*Jeigu </w:t>
            </w:r>
            <w:r w:rsidR="005A30FD">
              <w:rPr>
                <w:rFonts w:ascii="Times New Roman" w:eastAsia="Calibri" w:hAnsi="Times New Roman" w:cs="Times New Roman"/>
                <w:bCs/>
                <w:sz w:val="24"/>
                <w:szCs w:val="24"/>
              </w:rPr>
              <w:t>P</w:t>
            </w:r>
            <w:r w:rsidRPr="00DE4C08">
              <w:rPr>
                <w:rFonts w:ascii="Times New Roman" w:eastAsia="Calibri" w:hAnsi="Times New Roman" w:cs="Times New Roman"/>
                <w:bCs/>
                <w:sz w:val="24"/>
                <w:szCs w:val="24"/>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214505E" w14:textId="224E9BB8" w:rsidR="00B112A0" w:rsidRPr="00DE4C08" w:rsidRDefault="00B112A0" w:rsidP="005A30FD">
            <w:pPr>
              <w:suppressAutoHyphens/>
              <w:spacing w:before="60" w:after="60" w:line="256" w:lineRule="auto"/>
              <w:jc w:val="both"/>
              <w:rPr>
                <w:rFonts w:ascii="Times New Roman" w:eastAsia="Calibri" w:hAnsi="Times New Roman" w:cs="Times New Roman"/>
                <w:bCs/>
                <w:color w:val="000000"/>
                <w:sz w:val="24"/>
                <w:szCs w:val="24"/>
              </w:rPr>
            </w:pPr>
            <w:r w:rsidRPr="00DE4C08">
              <w:rPr>
                <w:rFonts w:ascii="Times New Roman" w:eastAsia="Calibri" w:hAnsi="Times New Roman" w:cs="Times New Roman"/>
                <w:bCs/>
                <w:sz w:val="24"/>
                <w:szCs w:val="24"/>
              </w:rPr>
              <w:t xml:space="preserve">**Dokumentai, kuriuose nenurodytas jų galiojimo terminas, turi būti išduoti ar atspausdinti iš informacinės sistemos ne anksčiau kaip likus 3 mėnesiams iki tos dienos, kurią </w:t>
            </w:r>
            <w:r w:rsidR="003D6AE3">
              <w:rPr>
                <w:rFonts w:ascii="Times New Roman" w:eastAsia="Calibri" w:hAnsi="Times New Roman" w:cs="Times New Roman"/>
                <w:bCs/>
                <w:sz w:val="24"/>
                <w:szCs w:val="24"/>
              </w:rPr>
              <w:t>P</w:t>
            </w:r>
            <w:r w:rsidRPr="00DE4C08">
              <w:rPr>
                <w:rFonts w:ascii="Times New Roman" w:eastAsia="Calibri" w:hAnsi="Times New Roman" w:cs="Times New Roman"/>
                <w:bCs/>
                <w:sz w:val="24"/>
                <w:szCs w:val="24"/>
              </w:rPr>
              <w:t xml:space="preserve">erkančiosios organizacijos prašymu </w:t>
            </w:r>
            <w:r w:rsidR="009671F1">
              <w:rPr>
                <w:rFonts w:ascii="Times New Roman" w:eastAsia="Calibri" w:hAnsi="Times New Roman" w:cs="Times New Roman"/>
                <w:bCs/>
                <w:sz w:val="24"/>
                <w:szCs w:val="24"/>
              </w:rPr>
              <w:t>T</w:t>
            </w:r>
            <w:r w:rsidRPr="00DE4C08">
              <w:rPr>
                <w:rFonts w:ascii="Times New Roman" w:eastAsia="Calibri" w:hAnsi="Times New Roman" w:cs="Times New Roman"/>
                <w:bCs/>
                <w:sz w:val="24"/>
                <w:szCs w:val="24"/>
              </w:rPr>
              <w:t>iekėjas turi pateikti dokumentus</w:t>
            </w:r>
            <w:r w:rsidRPr="00DE4C08">
              <w:rPr>
                <w:rFonts w:ascii="Times New Roman" w:eastAsia="Calibri" w:hAnsi="Times New Roman" w:cs="Times New Roman"/>
                <w:sz w:val="24"/>
                <w:szCs w:val="24"/>
              </w:rPr>
              <w:t>.</w:t>
            </w:r>
          </w:p>
        </w:tc>
      </w:tr>
    </w:tbl>
    <w:p w14:paraId="50C98900" w14:textId="77777777" w:rsidR="00B112A0" w:rsidRPr="00F937D5" w:rsidRDefault="00B112A0" w:rsidP="00B112A0">
      <w:pPr>
        <w:spacing w:after="0"/>
        <w:contextualSpacing/>
        <w:rPr>
          <w:rFonts w:ascii="Times New Roman" w:eastAsia="Calibri" w:hAnsi="Times New Roman" w:cs="Times New Roman"/>
          <w:sz w:val="24"/>
          <w:szCs w:val="24"/>
        </w:rPr>
      </w:pPr>
    </w:p>
    <w:p w14:paraId="5E99A761" w14:textId="77777777" w:rsidR="00B112A0" w:rsidRPr="00F937D5" w:rsidRDefault="00B112A0" w:rsidP="00B112A0">
      <w:pPr>
        <w:keepNext/>
        <w:keepLines/>
        <w:numPr>
          <w:ilvl w:val="0"/>
          <w:numId w:val="24"/>
        </w:numPr>
        <w:suppressAutoHyphens/>
        <w:spacing w:after="0" w:line="240" w:lineRule="auto"/>
        <w:contextualSpacing/>
        <w:jc w:val="center"/>
        <w:textAlignment w:val="baseline"/>
        <w:outlineLvl w:val="3"/>
        <w:rPr>
          <w:rFonts w:ascii="Times New Roman" w:eastAsia="Times New Roman" w:hAnsi="Times New Roman" w:cs="Times New Roman"/>
          <w:b/>
          <w:bCs/>
          <w:sz w:val="24"/>
          <w:szCs w:val="24"/>
        </w:rPr>
      </w:pPr>
      <w:r w:rsidRPr="00F937D5">
        <w:rPr>
          <w:rFonts w:ascii="Times New Roman" w:eastAsia="Times New Roman" w:hAnsi="Times New Roman" w:cs="Times New Roman"/>
          <w:b/>
          <w:bCs/>
          <w:sz w:val="24"/>
          <w:szCs w:val="24"/>
        </w:rPr>
        <w:t>FUNKCINIAI REIKALAVIMAI REGISTRO MODIFIKAVIMUI</w:t>
      </w:r>
    </w:p>
    <w:p w14:paraId="47B72109" w14:textId="77777777" w:rsidR="00B112A0" w:rsidRPr="00F937D5" w:rsidRDefault="00B112A0" w:rsidP="00B112A0">
      <w:pPr>
        <w:spacing w:after="0"/>
        <w:contextualSpacing/>
        <w:rPr>
          <w:rFonts w:ascii="Times New Roman" w:eastAsia="Calibri" w:hAnsi="Times New Roman" w:cs="Times New Roman"/>
          <w:sz w:val="24"/>
          <w:szCs w:val="24"/>
        </w:rPr>
      </w:pPr>
    </w:p>
    <w:p w14:paraId="577B2638" w14:textId="77777777" w:rsidR="00B112A0" w:rsidRPr="00F937D5" w:rsidRDefault="00B112A0" w:rsidP="00B112A0">
      <w:pPr>
        <w:numPr>
          <w:ilvl w:val="1"/>
          <w:numId w:val="27"/>
        </w:numPr>
        <w:tabs>
          <w:tab w:val="left" w:pos="567"/>
          <w:tab w:val="left" w:pos="851"/>
          <w:tab w:val="left" w:pos="1134"/>
          <w:tab w:val="left" w:pos="1418"/>
        </w:tabs>
        <w:suppressAutoHyphens/>
        <w:spacing w:after="0" w:line="240" w:lineRule="auto"/>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b/>
          <w:bCs/>
          <w:sz w:val="24"/>
          <w:szCs w:val="24"/>
        </w:rPr>
        <w:t xml:space="preserve"> </w:t>
      </w:r>
      <w:r w:rsidRPr="00F937D5">
        <w:rPr>
          <w:rFonts w:ascii="Times New Roman" w:eastAsia="Calibri" w:hAnsi="Times New Roman" w:cs="Times New Roman"/>
          <w:b/>
          <w:sz w:val="24"/>
          <w:szCs w:val="24"/>
        </w:rPr>
        <w:t>Funkciniai reikalavimai:</w:t>
      </w:r>
    </w:p>
    <w:tbl>
      <w:tblPr>
        <w:tblW w:w="9896" w:type="dxa"/>
        <w:tblInd w:w="24" w:type="dxa"/>
        <w:tblLayout w:type="fixed"/>
        <w:tblCellMar>
          <w:top w:w="55" w:type="dxa"/>
          <w:left w:w="40" w:type="dxa"/>
          <w:bottom w:w="55" w:type="dxa"/>
          <w:right w:w="55" w:type="dxa"/>
        </w:tblCellMar>
        <w:tblLook w:val="0000" w:firstRow="0" w:lastRow="0" w:firstColumn="0" w:lastColumn="0" w:noHBand="0" w:noVBand="0"/>
      </w:tblPr>
      <w:tblGrid>
        <w:gridCol w:w="963"/>
        <w:gridCol w:w="2755"/>
        <w:gridCol w:w="6178"/>
      </w:tblGrid>
      <w:tr w:rsidR="00B112A0" w:rsidRPr="00F937D5" w14:paraId="62D2CCD9" w14:textId="77777777" w:rsidTr="00165B2B">
        <w:tc>
          <w:tcPr>
            <w:tcW w:w="963" w:type="dxa"/>
            <w:tcBorders>
              <w:top w:val="single" w:sz="2" w:space="0" w:color="000001"/>
              <w:left w:val="single" w:sz="2" w:space="0" w:color="000001"/>
              <w:bottom w:val="single" w:sz="2" w:space="0" w:color="000001"/>
            </w:tcBorders>
            <w:shd w:val="clear" w:color="auto" w:fill="FFFFFF"/>
          </w:tcPr>
          <w:p w14:paraId="2A7604EB"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Nr.</w:t>
            </w: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0CA7654B"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Times New Roman" w:eastAsia="SimSun, 宋体" w:hAnsi="Times New Roman" w:cs="Mangal"/>
                <w:b/>
                <w:bCs/>
                <w:color w:val="00000A"/>
                <w:kern w:val="2"/>
                <w:sz w:val="24"/>
                <w:szCs w:val="24"/>
                <w:lang w:eastAsia="zh-CN" w:bidi="hi-IN"/>
              </w:rPr>
              <w:t>Reikalavimas (</w:t>
            </w:r>
            <w:r w:rsidRPr="00F937D5">
              <w:rPr>
                <w:rFonts w:ascii="Times New Roman" w:eastAsia="SimSun, 宋体" w:hAnsi="Times New Roman" w:cs="Mangal"/>
                <w:b/>
                <w:bCs/>
                <w:i/>
                <w:color w:val="00000A"/>
                <w:kern w:val="2"/>
                <w:sz w:val="24"/>
                <w:szCs w:val="24"/>
                <w:lang w:eastAsia="zh-CN" w:bidi="hi-IN"/>
              </w:rPr>
              <w:t>trumpas pavadinimas</w:t>
            </w:r>
            <w:r w:rsidRPr="00F937D5">
              <w:rPr>
                <w:rFonts w:ascii="Times New Roman" w:eastAsia="SimSun, 宋体" w:hAnsi="Times New Roman" w:cs="Mangal"/>
                <w:b/>
                <w:bCs/>
                <w:color w:val="00000A"/>
                <w:kern w:val="2"/>
                <w:sz w:val="24"/>
                <w:szCs w:val="24"/>
                <w:lang w:eastAsia="zh-CN" w:bidi="hi-IN"/>
              </w:rPr>
              <w:t>)</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0CE5B163"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Times New Roman" w:eastAsia="SimSun, 宋体" w:hAnsi="Times New Roman" w:cs="Mangal"/>
                <w:b/>
                <w:bCs/>
                <w:color w:val="00000A"/>
                <w:kern w:val="2"/>
                <w:sz w:val="24"/>
                <w:szCs w:val="24"/>
                <w:lang w:eastAsia="zh-CN" w:bidi="hi-IN"/>
              </w:rPr>
              <w:t>Reikalavimo aprašymas</w:t>
            </w:r>
          </w:p>
        </w:tc>
      </w:tr>
      <w:tr w:rsidR="00B112A0" w:rsidRPr="00F937D5" w14:paraId="70F128B8" w14:textId="77777777" w:rsidTr="00165B2B">
        <w:tc>
          <w:tcPr>
            <w:tcW w:w="963" w:type="dxa"/>
            <w:tcBorders>
              <w:top w:val="single" w:sz="2" w:space="0" w:color="000001"/>
              <w:left w:val="single" w:sz="2" w:space="0" w:color="000001"/>
              <w:bottom w:val="single" w:sz="2" w:space="0" w:color="000001"/>
            </w:tcBorders>
            <w:shd w:val="clear" w:color="auto" w:fill="FFFFFF"/>
          </w:tcPr>
          <w:p w14:paraId="4C098F47"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25CA6698"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ANR e. pristatymo sąsajos duomenų gavimo ir atvaizdavimo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60CE99DA"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Patobulinti ANR e. pristatymo sąsają, kad tais atvejais kai siunčiama fizinė siunta (ne į aktyvią elektroninę dėžutę), būtų gaunamas ir atvaizduojamas siuntos numeris. Jeigu dokumentai siunčiami iš ANR PFS, tai fizinės siuntos numeris atvaizduojamas „Sprendimai ir dokumentai“, o jeigu iš ANR – tai skiltyje „Dokumentai“.</w:t>
            </w:r>
          </w:p>
        </w:tc>
      </w:tr>
      <w:tr w:rsidR="00B112A0" w:rsidRPr="00F937D5" w14:paraId="63F8C705" w14:textId="77777777" w:rsidTr="00165B2B">
        <w:tc>
          <w:tcPr>
            <w:tcW w:w="963" w:type="dxa"/>
            <w:tcBorders>
              <w:top w:val="single" w:sz="2" w:space="0" w:color="000001"/>
              <w:left w:val="single" w:sz="2" w:space="0" w:color="000001"/>
              <w:bottom w:val="single" w:sz="2" w:space="0" w:color="000001"/>
            </w:tcBorders>
            <w:shd w:val="clear" w:color="auto" w:fill="FFFFFF"/>
          </w:tcPr>
          <w:p w14:paraId="6EB40397"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0AFAB5AA"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Mygtuko „Išvalyti asmens duomenis“ funkcionalumo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4F17ED55"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Paspaudus mygtuką „Išvalyti asmens duomenis“ turi automatiškai išsivalyti ir Vairuotojo pažymėjimo duomenys.</w:t>
            </w:r>
          </w:p>
        </w:tc>
      </w:tr>
      <w:tr w:rsidR="00B112A0" w:rsidRPr="00F937D5" w14:paraId="26ED0A41" w14:textId="77777777" w:rsidTr="00165B2B">
        <w:tc>
          <w:tcPr>
            <w:tcW w:w="963" w:type="dxa"/>
            <w:tcBorders>
              <w:top w:val="single" w:sz="2" w:space="0" w:color="000001"/>
              <w:left w:val="single" w:sz="2" w:space="0" w:color="000001"/>
              <w:bottom w:val="single" w:sz="2" w:space="0" w:color="000001"/>
            </w:tcBorders>
            <w:shd w:val="clear" w:color="auto" w:fill="FFFFFF"/>
          </w:tcPr>
          <w:p w14:paraId="59F7EF4B"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17A40057"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ANR automatinio proceso metu naudojamą dokumentų išsiuntimo funkcionalumo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09ADD942"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Deklaruoto gyvenamojo adrese turi būti atvaizduojamas pašto kodas imamas ne tik iš MMR, bet ir iš Adresų posistemio (AKTS). Prie atvaizduojamo pašto adreso, turi būti taip pat atvaizduojamas duomenų paėmimo šaltinis.</w:t>
            </w:r>
          </w:p>
          <w:p w14:paraId="6D746FAC"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Adreso (savivaldybės, seniūnijos, vietovės, gatvės) paieška pridedant naują adresą turi būti kontekstinė.</w:t>
            </w:r>
          </w:p>
        </w:tc>
      </w:tr>
      <w:tr w:rsidR="00B112A0" w:rsidRPr="00F937D5" w14:paraId="6FB0FD95" w14:textId="77777777" w:rsidTr="00165B2B">
        <w:tc>
          <w:tcPr>
            <w:tcW w:w="963" w:type="dxa"/>
            <w:tcBorders>
              <w:top w:val="single" w:sz="2" w:space="0" w:color="000001"/>
              <w:left w:val="single" w:sz="2" w:space="0" w:color="000001"/>
              <w:bottom w:val="single" w:sz="2" w:space="0" w:color="000001"/>
            </w:tcBorders>
            <w:shd w:val="clear" w:color="auto" w:fill="FFFFFF"/>
          </w:tcPr>
          <w:p w14:paraId="6EAF2153"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4F9E5274"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Vairavimo stažo skaičiavimo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07CE1C2A"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Asmeniui turint teisę vairuoti tos kategorijos TP, vairavimo stažą skaičiuoti nuo pirmos kategorijos įgijimo.</w:t>
            </w:r>
          </w:p>
          <w:p w14:paraId="091B1994"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Times New Roman" w:eastAsia="SimSun, 宋体" w:hAnsi="Times New Roman" w:cs="Times New Roman"/>
                <w:kern w:val="2"/>
                <w:sz w:val="24"/>
                <w:szCs w:val="24"/>
                <w:lang w:eastAsia="ru-RU" w:bidi="hi-IN"/>
              </w:rPr>
              <w:t>Vairavimo stažas skaičiuojamas nuo šių kategorijų įgijimo (</w:t>
            </w:r>
            <w:r w:rsidRPr="00F937D5">
              <w:rPr>
                <w:rFonts w:ascii="Times New Roman" w:eastAsia="SimSun, 宋体" w:hAnsi="Times New Roman" w:cs="Times New Roman"/>
                <w:color w:val="000000"/>
                <w:kern w:val="2"/>
                <w:sz w:val="24"/>
                <w:szCs w:val="24"/>
                <w:lang w:eastAsia="ru-RU" w:bidi="hi-IN"/>
              </w:rPr>
              <w:t>A, A1, A2, B, B1). Stažas turi būti skaičiuojamas pagal pažeidimo padarymo datą, o jeigu data neįvesta tai pagal užklausos datą. Vienodas funkcionalumas turi veikti visame ANR automatinio proceso metu ir registruojant AN duomenis įprasta tvarka.</w:t>
            </w:r>
          </w:p>
        </w:tc>
      </w:tr>
      <w:tr w:rsidR="00B112A0" w:rsidRPr="00F937D5" w14:paraId="43359B59" w14:textId="77777777" w:rsidTr="00165B2B">
        <w:tc>
          <w:tcPr>
            <w:tcW w:w="963" w:type="dxa"/>
            <w:tcBorders>
              <w:top w:val="single" w:sz="2" w:space="0" w:color="000001"/>
              <w:left w:val="single" w:sz="2" w:space="0" w:color="000001"/>
              <w:bottom w:val="single" w:sz="2" w:space="0" w:color="000001"/>
            </w:tcBorders>
            <w:shd w:val="clear" w:color="auto" w:fill="FFFFFF"/>
          </w:tcPr>
          <w:p w14:paraId="73FD2D85"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52C832D6"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Nusižengimo protokolo arba protokolo su administraciniu nurodymu automatinis surašymo juridinio asmens vadovui sukūrimas.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65532EC1"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Patobulini automatinį procesą ir pagal nustatytus pažeidimų tipus (pažeidimų tipai turi būti konfigūruojamas parametras), tais atvejais, kai TP savininkas yra juridinis asmuo tai AN protokolą su administraciniu nurodymu arba AN protokolą be nurodymo surašyti juridinio asmens vadovui.</w:t>
            </w:r>
          </w:p>
        </w:tc>
      </w:tr>
      <w:tr w:rsidR="00B112A0" w:rsidRPr="00F937D5" w14:paraId="7982A388" w14:textId="77777777" w:rsidTr="00165B2B">
        <w:tc>
          <w:tcPr>
            <w:tcW w:w="963" w:type="dxa"/>
            <w:tcBorders>
              <w:top w:val="single" w:sz="2" w:space="0" w:color="000001"/>
              <w:left w:val="single" w:sz="2" w:space="0" w:color="000001"/>
              <w:bottom w:val="single" w:sz="2" w:space="0" w:color="000001"/>
            </w:tcBorders>
            <w:shd w:val="clear" w:color="auto" w:fill="FFFFFF"/>
          </w:tcPr>
          <w:p w14:paraId="7A957B1F"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53A153A4"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Duomenų teikimo valstybės įmonei „Regitra“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6F128C53"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1. Teikiami duomenys valstybės įmonei „Regitra“ turi būti papildyti nurodymo įvykdymo data ir nutarimo administracinio nusižengimo byloje įsigaliojimo data;</w:t>
            </w:r>
          </w:p>
          <w:p w14:paraId="359E2C83"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2. Turi būti teikiami duomenys apie teisės atėmimą, jeigu teisė vairuoti atimama ne pagrindiniame ROIK straipsnyje (straipsnio dalyje);</w:t>
            </w:r>
          </w:p>
          <w:p w14:paraId="101E67D9"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Times New Roman" w:eastAsia="SimSun, 宋体" w:hAnsi="Times New Roman" w:cs="Times New Roman"/>
                <w:kern w:val="2"/>
                <w:sz w:val="24"/>
                <w:szCs w:val="24"/>
                <w:lang w:eastAsia="ru-RU" w:bidi="hi-IN"/>
              </w:rPr>
              <w:t>3. Turi būti teikiami duomenys apie teisės vairuoti atėmimą po bylos atnaujinimo, šiai dienai tokie duomenys valstybės įmonei „Regitra“ neperduodami.</w:t>
            </w:r>
          </w:p>
        </w:tc>
      </w:tr>
      <w:tr w:rsidR="00B112A0" w:rsidRPr="00F937D5" w14:paraId="366C4210" w14:textId="77777777" w:rsidTr="00165B2B">
        <w:tc>
          <w:tcPr>
            <w:tcW w:w="963" w:type="dxa"/>
            <w:tcBorders>
              <w:left w:val="single" w:sz="2" w:space="0" w:color="000001"/>
              <w:bottom w:val="single" w:sz="2" w:space="0" w:color="000001"/>
            </w:tcBorders>
            <w:shd w:val="clear" w:color="auto" w:fill="FFFFFF"/>
          </w:tcPr>
          <w:p w14:paraId="23C87EFC"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left w:val="single" w:sz="2" w:space="0" w:color="000001"/>
              <w:bottom w:val="single" w:sz="2" w:space="0" w:color="000001"/>
              <w:right w:val="single" w:sz="2" w:space="0" w:color="000001"/>
            </w:tcBorders>
            <w:shd w:val="clear" w:color="auto" w:fill="FFFFFF"/>
          </w:tcPr>
          <w:p w14:paraId="5DBC56A6"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 xml:space="preserve">Baudos ir administracinio poveikio priemonių skyrimą už du ir daugiau AN  patobulinimas. </w:t>
            </w:r>
          </w:p>
        </w:tc>
        <w:tc>
          <w:tcPr>
            <w:tcW w:w="6178" w:type="dxa"/>
            <w:tcBorders>
              <w:left w:val="single" w:sz="2" w:space="0" w:color="000001"/>
              <w:bottom w:val="single" w:sz="2" w:space="0" w:color="000001"/>
              <w:right w:val="single" w:sz="4" w:space="0" w:color="000000"/>
            </w:tcBorders>
            <w:shd w:val="clear" w:color="auto" w:fill="FFFFFF"/>
          </w:tcPr>
          <w:p w14:paraId="1D54F4A0"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 xml:space="preserve">Paaiškiname, kad šiuo metu, kai skiriama bauda ir administracinio poveikio priemonė už du ir daugiau AN yra privaloma pažymėti už kurį nusižengimą (ANK straipsnį) skirta nuobauda yra „pagrindinė“. Tačiau kai skiriama poveikio priemonė, tai yra galimybė pažymėjus žymimąjį langelį į formuojamus dokumentus perkelti informaciją ir apie administracinio poveikio priemonę, kuri skirta ne prie „pagrindinio ANK straipsnio“.  Tačiau į ANR langą „Nutarimo vykdymas“ apie paskirtą poveikio priemonę nepersikelia. </w:t>
            </w:r>
          </w:p>
          <w:p w14:paraId="5F395B31"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Turi būti sukurtas funkcionalumas, kad tais atvejais, kai pagal kelis ANK straipsnius priimamas procesinis sprendimas „Priimamas nutarimas“ ir pažymėjus pagrindinį straipsnį būtų galimybė suversti galutinį sprendimą, kiuris būtų perkeliamas į  langą „Nutarimo vykdymas“, atvaizduojamas formuojamame dokumente ir ANR lange „Įrašai sistemoje“, o baudos duomenys perduodami į MAIS, o informacija apie teisės vairuoti atėmimą atvaizduojami lange „Vairuotojo ir traktorininko pažymėjimai“ bei perduodami valstybės įstaigai „Regitra“.  Įvykdžius skirtas nuobaudas, apie įvykdymą turi pasižymėti taip, kaip dabar veikia ANR funkcionalumai.</w:t>
            </w:r>
          </w:p>
        </w:tc>
      </w:tr>
      <w:tr w:rsidR="00B112A0" w:rsidRPr="00F937D5" w14:paraId="60EDEC65" w14:textId="77777777" w:rsidTr="00165B2B">
        <w:trPr>
          <w:trHeight w:val="366"/>
        </w:trPr>
        <w:tc>
          <w:tcPr>
            <w:tcW w:w="963" w:type="dxa"/>
            <w:tcBorders>
              <w:top w:val="single" w:sz="2" w:space="0" w:color="000001"/>
              <w:left w:val="single" w:sz="2" w:space="0" w:color="000001"/>
            </w:tcBorders>
            <w:shd w:val="clear" w:color="auto" w:fill="FFFFFF"/>
          </w:tcPr>
          <w:p w14:paraId="722F42CA"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right w:val="single" w:sz="2" w:space="0" w:color="000001"/>
            </w:tcBorders>
            <w:shd w:val="clear" w:color="auto" w:fill="FFFFFF"/>
          </w:tcPr>
          <w:p w14:paraId="1A223D91"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Liberation Serif" w:eastAsia="SimSun, 宋体" w:hAnsi="Liberation Serif" w:cs="Arial"/>
                <w:kern w:val="2"/>
                <w:sz w:val="24"/>
                <w:szCs w:val="24"/>
                <w:lang w:eastAsia="zh-CN" w:bidi="hi-IN"/>
              </w:rPr>
              <w:t>Patobulinti AN bylų teisenos užtikrinimo ir tyrimo veiksmų duomenų suvedimo funkcionalumą.</w:t>
            </w:r>
          </w:p>
        </w:tc>
        <w:tc>
          <w:tcPr>
            <w:tcW w:w="6178" w:type="dxa"/>
            <w:tcBorders>
              <w:top w:val="single" w:sz="2" w:space="0" w:color="000001"/>
              <w:left w:val="single" w:sz="2" w:space="0" w:color="000001"/>
              <w:right w:val="single" w:sz="4" w:space="0" w:color="000000"/>
            </w:tcBorders>
            <w:shd w:val="clear" w:color="auto" w:fill="FFFFFF"/>
          </w:tcPr>
          <w:p w14:paraId="2EA092A8"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1. Neleisti ANR duomenų bazėje išsaugoti nesuvedus visų duomenų. Šiuo metu, jeigu vartotojas pradeda vesti, tačiau nepabaigia, ANR sukuria tokios teisenos priemonės ID, tačiau vėliau neatidaro ir rodo klaidą.</w:t>
            </w:r>
          </w:p>
          <w:p w14:paraId="61270C99" w14:textId="77777777" w:rsidR="00B112A0" w:rsidRPr="00F937D5" w:rsidRDefault="00B112A0" w:rsidP="005A30FD">
            <w:pPr>
              <w:widowControl w:val="0"/>
              <w:suppressAutoHyphens/>
              <w:spacing w:after="0" w:line="240" w:lineRule="auto"/>
              <w:jc w:val="both"/>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2. Visi tyrimo veiksmai turi formuoti dokumentus. Šiuo metu neformuojami: ekspertizė, pavedimas atlikti kitoje teritorijoje veikiančios institucijos atsakingiems asmenims atlikti tam tikrus tyrimo veiksmus; paaiškinimų ir išvadų gavimas iš specialisto, eksperimentas, bylai turinčių reikšme daiktų ir dokumentų išreikalavimas; kreipimasis į policija dėl atvesdinimo ir dėl paieškos paskelbimo.</w:t>
            </w:r>
          </w:p>
          <w:p w14:paraId="321B340E"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Times New Roman" w:eastAsia="SimSun, 宋体" w:hAnsi="Times New Roman" w:cs="Times New Roman"/>
                <w:kern w:val="2"/>
                <w:sz w:val="24"/>
                <w:szCs w:val="24"/>
                <w:lang w:eastAsia="ru-RU" w:bidi="hi-IN"/>
              </w:rPr>
              <w:t>3. Pakoreguoti tyrimo veiksmų ir teisenos priemonių formuojamus dokumentus, kad dokumente būtų atvaizduojamas numeris.</w:t>
            </w:r>
          </w:p>
          <w:p w14:paraId="58A8DB32"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ru-RU" w:bidi="hi-IN"/>
              </w:rPr>
            </w:pPr>
            <w:r w:rsidRPr="00F937D5">
              <w:rPr>
                <w:rFonts w:ascii="Times New Roman" w:eastAsia="SimSun, 宋体" w:hAnsi="Times New Roman" w:cs="Times New Roman"/>
                <w:kern w:val="2"/>
                <w:sz w:val="24"/>
                <w:szCs w:val="24"/>
                <w:lang w:eastAsia="ru-RU" w:bidi="hi-IN"/>
              </w:rPr>
              <w:t>4. Pagal analizės etapo metu PO pateiktą šabloną pakoreguoti teisenos priemonės „Priverstinis transporto priemonės nuvežimas“ vartotojo sąsają ir formuojamą dokumentą.</w:t>
            </w:r>
          </w:p>
        </w:tc>
      </w:tr>
      <w:tr w:rsidR="00B112A0" w:rsidRPr="00F937D5" w14:paraId="505BE015" w14:textId="77777777" w:rsidTr="00165B2B">
        <w:trPr>
          <w:trHeight w:val="667"/>
        </w:trPr>
        <w:tc>
          <w:tcPr>
            <w:tcW w:w="963" w:type="dxa"/>
            <w:tcBorders>
              <w:top w:val="single" w:sz="2" w:space="0" w:color="000001"/>
              <w:left w:val="single" w:sz="2" w:space="0" w:color="000001"/>
            </w:tcBorders>
            <w:shd w:val="clear" w:color="auto" w:fill="FFFFFF"/>
          </w:tcPr>
          <w:p w14:paraId="2292D9BA"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right w:val="single" w:sz="2" w:space="0" w:color="000001"/>
            </w:tcBorders>
            <w:shd w:val="clear" w:color="auto" w:fill="FFFFFF"/>
          </w:tcPr>
          <w:p w14:paraId="76B771C9"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Times New Roman"/>
                <w:kern w:val="2"/>
                <w:sz w:val="24"/>
                <w:szCs w:val="24"/>
                <w:lang w:eastAsia="zh-CN" w:bidi="hi-IN"/>
              </w:rPr>
            </w:pPr>
            <w:r w:rsidRPr="00F937D5">
              <w:rPr>
                <w:rFonts w:ascii="Times New Roman" w:eastAsia="SimSun, 宋体" w:hAnsi="Times New Roman" w:cs="Times New Roman"/>
                <w:kern w:val="2"/>
                <w:sz w:val="24"/>
                <w:szCs w:val="24"/>
                <w:lang w:eastAsia="zh-CN" w:bidi="hi-IN"/>
              </w:rPr>
              <w:t>Atsakingo pareigūno el. pašto atvaizdavimo ANR patobulinimas.</w:t>
            </w:r>
          </w:p>
        </w:tc>
        <w:tc>
          <w:tcPr>
            <w:tcW w:w="6178" w:type="dxa"/>
            <w:tcBorders>
              <w:top w:val="single" w:sz="2" w:space="0" w:color="000001"/>
              <w:left w:val="single" w:sz="2" w:space="0" w:color="000001"/>
              <w:right w:val="single" w:sz="4" w:space="0" w:color="000000"/>
            </w:tcBorders>
            <w:shd w:val="clear" w:color="auto" w:fill="FFFFFF"/>
          </w:tcPr>
          <w:p w14:paraId="76951537"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Po to, kai naudojamas ANR funkcionalumas „Priskirti pareigūną“ (paspaudžiamas atitinkantis mygtukas ir suvedami pareigūno duomenys), ANR turi būti atvaizduojamas atsakingo pareigūno elektroninis paštas.</w:t>
            </w:r>
          </w:p>
        </w:tc>
      </w:tr>
      <w:tr w:rsidR="00B112A0" w:rsidRPr="00F937D5" w14:paraId="6A5D9570" w14:textId="77777777" w:rsidTr="00165B2B">
        <w:tc>
          <w:tcPr>
            <w:tcW w:w="963" w:type="dxa"/>
            <w:tcBorders>
              <w:top w:val="single" w:sz="2" w:space="0" w:color="000001"/>
              <w:left w:val="single" w:sz="2" w:space="0" w:color="000001"/>
              <w:bottom w:val="single" w:sz="2" w:space="0" w:color="000001"/>
            </w:tcBorders>
            <w:shd w:val="clear" w:color="auto" w:fill="FFFFFF"/>
          </w:tcPr>
          <w:p w14:paraId="6FB05E44" w14:textId="77777777" w:rsidR="00B112A0" w:rsidRPr="00F937D5" w:rsidRDefault="00B112A0" w:rsidP="00B112A0">
            <w:pPr>
              <w:widowControl w:val="0"/>
              <w:numPr>
                <w:ilvl w:val="0"/>
                <w:numId w:val="47"/>
              </w:numPr>
              <w:suppressAutoHyphens/>
              <w:spacing w:after="0" w:line="240" w:lineRule="auto"/>
              <w:jc w:val="both"/>
              <w:textAlignment w:val="baseline"/>
              <w:rPr>
                <w:rFonts w:ascii="Liberation Serif" w:eastAsia="SimSun, 宋体" w:hAnsi="Liberation Serif" w:cs="Arial"/>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5C1D5255"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Juridinio asmens paieškos funkcionalumo patobulinimas.</w:t>
            </w:r>
          </w:p>
        </w:tc>
        <w:tc>
          <w:tcPr>
            <w:tcW w:w="6178" w:type="dxa"/>
            <w:tcBorders>
              <w:top w:val="single" w:sz="2" w:space="0" w:color="000001"/>
              <w:left w:val="single" w:sz="2" w:space="0" w:color="000001"/>
              <w:bottom w:val="single" w:sz="2" w:space="0" w:color="000001"/>
              <w:right w:val="single" w:sz="4" w:space="0" w:color="000000"/>
            </w:tcBorders>
            <w:shd w:val="clear" w:color="auto" w:fill="FFFFFF"/>
          </w:tcPr>
          <w:p w14:paraId="6BEC7BFD"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Sukurti galimybę ANR lange „Proceso šalys“, vedant duomenis apie TP naudotoją ieškoti juridinių asmenų duomenų JAR. Paieška galima būtų atlikti pagal juridinio asmens kodą, pavadinimą. Duomenys turi būti ieškomi, o suradus duomenis užpildomi atitinkami Juridinio asmens formos laukai.</w:t>
            </w:r>
          </w:p>
        </w:tc>
      </w:tr>
      <w:tr w:rsidR="00B112A0" w:rsidRPr="00F937D5" w14:paraId="4B4861B3" w14:textId="77777777" w:rsidTr="00165B2B">
        <w:trPr>
          <w:trHeight w:val="1104"/>
        </w:trPr>
        <w:tc>
          <w:tcPr>
            <w:tcW w:w="963" w:type="dxa"/>
            <w:tcBorders>
              <w:top w:val="single" w:sz="2" w:space="0" w:color="000001"/>
              <w:left w:val="single" w:sz="2" w:space="0" w:color="000001"/>
              <w:bottom w:val="single" w:sz="2" w:space="0" w:color="000001"/>
            </w:tcBorders>
            <w:shd w:val="clear" w:color="auto" w:fill="FFFFFF"/>
          </w:tcPr>
          <w:p w14:paraId="233AE5B2"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2" w:space="0" w:color="000001"/>
              <w:left w:val="single" w:sz="2" w:space="0" w:color="000001"/>
              <w:bottom w:val="single" w:sz="2" w:space="0" w:color="000001"/>
              <w:right w:val="single" w:sz="2" w:space="0" w:color="000001"/>
            </w:tcBorders>
            <w:shd w:val="clear" w:color="auto" w:fill="FFFFFF"/>
          </w:tcPr>
          <w:p w14:paraId="258AA8BF"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Pareigūnų informavimo funkcionalumo tobulinimas.</w:t>
            </w:r>
          </w:p>
        </w:tc>
        <w:tc>
          <w:tcPr>
            <w:tcW w:w="6178" w:type="dxa"/>
            <w:tcBorders>
              <w:top w:val="single" w:sz="2" w:space="0" w:color="000001"/>
              <w:left w:val="single" w:sz="2" w:space="0" w:color="000001"/>
              <w:right w:val="single" w:sz="4" w:space="0" w:color="000000"/>
            </w:tcBorders>
            <w:shd w:val="clear" w:color="auto" w:fill="FFFFFF"/>
          </w:tcPr>
          <w:p w14:paraId="53785B03"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Prieš surašant AN protokolą pagal nustatytus parametrus (galimai nauja ANK straipsnių klasifikatoriaus savybė) sukurti pranešimą, įspėjantį ANR vartotoją apie tai, kad nesuvesti teisės vairuoti sustabdymo duomenys.</w:t>
            </w:r>
          </w:p>
        </w:tc>
      </w:tr>
      <w:tr w:rsidR="00B112A0" w:rsidRPr="00F937D5" w14:paraId="7684E56A" w14:textId="77777777" w:rsidTr="00165B2B">
        <w:trPr>
          <w:trHeight w:val="207"/>
        </w:trPr>
        <w:tc>
          <w:tcPr>
            <w:tcW w:w="963" w:type="dxa"/>
            <w:tcBorders>
              <w:top w:val="single" w:sz="4" w:space="0" w:color="000000"/>
              <w:left w:val="single" w:sz="4" w:space="0" w:color="000000"/>
              <w:bottom w:val="single" w:sz="4" w:space="0" w:color="000000"/>
            </w:tcBorders>
            <w:shd w:val="clear" w:color="auto" w:fill="FFFFFF"/>
          </w:tcPr>
          <w:p w14:paraId="32D8E12D"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4" w:space="0" w:color="000000"/>
              <w:left w:val="single" w:sz="2" w:space="0" w:color="000001"/>
              <w:bottom w:val="single" w:sz="4" w:space="0" w:color="000000"/>
              <w:right w:val="single" w:sz="2" w:space="0" w:color="000001"/>
            </w:tcBorders>
            <w:shd w:val="clear" w:color="auto" w:fill="FFFFFF"/>
          </w:tcPr>
          <w:p w14:paraId="45434A52" w14:textId="77777777" w:rsidR="00B112A0" w:rsidRPr="00F937D5" w:rsidRDefault="00B112A0" w:rsidP="00165B2B">
            <w:pPr>
              <w:widowControl w:val="0"/>
              <w:suppressAutoHyphens/>
              <w:spacing w:after="0" w:line="240" w:lineRule="auto"/>
              <w:textAlignment w:val="baseline"/>
              <w:rPr>
                <w:rFonts w:ascii="Times New Roman" w:eastAsia="SimSun, 宋体" w:hAnsi="Times New Roman" w:cs="Arial"/>
                <w:kern w:val="2"/>
                <w:sz w:val="24"/>
                <w:szCs w:val="24"/>
                <w:lang w:eastAsia="zh-CN" w:bidi="hi-IN"/>
              </w:rPr>
            </w:pPr>
            <w:r w:rsidRPr="00F937D5">
              <w:rPr>
                <w:rFonts w:ascii="Times New Roman" w:eastAsia="SimSun, 宋体" w:hAnsi="Times New Roman" w:cs="Arial"/>
                <w:kern w:val="2"/>
                <w:sz w:val="24"/>
                <w:szCs w:val="24"/>
                <w:lang w:eastAsia="zh-CN" w:bidi="hi-IN"/>
              </w:rPr>
              <w:t>Juridinio asmens panaikinimo (reorganizacijos) atveju, priskirti AN bylas kitam juridiniam asmeniui ANR.</w:t>
            </w:r>
          </w:p>
        </w:tc>
        <w:tc>
          <w:tcPr>
            <w:tcW w:w="6178" w:type="dxa"/>
            <w:tcBorders>
              <w:top w:val="single" w:sz="4" w:space="0" w:color="000000"/>
              <w:left w:val="single" w:sz="2" w:space="0" w:color="000001"/>
              <w:bottom w:val="single" w:sz="4" w:space="0" w:color="000000"/>
              <w:right w:val="single" w:sz="4" w:space="0" w:color="000000"/>
            </w:tcBorders>
            <w:shd w:val="clear" w:color="auto" w:fill="FFFFFF"/>
          </w:tcPr>
          <w:p w14:paraId="418716DD"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Nuo tam tikros datos naikinamas juridinis asmuo (pvz. LKPT). Visos AN bylos (ANR pagrindiniai ROIK), turi būti automatiniu būdu priskirtos kitam juridiniam asmeniui ir atsakingiems asmenims (šiuo metu dirbantiems LKPT). Visi LKPT darbuotojai (esami vartotojai bus perkelti su savo funkcijomis į Policijos departamento sudėtį. Taip pat ANR (PFS duomenys, apdorotini duomenys, Pranešimai apie naudotojus) turi būti perkelti naujam juridiniam asmeniui. „PFS duomenys“ už duomenų dorojimą atsakinga institucija LKPT privalo būti pakeista į naują instituciją. Pastaba. Naujai institucijai turi būti matomi visi archyviniai, esami duomenys.</w:t>
            </w:r>
          </w:p>
        </w:tc>
      </w:tr>
      <w:tr w:rsidR="00B112A0" w:rsidRPr="00F937D5" w14:paraId="5E12ED6D" w14:textId="77777777" w:rsidTr="00165B2B">
        <w:trPr>
          <w:trHeight w:val="1093"/>
        </w:trPr>
        <w:tc>
          <w:tcPr>
            <w:tcW w:w="963" w:type="dxa"/>
            <w:tcBorders>
              <w:top w:val="single" w:sz="4" w:space="0" w:color="000000"/>
              <w:left w:val="single" w:sz="4" w:space="0" w:color="000000"/>
              <w:bottom w:val="single" w:sz="4" w:space="0" w:color="000000"/>
            </w:tcBorders>
            <w:shd w:val="clear" w:color="auto" w:fill="FFFFFF"/>
          </w:tcPr>
          <w:p w14:paraId="6361F822"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4" w:space="0" w:color="000000"/>
              <w:left w:val="single" w:sz="2" w:space="0" w:color="000001"/>
              <w:bottom w:val="single" w:sz="4" w:space="0" w:color="000000"/>
              <w:right w:val="single" w:sz="2" w:space="0" w:color="000001"/>
            </w:tcBorders>
            <w:shd w:val="clear" w:color="auto" w:fill="FFFFFF"/>
          </w:tcPr>
          <w:p w14:paraId="40792E75"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Patobulinti ANR nutarimų vykdymo nutraukimo funkcionalumą.</w:t>
            </w:r>
          </w:p>
        </w:tc>
        <w:tc>
          <w:tcPr>
            <w:tcW w:w="6178" w:type="dxa"/>
            <w:tcBorders>
              <w:top w:val="single" w:sz="4" w:space="0" w:color="000000"/>
              <w:left w:val="single" w:sz="2" w:space="0" w:color="000001"/>
              <w:right w:val="single" w:sz="4" w:space="0" w:color="000000"/>
            </w:tcBorders>
            <w:shd w:val="clear" w:color="auto" w:fill="FFFFFF"/>
          </w:tcPr>
          <w:p w14:paraId="03F80CE2"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Nutraukti visų nutarimų administracinių nusižengimų bylose, priimtų iki 2015 m. liepos 1 d. vykdymą. Nutraukus vykdymą į MAIS turi būti išsiųsti ANR-MAIS specifikacijoje numatyti pranešimai. Nutraukus vykdymą, automatiškai perkelti į ANR archyvą.</w:t>
            </w:r>
          </w:p>
        </w:tc>
      </w:tr>
      <w:tr w:rsidR="00B112A0" w:rsidRPr="00F937D5" w14:paraId="5A9D21F0" w14:textId="77777777" w:rsidTr="00165B2B">
        <w:trPr>
          <w:trHeight w:val="240"/>
        </w:trPr>
        <w:tc>
          <w:tcPr>
            <w:tcW w:w="963" w:type="dxa"/>
            <w:tcBorders>
              <w:top w:val="single" w:sz="4" w:space="0" w:color="000000"/>
              <w:left w:val="single" w:sz="4" w:space="0" w:color="000000"/>
              <w:bottom w:val="single" w:sz="4" w:space="0" w:color="000000"/>
            </w:tcBorders>
            <w:shd w:val="clear" w:color="auto" w:fill="FFFFFF"/>
          </w:tcPr>
          <w:p w14:paraId="172B58B3"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4" w:space="0" w:color="000000"/>
              <w:left w:val="single" w:sz="2" w:space="0" w:color="000001"/>
              <w:bottom w:val="single" w:sz="4" w:space="0" w:color="000000"/>
              <w:right w:val="single" w:sz="2" w:space="0" w:color="000001"/>
            </w:tcBorders>
            <w:shd w:val="clear" w:color="auto" w:fill="FFFFFF"/>
          </w:tcPr>
          <w:p w14:paraId="74F6864B"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Procesinių sprendimų užfiksavimo naudojantis informacinėmis ir elektroninių ryšių technologijomis (per vaizdo konferencijas) funkcionalumo ANR sukūrimas.</w:t>
            </w:r>
          </w:p>
        </w:tc>
        <w:tc>
          <w:tcPr>
            <w:tcW w:w="6178" w:type="dxa"/>
            <w:tcBorders>
              <w:top w:val="single" w:sz="4" w:space="0" w:color="000000"/>
              <w:left w:val="single" w:sz="2" w:space="0" w:color="000001"/>
              <w:bottom w:val="single" w:sz="4" w:space="0" w:color="000000"/>
              <w:right w:val="single" w:sz="4" w:space="0" w:color="000000"/>
            </w:tcBorders>
            <w:shd w:val="clear" w:color="auto" w:fill="FFFFFF"/>
          </w:tcPr>
          <w:p w14:paraId="308ADF16"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Sukurti požymį, kad AN protokolas, apklausa ar priimtas nutarimas AN byloje ir kiti procesiniai sprendimai (tikslus procesinių sprendimų sąrašas bus pateiktas analizės metu) buvo užfiksuoti naudojantis informacinėmis ir elektroninių ryšių technologijomis (per vaizdo konferencijas). Atitinkamai pakoreguoti šių procesinių sprendimų vartotojo sąsajas. Taip pat šis požymis turi persikelti į formuojamus dokumentus. Pakoreguoti šiame reikalavime minimų procesinių sprendimų ir tyrimo veiksmų dokumentus.</w:t>
            </w:r>
          </w:p>
        </w:tc>
      </w:tr>
      <w:tr w:rsidR="00B112A0" w:rsidRPr="00F937D5" w14:paraId="7162F1A5" w14:textId="77777777" w:rsidTr="00165B2B">
        <w:trPr>
          <w:trHeight w:val="240"/>
        </w:trPr>
        <w:tc>
          <w:tcPr>
            <w:tcW w:w="963" w:type="dxa"/>
            <w:tcBorders>
              <w:top w:val="single" w:sz="4" w:space="0" w:color="000000"/>
              <w:left w:val="single" w:sz="4" w:space="0" w:color="000000"/>
              <w:bottom w:val="single" w:sz="4" w:space="0" w:color="000000"/>
            </w:tcBorders>
            <w:shd w:val="clear" w:color="auto" w:fill="FFFFFF"/>
          </w:tcPr>
          <w:p w14:paraId="592BD0F3"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4" w:space="0" w:color="000000"/>
              <w:left w:val="single" w:sz="2" w:space="0" w:color="000001"/>
              <w:bottom w:val="single" w:sz="4" w:space="0" w:color="000000"/>
              <w:right w:val="single" w:sz="2" w:space="0" w:color="000001"/>
            </w:tcBorders>
            <w:shd w:val="clear" w:color="auto" w:fill="FFFFFF"/>
          </w:tcPr>
          <w:p w14:paraId="00FBCF2D"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Automatinio proceso patobulinimas dėl DPKS klasifikatoriaus mobilumo savybės.</w:t>
            </w:r>
          </w:p>
        </w:tc>
        <w:tc>
          <w:tcPr>
            <w:tcW w:w="6178" w:type="dxa"/>
            <w:tcBorders>
              <w:top w:val="single" w:sz="4" w:space="0" w:color="000000"/>
              <w:left w:val="single" w:sz="2" w:space="0" w:color="000001"/>
              <w:bottom w:val="single" w:sz="4" w:space="0" w:color="000000"/>
              <w:right w:val="single" w:sz="4" w:space="0" w:color="000000"/>
            </w:tcBorders>
            <w:shd w:val="clear" w:color="auto" w:fill="FFFFFF"/>
          </w:tcPr>
          <w:p w14:paraId="57479D1B"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Pažymėjus klasifikatoriuje „ANRKL005“ savybę Mobilus = „Taip“, automatinis procesas turi veikti analogiškai, kaip dabar veikia su greičio matuokliais (klasifikatorius „ATPEIRKL067“).</w:t>
            </w:r>
          </w:p>
        </w:tc>
      </w:tr>
      <w:tr w:rsidR="00B112A0" w:rsidRPr="00F937D5" w14:paraId="27E4CDD8" w14:textId="77777777" w:rsidTr="00165B2B">
        <w:trPr>
          <w:trHeight w:val="240"/>
        </w:trPr>
        <w:tc>
          <w:tcPr>
            <w:tcW w:w="963" w:type="dxa"/>
            <w:tcBorders>
              <w:top w:val="single" w:sz="4" w:space="0" w:color="000000"/>
              <w:left w:val="single" w:sz="4" w:space="0" w:color="000000"/>
              <w:bottom w:val="single" w:sz="4" w:space="0" w:color="000000"/>
            </w:tcBorders>
            <w:shd w:val="clear" w:color="auto" w:fill="FFFFFF"/>
          </w:tcPr>
          <w:p w14:paraId="7BDD2E44"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755" w:type="dxa"/>
            <w:tcBorders>
              <w:top w:val="single" w:sz="4" w:space="0" w:color="000000"/>
              <w:left w:val="single" w:sz="2" w:space="0" w:color="000001"/>
              <w:bottom w:val="single" w:sz="4" w:space="0" w:color="000000"/>
              <w:right w:val="single" w:sz="2" w:space="0" w:color="000001"/>
            </w:tcBorders>
            <w:shd w:val="clear" w:color="auto" w:fill="FFFFFF"/>
          </w:tcPr>
          <w:p w14:paraId="6F44D31F"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Pakeisti PFS įrengimo vietos atvaizdavimą pagrindiniame ANR ROIK.</w:t>
            </w:r>
          </w:p>
        </w:tc>
        <w:tc>
          <w:tcPr>
            <w:tcW w:w="6178" w:type="dxa"/>
            <w:tcBorders>
              <w:top w:val="single" w:sz="4" w:space="0" w:color="000000"/>
              <w:left w:val="single" w:sz="2" w:space="0" w:color="000001"/>
              <w:bottom w:val="single" w:sz="4" w:space="0" w:color="000000"/>
              <w:right w:val="single" w:sz="4" w:space="0" w:color="000000"/>
            </w:tcBorders>
            <w:shd w:val="clear" w:color="auto" w:fill="FFFFFF"/>
          </w:tcPr>
          <w:p w14:paraId="3E64462C" w14:textId="77777777" w:rsidR="00B112A0" w:rsidRPr="00F937D5" w:rsidRDefault="00B112A0" w:rsidP="005A30FD">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Pagrindiniame ANR ROIK atvaizduoti PFS įrengimo vietos reikšmę tokiu pačiu principu kaip PFS ROIK, t. y. atvaizduoti tikslią įrengimo vietą kilometrais ir metrais, neapvalinant kilometrų į sveiką skaičių.</w:t>
            </w:r>
          </w:p>
        </w:tc>
      </w:tr>
    </w:tbl>
    <w:p w14:paraId="0FB9925E" w14:textId="77777777" w:rsidR="00B112A0" w:rsidRPr="00F937D5" w:rsidRDefault="00B112A0" w:rsidP="00B112A0">
      <w:pPr>
        <w:suppressAutoHyphens/>
        <w:spacing w:after="0" w:line="240" w:lineRule="auto"/>
        <w:textAlignment w:val="baseline"/>
        <w:rPr>
          <w:rFonts w:ascii="Times New Roman" w:eastAsia="SimSun, 宋体" w:hAnsi="Times New Roman" w:cs="Arial"/>
          <w:kern w:val="2"/>
          <w:sz w:val="24"/>
          <w:szCs w:val="24"/>
          <w:lang w:eastAsia="zh-CN" w:bidi="hi-IN"/>
        </w:rPr>
      </w:pPr>
    </w:p>
    <w:p w14:paraId="5D30CAC8" w14:textId="77777777" w:rsidR="00B112A0" w:rsidRPr="00F937D5" w:rsidRDefault="00B112A0" w:rsidP="00B112A0">
      <w:pPr>
        <w:numPr>
          <w:ilvl w:val="1"/>
          <w:numId w:val="27"/>
        </w:numPr>
        <w:tabs>
          <w:tab w:val="left" w:pos="567"/>
          <w:tab w:val="left" w:pos="851"/>
          <w:tab w:val="left" w:pos="1134"/>
          <w:tab w:val="left" w:pos="1418"/>
        </w:tabs>
        <w:suppressAutoHyphens/>
        <w:spacing w:after="0" w:line="240" w:lineRule="auto"/>
        <w:contextualSpacing/>
        <w:jc w:val="both"/>
        <w:textAlignment w:val="baseline"/>
        <w:rPr>
          <w:rFonts w:ascii="Times New Roman" w:eastAsia="Calibri" w:hAnsi="Times New Roman" w:cs="Times New Roman"/>
          <w:b/>
          <w:bCs/>
          <w:sz w:val="24"/>
          <w:szCs w:val="24"/>
        </w:rPr>
      </w:pPr>
      <w:r w:rsidRPr="00F937D5">
        <w:rPr>
          <w:rFonts w:ascii="Times New Roman" w:eastAsia="Calibri" w:hAnsi="Times New Roman" w:cs="Times New Roman"/>
          <w:b/>
          <w:bCs/>
          <w:sz w:val="24"/>
          <w:szCs w:val="24"/>
        </w:rPr>
        <w:t>Nefunkciniai reikalavimai</w:t>
      </w:r>
    </w:p>
    <w:p w14:paraId="33E0420F" w14:textId="77777777" w:rsidR="00B112A0" w:rsidRPr="00F937D5" w:rsidRDefault="00B112A0" w:rsidP="00B112A0">
      <w:pPr>
        <w:tabs>
          <w:tab w:val="left" w:pos="567"/>
          <w:tab w:val="left" w:pos="851"/>
          <w:tab w:val="left" w:pos="1134"/>
          <w:tab w:val="left" w:pos="1418"/>
        </w:tabs>
        <w:ind w:left="999"/>
        <w:contextualSpacing/>
        <w:rPr>
          <w:rFonts w:ascii="Times New Roman" w:eastAsia="Calibri" w:hAnsi="Times New Roman" w:cs="Times New Roman"/>
          <w:b/>
          <w:bCs/>
          <w:sz w:val="24"/>
          <w:szCs w:val="24"/>
        </w:rPr>
      </w:pPr>
    </w:p>
    <w:tbl>
      <w:tblPr>
        <w:tblW w:w="987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087"/>
        <w:gridCol w:w="8789"/>
      </w:tblGrid>
      <w:tr w:rsidR="00B112A0" w:rsidRPr="00F937D5" w14:paraId="10332EC9" w14:textId="77777777" w:rsidTr="00165B2B">
        <w:tc>
          <w:tcPr>
            <w:tcW w:w="1087" w:type="dxa"/>
            <w:shd w:val="clear" w:color="auto" w:fill="auto"/>
            <w:tcMar>
              <w:left w:w="49" w:type="dxa"/>
            </w:tcMar>
            <w:vAlign w:val="center"/>
          </w:tcPr>
          <w:p w14:paraId="3D530667" w14:textId="77777777" w:rsidR="00B112A0" w:rsidRPr="00F937D5" w:rsidRDefault="00B112A0" w:rsidP="00165B2B">
            <w:pPr>
              <w:suppressAutoHyphens/>
              <w:spacing w:after="0" w:line="240" w:lineRule="auto"/>
              <w:textAlignment w:val="baseline"/>
              <w:rPr>
                <w:rFonts w:ascii="Times New Roman" w:eastAsia="SimSun" w:hAnsi="Times New Roman" w:cs="Mangal"/>
                <w:b/>
                <w:color w:val="00000A"/>
                <w:kern w:val="2"/>
                <w:sz w:val="24"/>
                <w:szCs w:val="24"/>
                <w:lang w:eastAsia="zh-CN" w:bidi="hi-IN"/>
              </w:rPr>
            </w:pPr>
            <w:r w:rsidRPr="00F937D5">
              <w:rPr>
                <w:rFonts w:ascii="Times New Roman" w:eastAsia="SimSun" w:hAnsi="Times New Roman" w:cs="Mangal"/>
                <w:b/>
                <w:color w:val="00000A"/>
                <w:kern w:val="2"/>
                <w:sz w:val="24"/>
                <w:szCs w:val="24"/>
                <w:lang w:eastAsia="zh-CN" w:bidi="hi-IN"/>
              </w:rPr>
              <w:t>Nr.</w:t>
            </w:r>
          </w:p>
        </w:tc>
        <w:tc>
          <w:tcPr>
            <w:tcW w:w="8789" w:type="dxa"/>
            <w:shd w:val="clear" w:color="auto" w:fill="auto"/>
            <w:tcMar>
              <w:left w:w="49" w:type="dxa"/>
            </w:tcMar>
          </w:tcPr>
          <w:p w14:paraId="352965CD" w14:textId="77777777" w:rsidR="00B112A0" w:rsidRPr="00F937D5" w:rsidRDefault="00B112A0" w:rsidP="00165B2B">
            <w:pPr>
              <w:suppressAutoHyphens/>
              <w:spacing w:after="0" w:line="240" w:lineRule="auto"/>
              <w:textAlignment w:val="baseline"/>
              <w:rPr>
                <w:rFonts w:ascii="Times New Roman" w:eastAsia="SimSun" w:hAnsi="Times New Roman" w:cs="Mangal"/>
                <w:b/>
                <w:bCs/>
                <w:color w:val="00000A"/>
                <w:kern w:val="2"/>
                <w:sz w:val="24"/>
                <w:szCs w:val="24"/>
                <w:lang w:eastAsia="zh-CN" w:bidi="hi-IN"/>
              </w:rPr>
            </w:pPr>
            <w:r w:rsidRPr="00F937D5">
              <w:rPr>
                <w:rFonts w:ascii="Times New Roman" w:eastAsia="SimSun" w:hAnsi="Times New Roman" w:cs="Mangal"/>
                <w:b/>
                <w:bCs/>
                <w:color w:val="00000A"/>
                <w:kern w:val="2"/>
                <w:sz w:val="24"/>
                <w:szCs w:val="24"/>
                <w:lang w:eastAsia="zh-CN" w:bidi="hi-IN"/>
              </w:rPr>
              <w:t>Reikalavimas</w:t>
            </w:r>
          </w:p>
        </w:tc>
      </w:tr>
      <w:tr w:rsidR="00B112A0" w:rsidRPr="00F937D5" w14:paraId="6706349A" w14:textId="77777777" w:rsidTr="00165B2B">
        <w:tc>
          <w:tcPr>
            <w:tcW w:w="1087" w:type="dxa"/>
            <w:shd w:val="clear" w:color="auto" w:fill="auto"/>
            <w:tcMar>
              <w:left w:w="49" w:type="dxa"/>
            </w:tcMar>
            <w:vAlign w:val="center"/>
          </w:tcPr>
          <w:p w14:paraId="1696892C"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8789" w:type="dxa"/>
            <w:shd w:val="clear" w:color="auto" w:fill="auto"/>
            <w:tcMar>
              <w:left w:w="49" w:type="dxa"/>
            </w:tcMar>
          </w:tcPr>
          <w:p w14:paraId="281920A5" w14:textId="3CB89ADD" w:rsidR="00B112A0" w:rsidRPr="00F937D5" w:rsidRDefault="00B112A0" w:rsidP="005A30FD">
            <w:pPr>
              <w:spacing w:after="0"/>
              <w:jc w:val="both"/>
              <w:rPr>
                <w:rFonts w:ascii="Times New Roman" w:eastAsia="SimSun" w:hAnsi="Times New Roman" w:cs="Mangal"/>
                <w:color w:val="00000A"/>
                <w:kern w:val="2"/>
                <w:sz w:val="24"/>
                <w:szCs w:val="24"/>
                <w:lang w:val="it-IT" w:eastAsia="zh-CN" w:bidi="hi-IN"/>
              </w:rPr>
            </w:pPr>
            <w:r w:rsidRPr="00F937D5">
              <w:rPr>
                <w:rFonts w:ascii="Times New Roman" w:eastAsia="Calibri" w:hAnsi="Times New Roman" w:cs="Times New Roman"/>
                <w:sz w:val="24"/>
                <w:szCs w:val="24"/>
              </w:rPr>
              <w:t xml:space="preserve">Turi būti atliktas </w:t>
            </w:r>
            <w:proofErr w:type="spellStart"/>
            <w:r w:rsidRPr="00F937D5">
              <w:rPr>
                <w:rFonts w:ascii="Times New Roman" w:eastAsia="Calibri" w:hAnsi="Times New Roman" w:cs="Times New Roman"/>
                <w:i/>
                <w:sz w:val="24"/>
                <w:szCs w:val="24"/>
              </w:rPr>
              <w:t>atpr.vrm.lt</w:t>
            </w:r>
            <w:proofErr w:type="spellEnd"/>
            <w:r w:rsidRPr="00F937D5">
              <w:rPr>
                <w:rFonts w:ascii="Times New Roman" w:eastAsia="Calibri" w:hAnsi="Times New Roman" w:cs="Times New Roman"/>
                <w:sz w:val="24"/>
                <w:szCs w:val="24"/>
              </w:rPr>
              <w:t xml:space="preserve">  svetainės </w:t>
            </w:r>
            <w:r w:rsidRPr="00F937D5">
              <w:rPr>
                <w:rFonts w:ascii="Times New Roman" w:eastAsia="Calibri" w:hAnsi="Times New Roman" w:cs="Times New Roman"/>
                <w:kern w:val="2"/>
                <w:sz w:val="24"/>
                <w:szCs w:val="24"/>
                <w:lang w:eastAsia="ru-RU" w:bidi="hi-IN"/>
              </w:rPr>
              <w:t xml:space="preserve">saugumo pažeidžiamumų šalinimas pagal pateiktą ataskaitą (ataskaita bus pateikta pasirašius konfidencialumo pasižadėjimą žr. Sutarties </w:t>
            </w:r>
            <w:r w:rsidR="00BB1088">
              <w:rPr>
                <w:rFonts w:ascii="Times New Roman" w:eastAsia="Calibri" w:hAnsi="Times New Roman" w:cs="Times New Roman"/>
                <w:kern w:val="2"/>
                <w:sz w:val="24"/>
                <w:szCs w:val="24"/>
                <w:lang w:eastAsia="ru-RU" w:bidi="hi-IN"/>
              </w:rPr>
              <w:t xml:space="preserve">3 </w:t>
            </w:r>
            <w:r w:rsidRPr="00F937D5">
              <w:rPr>
                <w:rFonts w:ascii="Times New Roman" w:eastAsia="Calibri" w:hAnsi="Times New Roman" w:cs="Times New Roman"/>
                <w:kern w:val="2"/>
                <w:sz w:val="24"/>
                <w:szCs w:val="24"/>
                <w:lang w:eastAsia="ru-RU" w:bidi="hi-IN"/>
              </w:rPr>
              <w:lastRenderedPageBreak/>
              <w:t>priedą). Saugumo pažeidimai nustatyti pagal OWASP TOP 10 sąrašą. Pažeidžiamumas šalinamas per dvi iteracijas: pašalinus pažeidžiamumus, atliekamas pakartotinis testavimas, šalinami naujai paaiškėję pažeidžiamumai.</w:t>
            </w:r>
          </w:p>
        </w:tc>
      </w:tr>
      <w:tr w:rsidR="00B112A0" w:rsidRPr="00F937D5" w14:paraId="63DFF0BC" w14:textId="77777777" w:rsidTr="00165B2B">
        <w:tc>
          <w:tcPr>
            <w:tcW w:w="1087" w:type="dxa"/>
            <w:shd w:val="clear" w:color="auto" w:fill="auto"/>
            <w:tcMar>
              <w:left w:w="49" w:type="dxa"/>
            </w:tcMar>
            <w:vAlign w:val="center"/>
          </w:tcPr>
          <w:p w14:paraId="741CEFE7"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8789" w:type="dxa"/>
            <w:shd w:val="clear" w:color="auto" w:fill="auto"/>
            <w:tcMar>
              <w:left w:w="49" w:type="dxa"/>
            </w:tcMar>
          </w:tcPr>
          <w:p w14:paraId="152C69B5" w14:textId="77777777" w:rsidR="00B112A0" w:rsidRPr="00F937D5" w:rsidRDefault="00B112A0" w:rsidP="005A30FD">
            <w:pPr>
              <w:spacing w:after="0"/>
              <w:jc w:val="both"/>
              <w:rPr>
                <w:rFonts w:ascii="Times New Roman" w:eastAsia="NSimSun" w:hAnsi="Times New Roman" w:cs="Liberation Mono"/>
                <w:color w:val="00000A"/>
                <w:kern w:val="2"/>
                <w:sz w:val="24"/>
                <w:szCs w:val="24"/>
                <w:lang w:eastAsia="zh-CN" w:bidi="hi-IN"/>
              </w:rPr>
            </w:pPr>
            <w:r w:rsidRPr="00F937D5">
              <w:rPr>
                <w:rFonts w:ascii="Times New Roman" w:eastAsia="NSimSun" w:hAnsi="Times New Roman" w:cs="Liberation Mono"/>
                <w:color w:val="00000A"/>
                <w:kern w:val="2"/>
                <w:sz w:val="24"/>
                <w:szCs w:val="24"/>
                <w:lang w:eastAsia="zh-CN" w:bidi="hi-IN"/>
              </w:rPr>
              <w:t xml:space="preserve">ANR naudotojų autentifikavimo ir identifikavimo funkcionalumas turi būti perjungtas į Perkančiosios organizacijos naudojamą  </w:t>
            </w:r>
            <w:proofErr w:type="spellStart"/>
            <w:r w:rsidRPr="00F937D5">
              <w:rPr>
                <w:rFonts w:ascii="Times New Roman" w:eastAsia="NSimSun" w:hAnsi="Times New Roman" w:cs="Liberation Mono"/>
                <w:color w:val="00000A"/>
                <w:kern w:val="2"/>
                <w:sz w:val="24"/>
                <w:szCs w:val="24"/>
                <w:lang w:eastAsia="zh-CN" w:bidi="hi-IN"/>
              </w:rPr>
              <w:t>Oracle</w:t>
            </w:r>
            <w:proofErr w:type="spellEnd"/>
            <w:r w:rsidRPr="00F937D5">
              <w:rPr>
                <w:rFonts w:ascii="Times New Roman" w:eastAsia="NSimSun" w:hAnsi="Times New Roman" w:cs="Liberation Mono"/>
                <w:color w:val="00000A"/>
                <w:kern w:val="2"/>
                <w:sz w:val="24"/>
                <w:szCs w:val="24"/>
                <w:lang w:eastAsia="zh-CN" w:bidi="hi-IN"/>
              </w:rPr>
              <w:t xml:space="preserve"> Internet </w:t>
            </w:r>
            <w:proofErr w:type="spellStart"/>
            <w:r w:rsidRPr="00F937D5">
              <w:rPr>
                <w:rFonts w:ascii="Times New Roman" w:eastAsia="NSimSun" w:hAnsi="Times New Roman" w:cs="Liberation Mono"/>
                <w:color w:val="00000A"/>
                <w:kern w:val="2"/>
                <w:sz w:val="24"/>
                <w:szCs w:val="24"/>
                <w:lang w:eastAsia="zh-CN" w:bidi="hi-IN"/>
              </w:rPr>
              <w:t>Directory</w:t>
            </w:r>
            <w:proofErr w:type="spellEnd"/>
            <w:r w:rsidRPr="00F937D5">
              <w:rPr>
                <w:rFonts w:ascii="Times New Roman" w:eastAsia="NSimSun" w:hAnsi="Times New Roman" w:cs="Liberation Mono"/>
                <w:color w:val="00000A"/>
                <w:kern w:val="2"/>
                <w:sz w:val="24"/>
                <w:szCs w:val="24"/>
                <w:lang w:eastAsia="zh-CN" w:bidi="hi-IN"/>
              </w:rPr>
              <w:t xml:space="preserve"> (OID 12.2.1.3) ir Access Manager (AM 12.2.1.3.).</w:t>
            </w:r>
          </w:p>
        </w:tc>
      </w:tr>
      <w:tr w:rsidR="00B112A0" w:rsidRPr="00F937D5" w14:paraId="564CD87A" w14:textId="77777777" w:rsidTr="00165B2B">
        <w:tc>
          <w:tcPr>
            <w:tcW w:w="1087" w:type="dxa"/>
            <w:shd w:val="clear" w:color="auto" w:fill="auto"/>
            <w:tcMar>
              <w:left w:w="49" w:type="dxa"/>
            </w:tcMar>
            <w:vAlign w:val="center"/>
          </w:tcPr>
          <w:p w14:paraId="21234E0A"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8789" w:type="dxa"/>
            <w:shd w:val="clear" w:color="auto" w:fill="auto"/>
            <w:tcMar>
              <w:left w:w="49" w:type="dxa"/>
            </w:tcMar>
          </w:tcPr>
          <w:p w14:paraId="6275A521" w14:textId="77777777" w:rsidR="00B112A0" w:rsidRPr="00F937D5" w:rsidRDefault="00B112A0" w:rsidP="005A30FD">
            <w:pPr>
              <w:spacing w:after="0"/>
              <w:jc w:val="both"/>
              <w:rPr>
                <w:rFonts w:ascii="Times New Roman" w:eastAsia="Calibri" w:hAnsi="Times New Roman" w:cs="Times New Roman"/>
                <w:sz w:val="24"/>
                <w:szCs w:val="24"/>
              </w:rPr>
            </w:pPr>
            <w:r w:rsidRPr="00F937D5">
              <w:rPr>
                <w:rFonts w:ascii="Times New Roman" w:eastAsia="Calibri" w:hAnsi="Times New Roman" w:cs="Times New Roman"/>
                <w:sz w:val="24"/>
                <w:szCs w:val="24"/>
              </w:rPr>
              <w:t>Išanalizuoti ir identifikuoti ANR užklausas, reikalaujančias itin daug infrastruktūrinių resursų, stabdančių ANR veiklą, bei klasifikatorių naudojimo mechanizmą, optimizuoti šias užklausas ir įdiegti naują klasifikatorių naudojimo sprendimą.</w:t>
            </w:r>
          </w:p>
        </w:tc>
      </w:tr>
      <w:tr w:rsidR="00B112A0" w:rsidRPr="00F937D5" w14:paraId="4CEE2690" w14:textId="77777777" w:rsidTr="00165B2B">
        <w:tc>
          <w:tcPr>
            <w:tcW w:w="1087" w:type="dxa"/>
            <w:shd w:val="clear" w:color="auto" w:fill="auto"/>
            <w:tcMar>
              <w:left w:w="49" w:type="dxa"/>
            </w:tcMar>
            <w:vAlign w:val="center"/>
          </w:tcPr>
          <w:p w14:paraId="5D1992F7"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8789" w:type="dxa"/>
            <w:shd w:val="clear" w:color="auto" w:fill="auto"/>
            <w:tcMar>
              <w:left w:w="49" w:type="dxa"/>
            </w:tcMar>
          </w:tcPr>
          <w:p w14:paraId="3927F4FB" w14:textId="77777777" w:rsidR="00B112A0" w:rsidRPr="00F937D5" w:rsidRDefault="00B112A0" w:rsidP="005A30FD">
            <w:pPr>
              <w:suppressAutoHyphens/>
              <w:spacing w:after="0" w:line="240" w:lineRule="auto"/>
              <w:jc w:val="both"/>
              <w:textAlignment w:val="baseline"/>
              <w:rPr>
                <w:rFonts w:ascii="Times New Roman" w:eastAsia="Times New Roman" w:hAnsi="Times New Roman" w:cs="Times New Roman"/>
                <w:kern w:val="2"/>
                <w:sz w:val="24"/>
                <w:szCs w:val="24"/>
                <w:lang w:eastAsia="ru-RU" w:bidi="hi-IN"/>
              </w:rPr>
            </w:pPr>
            <w:r w:rsidRPr="00F937D5">
              <w:rPr>
                <w:rFonts w:ascii="Times New Roman" w:eastAsia="Calibri" w:hAnsi="Times New Roman" w:cs="Times New Roman"/>
                <w:sz w:val="24"/>
                <w:szCs w:val="24"/>
              </w:rPr>
              <w:t xml:space="preserve">Prisijungimui prie ANR turi būti naudojama SSO (angl. </w:t>
            </w:r>
            <w:proofErr w:type="spellStart"/>
            <w:r w:rsidRPr="00F937D5">
              <w:rPr>
                <w:rFonts w:ascii="Times New Roman" w:eastAsia="Calibri" w:hAnsi="Times New Roman" w:cs="Times New Roman"/>
                <w:i/>
                <w:sz w:val="24"/>
                <w:szCs w:val="24"/>
              </w:rPr>
              <w:t>Single</w:t>
            </w:r>
            <w:proofErr w:type="spellEnd"/>
            <w:r w:rsidRPr="00F937D5">
              <w:rPr>
                <w:rFonts w:ascii="Times New Roman" w:eastAsia="Calibri" w:hAnsi="Times New Roman" w:cs="Times New Roman"/>
                <w:i/>
                <w:sz w:val="24"/>
                <w:szCs w:val="24"/>
              </w:rPr>
              <w:t xml:space="preserve"> </w:t>
            </w:r>
            <w:proofErr w:type="spellStart"/>
            <w:r w:rsidRPr="00F937D5">
              <w:rPr>
                <w:rFonts w:ascii="Times New Roman" w:eastAsia="Calibri" w:hAnsi="Times New Roman" w:cs="Times New Roman"/>
                <w:i/>
                <w:sz w:val="24"/>
                <w:szCs w:val="24"/>
              </w:rPr>
              <w:t>Sign</w:t>
            </w:r>
            <w:proofErr w:type="spellEnd"/>
            <w:r w:rsidRPr="00F937D5">
              <w:rPr>
                <w:rFonts w:ascii="Times New Roman" w:eastAsia="Calibri" w:hAnsi="Times New Roman" w:cs="Times New Roman"/>
                <w:i/>
                <w:sz w:val="24"/>
                <w:szCs w:val="24"/>
              </w:rPr>
              <w:t xml:space="preserve"> One</w:t>
            </w:r>
            <w:r w:rsidRPr="00F937D5">
              <w:rPr>
                <w:rFonts w:ascii="Times New Roman" w:eastAsia="Calibri" w:hAnsi="Times New Roman" w:cs="Times New Roman"/>
                <w:sz w:val="24"/>
                <w:szCs w:val="24"/>
              </w:rPr>
              <w:t>) technologija.</w:t>
            </w:r>
          </w:p>
        </w:tc>
      </w:tr>
    </w:tbl>
    <w:p w14:paraId="674A32EF" w14:textId="77777777" w:rsidR="00B112A0" w:rsidRPr="00F937D5" w:rsidRDefault="00B112A0" w:rsidP="00B112A0">
      <w:pPr>
        <w:suppressAutoHyphens/>
        <w:spacing w:after="0" w:line="240" w:lineRule="auto"/>
        <w:textAlignment w:val="baseline"/>
        <w:rPr>
          <w:rFonts w:ascii="Times New Roman" w:eastAsia="SimSun, 宋体" w:hAnsi="Times New Roman" w:cs="Arial"/>
          <w:kern w:val="2"/>
          <w:sz w:val="24"/>
          <w:szCs w:val="24"/>
          <w:lang w:eastAsia="zh-CN" w:bidi="hi-IN"/>
        </w:rPr>
      </w:pPr>
    </w:p>
    <w:p w14:paraId="2490E5C0" w14:textId="77777777" w:rsidR="00B112A0" w:rsidRPr="00F937D5" w:rsidRDefault="00B112A0" w:rsidP="00B112A0">
      <w:pPr>
        <w:numPr>
          <w:ilvl w:val="1"/>
          <w:numId w:val="27"/>
        </w:numPr>
        <w:tabs>
          <w:tab w:val="left" w:pos="567"/>
          <w:tab w:val="left" w:pos="851"/>
          <w:tab w:val="left" w:pos="1134"/>
          <w:tab w:val="left" w:pos="1418"/>
        </w:tabs>
        <w:suppressAutoHyphens/>
        <w:spacing w:after="0" w:line="240" w:lineRule="auto"/>
        <w:contextualSpacing/>
        <w:jc w:val="both"/>
        <w:textAlignment w:val="baseline"/>
        <w:rPr>
          <w:rFonts w:ascii="Times New Roman" w:eastAsia="Times New Roman" w:hAnsi="Times New Roman" w:cs="Times New Roman"/>
          <w:kern w:val="2"/>
          <w:sz w:val="24"/>
          <w:szCs w:val="24"/>
          <w:lang w:eastAsia="ru-RU" w:bidi="hi-IN"/>
        </w:rPr>
      </w:pPr>
      <w:r w:rsidRPr="00F937D5">
        <w:rPr>
          <w:rFonts w:ascii="Liberation Serif" w:eastAsia="SimSun, 宋体" w:hAnsi="Liberation Serif" w:cs="Arial"/>
          <w:kern w:val="2"/>
          <w:sz w:val="24"/>
          <w:szCs w:val="24"/>
          <w:lang w:eastAsia="zh-CN" w:bidi="hi-IN"/>
        </w:rPr>
        <w:t>ANR PĮ priežiūros paslaugos užsakytiems pakeitimams ir patobulinimams atlikti (pagal paslaugų valandinį įkainį).</w:t>
      </w:r>
    </w:p>
    <w:tbl>
      <w:tblPr>
        <w:tblW w:w="989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8"/>
        <w:gridCol w:w="1087"/>
        <w:gridCol w:w="2614"/>
        <w:gridCol w:w="6177"/>
      </w:tblGrid>
      <w:tr w:rsidR="00B112A0" w:rsidRPr="00F937D5" w14:paraId="633BA126" w14:textId="77777777" w:rsidTr="00165B2B">
        <w:trPr>
          <w:gridBefore w:val="1"/>
          <w:wBefore w:w="18" w:type="dxa"/>
        </w:trPr>
        <w:tc>
          <w:tcPr>
            <w:tcW w:w="1087" w:type="dxa"/>
            <w:shd w:val="clear" w:color="auto" w:fill="auto"/>
            <w:tcMar>
              <w:left w:w="49" w:type="dxa"/>
            </w:tcMar>
            <w:vAlign w:val="center"/>
          </w:tcPr>
          <w:p w14:paraId="65CAB1F1" w14:textId="77777777" w:rsidR="00B112A0" w:rsidRPr="00F937D5" w:rsidRDefault="00B112A0" w:rsidP="00165B2B">
            <w:pPr>
              <w:suppressAutoHyphens/>
              <w:spacing w:after="0" w:line="240" w:lineRule="auto"/>
              <w:textAlignment w:val="baseline"/>
              <w:rPr>
                <w:rFonts w:ascii="Times New Roman" w:eastAsia="SimSun" w:hAnsi="Times New Roman" w:cs="Mangal"/>
                <w:b/>
                <w:color w:val="00000A"/>
                <w:kern w:val="2"/>
                <w:sz w:val="24"/>
                <w:szCs w:val="24"/>
                <w:lang w:eastAsia="zh-CN" w:bidi="hi-IN"/>
              </w:rPr>
            </w:pPr>
            <w:r w:rsidRPr="00F937D5">
              <w:rPr>
                <w:rFonts w:ascii="Times New Roman" w:eastAsia="SimSun" w:hAnsi="Times New Roman" w:cs="Mangal"/>
                <w:b/>
                <w:color w:val="00000A"/>
                <w:kern w:val="2"/>
                <w:sz w:val="24"/>
                <w:szCs w:val="24"/>
                <w:lang w:eastAsia="zh-CN" w:bidi="hi-IN"/>
              </w:rPr>
              <w:t>Nr.</w:t>
            </w:r>
          </w:p>
        </w:tc>
        <w:tc>
          <w:tcPr>
            <w:tcW w:w="8791" w:type="dxa"/>
            <w:gridSpan w:val="2"/>
            <w:shd w:val="clear" w:color="auto" w:fill="auto"/>
            <w:tcMar>
              <w:left w:w="49" w:type="dxa"/>
            </w:tcMar>
          </w:tcPr>
          <w:p w14:paraId="2C19576C" w14:textId="77777777" w:rsidR="00B112A0" w:rsidRPr="00F937D5" w:rsidRDefault="00B112A0" w:rsidP="00165B2B">
            <w:pPr>
              <w:suppressAutoHyphens/>
              <w:spacing w:after="0" w:line="240" w:lineRule="auto"/>
              <w:textAlignment w:val="baseline"/>
              <w:rPr>
                <w:rFonts w:ascii="Times New Roman" w:eastAsia="SimSun" w:hAnsi="Times New Roman" w:cs="Mangal"/>
                <w:b/>
                <w:bCs/>
                <w:color w:val="00000A"/>
                <w:kern w:val="2"/>
                <w:sz w:val="24"/>
                <w:szCs w:val="24"/>
                <w:lang w:eastAsia="zh-CN" w:bidi="hi-IN"/>
              </w:rPr>
            </w:pPr>
            <w:r w:rsidRPr="00F937D5">
              <w:rPr>
                <w:rFonts w:ascii="Times New Roman" w:eastAsia="SimSun" w:hAnsi="Times New Roman" w:cs="Mangal"/>
                <w:b/>
                <w:bCs/>
                <w:color w:val="00000A"/>
                <w:kern w:val="2"/>
                <w:sz w:val="24"/>
                <w:szCs w:val="24"/>
                <w:lang w:eastAsia="zh-CN" w:bidi="hi-IN"/>
              </w:rPr>
              <w:t>Reikalavimas</w:t>
            </w:r>
          </w:p>
        </w:tc>
      </w:tr>
      <w:tr w:rsidR="00B112A0" w:rsidRPr="00F937D5" w14:paraId="32246BCF" w14:textId="77777777" w:rsidTr="00165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tblCellMar>
        </w:tblPrEx>
        <w:trPr>
          <w:trHeight w:val="240"/>
        </w:trPr>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A2239F" w14:textId="77777777" w:rsidR="00B112A0" w:rsidRPr="00F937D5" w:rsidRDefault="00B112A0" w:rsidP="00B112A0">
            <w:pPr>
              <w:widowControl w:val="0"/>
              <w:numPr>
                <w:ilvl w:val="0"/>
                <w:numId w:val="47"/>
              </w:numPr>
              <w:suppressAutoHyphens/>
              <w:spacing w:after="0" w:line="240" w:lineRule="auto"/>
              <w:ind w:left="709" w:hanging="709"/>
              <w:jc w:val="both"/>
              <w:textAlignment w:val="baseline"/>
              <w:rPr>
                <w:rFonts w:ascii="Times New Roman" w:eastAsia="SimSun, 宋体" w:hAnsi="Times New Roman" w:cs="Mangal"/>
                <w:color w:val="00000A"/>
                <w:kern w:val="2"/>
                <w:sz w:val="24"/>
                <w:szCs w:val="24"/>
                <w:lang w:eastAsia="zh-CN" w:bidi="hi-IN"/>
              </w:rPr>
            </w:pPr>
          </w:p>
        </w:tc>
        <w:tc>
          <w:tcPr>
            <w:tcW w:w="2614" w:type="dxa"/>
            <w:tcBorders>
              <w:top w:val="single" w:sz="4" w:space="0" w:color="auto"/>
              <w:left w:val="single" w:sz="4" w:space="0" w:color="auto"/>
              <w:bottom w:val="single" w:sz="4" w:space="0" w:color="auto"/>
              <w:right w:val="single" w:sz="4" w:space="0" w:color="auto"/>
            </w:tcBorders>
            <w:shd w:val="clear" w:color="auto" w:fill="FFFFFF"/>
          </w:tcPr>
          <w:p w14:paraId="443D450E" w14:textId="77777777" w:rsidR="00B112A0" w:rsidRPr="00F937D5" w:rsidRDefault="00B112A0" w:rsidP="00165B2B">
            <w:pPr>
              <w:widowControl w:val="0"/>
              <w:suppressAutoHyphens/>
              <w:spacing w:after="0" w:line="240" w:lineRule="auto"/>
              <w:textAlignment w:val="baseline"/>
              <w:rPr>
                <w:rFonts w:ascii="Liberation Serif" w:eastAsia="SimSun, 宋体" w:hAnsi="Liberation Serif" w:cs="Arial"/>
                <w:kern w:val="2"/>
                <w:sz w:val="24"/>
                <w:szCs w:val="24"/>
                <w:lang w:eastAsia="zh-CN" w:bidi="hi-IN"/>
              </w:rPr>
            </w:pPr>
            <w:r w:rsidRPr="00F937D5">
              <w:rPr>
                <w:rFonts w:ascii="Liberation Serif" w:eastAsia="SimSun, 宋体" w:hAnsi="Liberation Serif" w:cs="Arial"/>
                <w:kern w:val="2"/>
                <w:sz w:val="24"/>
                <w:szCs w:val="24"/>
                <w:lang w:eastAsia="zh-CN" w:bidi="hi-IN"/>
              </w:rPr>
              <w:t>ANR PĮ priežiūros paslaugos užsakytiems pakeitimams ir patobulinimams atlikti (pagal paslaugų valandinį įkainį).</w:t>
            </w:r>
          </w:p>
        </w:tc>
        <w:tc>
          <w:tcPr>
            <w:tcW w:w="6177" w:type="dxa"/>
            <w:tcBorders>
              <w:top w:val="single" w:sz="4" w:space="0" w:color="auto"/>
              <w:left w:val="single" w:sz="4" w:space="0" w:color="auto"/>
              <w:bottom w:val="single" w:sz="4" w:space="0" w:color="auto"/>
              <w:right w:val="single" w:sz="4" w:space="0" w:color="auto"/>
            </w:tcBorders>
            <w:shd w:val="clear" w:color="auto" w:fill="FFFFFF"/>
          </w:tcPr>
          <w:p w14:paraId="7D8F1010" w14:textId="2B87F02B" w:rsidR="00B112A0" w:rsidRPr="00F937D5" w:rsidRDefault="00B112A0" w:rsidP="00614A88">
            <w:pPr>
              <w:widowControl w:val="0"/>
              <w:tabs>
                <w:tab w:val="left" w:pos="296"/>
                <w:tab w:val="left" w:pos="846"/>
              </w:tabs>
              <w:suppressAutoHyphens/>
              <w:spacing w:after="200" w:line="240" w:lineRule="auto"/>
              <w:contextualSpacing/>
              <w:jc w:val="both"/>
              <w:textAlignment w:val="baseline"/>
              <w:rPr>
                <w:rFonts w:ascii="Times New Roman" w:eastAsia="Times New Roman" w:hAnsi="Times New Roman" w:cs="Times New Roman"/>
                <w:color w:val="000000"/>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Sutarties galiojimo metu </w:t>
            </w:r>
            <w:r w:rsidR="009671F1">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 xml:space="preserve">iekėjas turi suteikti ANR programinės įrangos </w:t>
            </w:r>
            <w:r w:rsidRPr="00F937D5">
              <w:rPr>
                <w:rFonts w:ascii="Times New Roman" w:eastAsia="Times New Roman" w:hAnsi="Times New Roman" w:cs="Times New Roman"/>
                <w:color w:val="000000"/>
                <w:kern w:val="2"/>
                <w:sz w:val="24"/>
                <w:szCs w:val="24"/>
                <w:lang w:eastAsia="ru-RU" w:bidi="hi-IN"/>
              </w:rPr>
              <w:t xml:space="preserve">priežiūros paslaugas </w:t>
            </w:r>
            <w:r w:rsidRPr="00F937D5">
              <w:rPr>
                <w:rFonts w:ascii="Times New Roman" w:eastAsia="Times New Roman" w:hAnsi="Times New Roman" w:cs="Times New Roman"/>
                <w:kern w:val="2"/>
                <w:sz w:val="24"/>
                <w:szCs w:val="24"/>
                <w:lang w:eastAsia="ru-RU" w:bidi="hi-IN"/>
              </w:rPr>
              <w:t>užsakytiems pakeitimams ir patobulinimams atlikti, susijusiais su teisės aktų, reglamentuojančių ANR veiklą, pakeitimais, taip pat apimančias ANR</w:t>
            </w:r>
            <w:r w:rsidRPr="00F937D5">
              <w:rPr>
                <w:rFonts w:ascii="Times New Roman" w:eastAsia="Times New Roman" w:hAnsi="Times New Roman" w:cs="Times New Roman"/>
                <w:color w:val="000000"/>
                <w:kern w:val="2"/>
                <w:sz w:val="24"/>
                <w:szCs w:val="24"/>
                <w:lang w:eastAsia="ru-RU" w:bidi="hi-IN"/>
              </w:rPr>
              <w:t xml:space="preserve"> programinės įrangos veikimo klaidų ir problemų, atsiradusių dėl </w:t>
            </w:r>
            <w:r w:rsidR="009F5419">
              <w:rPr>
                <w:rFonts w:ascii="Times New Roman" w:eastAsia="Times New Roman" w:hAnsi="Times New Roman" w:cs="Times New Roman"/>
                <w:color w:val="000000"/>
                <w:kern w:val="2"/>
                <w:sz w:val="24"/>
                <w:szCs w:val="24"/>
                <w:lang w:eastAsia="ru-RU" w:bidi="hi-IN"/>
              </w:rPr>
              <w:t>P</w:t>
            </w:r>
            <w:r w:rsidR="005751A2">
              <w:rPr>
                <w:rFonts w:ascii="Times New Roman" w:eastAsia="Times New Roman" w:hAnsi="Times New Roman" w:cs="Times New Roman"/>
                <w:color w:val="000000"/>
                <w:kern w:val="2"/>
                <w:sz w:val="24"/>
                <w:szCs w:val="24"/>
                <w:lang w:eastAsia="ru-RU" w:bidi="hi-IN"/>
              </w:rPr>
              <w:t>e</w:t>
            </w:r>
            <w:r w:rsidRPr="00F937D5">
              <w:rPr>
                <w:rFonts w:ascii="Times New Roman" w:eastAsia="Times New Roman" w:hAnsi="Times New Roman" w:cs="Times New Roman"/>
                <w:color w:val="000000"/>
                <w:kern w:val="2"/>
                <w:sz w:val="24"/>
                <w:szCs w:val="24"/>
                <w:lang w:eastAsia="ru-RU" w:bidi="hi-IN"/>
              </w:rPr>
              <w:t>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modifikavimas užtikrinant efektyvų jos veikimą); ANR veikimui reikalingos programinės įrangos ir tarpusavio sąsajų tvarkymą; ANR administratorių konsultavimą (telefonu, elektroniniu paštu) dėl sistemos nepertraukiamo veikimo ir pagalbos teikimą sprendžiant problemas; pagalbos Užsakovui teikimas vykdant duomenų atkūrimą iš atsarginių duomenų kopijų; ANR naudotojų valdymo sistemos taikomosios programinės įrangos tobulinimo darbus.</w:t>
            </w:r>
          </w:p>
          <w:p w14:paraId="74682348" w14:textId="64D875F2" w:rsidR="00B112A0" w:rsidRPr="00F937D5" w:rsidRDefault="00B112A0" w:rsidP="00614A88">
            <w:pPr>
              <w:suppressAutoHyphens/>
              <w:spacing w:after="0" w:line="240" w:lineRule="auto"/>
              <w:jc w:val="both"/>
              <w:textAlignment w:val="baseline"/>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Nurodytos paslaugos perkamos pagal </w:t>
            </w:r>
            <w:r w:rsidR="009F5419">
              <w:rPr>
                <w:rFonts w:ascii="Times New Roman" w:eastAsia="Times New Roman" w:hAnsi="Times New Roman" w:cs="Times New Roman"/>
                <w:kern w:val="2"/>
                <w:sz w:val="24"/>
                <w:szCs w:val="24"/>
                <w:lang w:eastAsia="ru-RU" w:bidi="hi-IN"/>
              </w:rPr>
              <w:t>P</w:t>
            </w:r>
            <w:r w:rsidRPr="00F937D5">
              <w:rPr>
                <w:rFonts w:ascii="Times New Roman" w:eastAsia="Times New Roman" w:hAnsi="Times New Roman" w:cs="Times New Roman"/>
                <w:kern w:val="2"/>
                <w:sz w:val="24"/>
                <w:szCs w:val="24"/>
                <w:lang w:eastAsia="ru-RU" w:bidi="hi-IN"/>
              </w:rPr>
              <w:t>erkančiosios organizacijos poreikį, tiekėjui pateikus raštišką paslaugų užsakymą</w:t>
            </w:r>
            <w:r w:rsidRPr="00F937D5">
              <w:rPr>
                <w:rFonts w:ascii="Times New Roman" w:eastAsia="Times New Roman" w:hAnsi="Times New Roman" w:cs="Times New Roman"/>
                <w:color w:val="000000"/>
                <w:kern w:val="2"/>
                <w:sz w:val="24"/>
                <w:szCs w:val="24"/>
                <w:lang w:eastAsia="ru-RU" w:bidi="hi-IN"/>
              </w:rPr>
              <w:t>.</w:t>
            </w:r>
            <w:r w:rsidRPr="00F937D5">
              <w:rPr>
                <w:rFonts w:ascii="Times New Roman" w:eastAsia="Times New Roman" w:hAnsi="Times New Roman" w:cs="Times New Roman"/>
                <w:kern w:val="2"/>
                <w:sz w:val="24"/>
                <w:szCs w:val="24"/>
                <w:lang w:eastAsia="ru-RU" w:bidi="hi-IN"/>
              </w:rPr>
              <w:t xml:space="preserve"> Kiekviename užsakyme gali būti užsakoma viena ar daugiau paslaugų. Po paslaugos užsakymo pateikimo, </w:t>
            </w:r>
            <w:r w:rsidR="005A30FD">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w:t>
            </w:r>
          </w:p>
          <w:p w14:paraId="5A1E6988" w14:textId="5F31C0FE" w:rsidR="00B112A0" w:rsidRPr="00F937D5" w:rsidRDefault="00B112A0" w:rsidP="00614A88">
            <w:pPr>
              <w:suppressAutoHyphens/>
              <w:spacing w:after="0" w:line="240" w:lineRule="auto"/>
              <w:jc w:val="both"/>
              <w:textAlignment w:val="baseline"/>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lastRenderedPageBreak/>
              <w:t xml:space="preserve">Paslaugos gali būti užsakomos iki </w:t>
            </w:r>
            <w:r w:rsidR="0004368B">
              <w:rPr>
                <w:rFonts w:ascii="Times New Roman" w:eastAsia="Times New Roman" w:hAnsi="Times New Roman" w:cs="Times New Roman"/>
                <w:kern w:val="2"/>
                <w:sz w:val="24"/>
                <w:szCs w:val="24"/>
                <w:lang w:eastAsia="ru-RU" w:bidi="hi-IN"/>
              </w:rPr>
              <w:t>S</w:t>
            </w:r>
            <w:r w:rsidRPr="00F937D5">
              <w:rPr>
                <w:rFonts w:ascii="Times New Roman" w:eastAsia="Times New Roman" w:hAnsi="Times New Roman" w:cs="Times New Roman"/>
                <w:kern w:val="2"/>
                <w:sz w:val="24"/>
                <w:szCs w:val="24"/>
                <w:lang w:eastAsia="ru-RU" w:bidi="hi-IN"/>
              </w:rPr>
              <w:t>utarties pabaigos likus ne mažiau kaip 60 (šešiasdešimt) kalendorinių dienų.</w:t>
            </w:r>
          </w:p>
          <w:p w14:paraId="5BC3614B" w14:textId="12C5C8B0" w:rsidR="00B112A0" w:rsidRPr="00F937D5" w:rsidRDefault="00B112A0" w:rsidP="00614A88">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ru-RU" w:bidi="hi-IN"/>
              </w:rPr>
            </w:pPr>
            <w:r w:rsidRPr="00F937D5">
              <w:rPr>
                <w:rFonts w:ascii="Times New Roman" w:eastAsia="Times New Roman" w:hAnsi="Times New Roman" w:cs="Times New Roman"/>
                <w:kern w:val="2"/>
                <w:sz w:val="24"/>
                <w:szCs w:val="24"/>
                <w:lang w:eastAsia="ru-RU" w:bidi="hi-IN"/>
              </w:rPr>
              <w:t xml:space="preserve">Už suteiktas paslaugas apmokama pagal </w:t>
            </w:r>
            <w:r w:rsidR="005A30FD">
              <w:rPr>
                <w:rFonts w:ascii="Times New Roman" w:eastAsia="Times New Roman" w:hAnsi="Times New Roman" w:cs="Times New Roman"/>
                <w:kern w:val="2"/>
                <w:sz w:val="24"/>
                <w:szCs w:val="24"/>
                <w:lang w:eastAsia="ru-RU" w:bidi="hi-IN"/>
              </w:rPr>
              <w:t>T</w:t>
            </w:r>
            <w:r w:rsidRPr="00F937D5">
              <w:rPr>
                <w:rFonts w:ascii="Times New Roman" w:eastAsia="Times New Roman" w:hAnsi="Times New Roman" w:cs="Times New Roman"/>
                <w:kern w:val="2"/>
                <w:sz w:val="24"/>
                <w:szCs w:val="24"/>
                <w:lang w:eastAsia="ru-RU" w:bidi="hi-IN"/>
              </w:rPr>
              <w:t>iekėjo pasiūlyme nurodytą fiksuotą ANR priežiūros paslaugų įkainį (pagal paslaugų teikimo laiką).</w:t>
            </w:r>
          </w:p>
          <w:p w14:paraId="717860BF" w14:textId="77777777" w:rsidR="00B112A0" w:rsidRPr="00F937D5" w:rsidRDefault="00B112A0" w:rsidP="00614A88">
            <w:pPr>
              <w:widowControl w:val="0"/>
              <w:suppressAutoHyphens/>
              <w:spacing w:after="0" w:line="240" w:lineRule="auto"/>
              <w:jc w:val="both"/>
              <w:textAlignment w:val="baseline"/>
              <w:rPr>
                <w:rFonts w:ascii="Liberation Serif" w:eastAsia="SimSun, 宋体" w:hAnsi="Liberation Serif" w:cs="Arial"/>
                <w:kern w:val="2"/>
                <w:sz w:val="24"/>
                <w:szCs w:val="24"/>
                <w:lang w:eastAsia="zh-CN" w:bidi="hi-IN"/>
              </w:rPr>
            </w:pPr>
            <w:r w:rsidRPr="00F937D5">
              <w:rPr>
                <w:rFonts w:ascii="Times New Roman" w:eastAsia="Times New Roman" w:hAnsi="Times New Roman" w:cs="Times New Roman"/>
                <w:kern w:val="2"/>
                <w:sz w:val="24"/>
                <w:szCs w:val="24"/>
                <w:lang w:eastAsia="ru-RU" w:bidi="hi-IN"/>
              </w:rPr>
              <w:t>Konkrečiam paslaugos rezultatui teikiama 12 (dvylikos) mėnesių garantinė priežiūra pagal šios techninės specifikacijos 4.5 papunktyje nurodytus reikalavimus nuo šios rezultato paslaugų perdavimo-priėmimo akto pasirašymo dienos.</w:t>
            </w:r>
          </w:p>
        </w:tc>
      </w:tr>
    </w:tbl>
    <w:p w14:paraId="3A48B7BF" w14:textId="77777777" w:rsidR="00B112A0" w:rsidRPr="00F937D5" w:rsidRDefault="00B112A0" w:rsidP="00B112A0">
      <w:pPr>
        <w:suppressAutoHyphens/>
        <w:spacing w:after="0" w:line="240" w:lineRule="auto"/>
        <w:textAlignment w:val="baseline"/>
        <w:rPr>
          <w:rFonts w:ascii="Times New Roman" w:eastAsia="SimSun, 宋体" w:hAnsi="Times New Roman" w:cs="Arial"/>
          <w:kern w:val="2"/>
          <w:sz w:val="24"/>
          <w:szCs w:val="24"/>
          <w:lang w:eastAsia="zh-CN" w:bidi="hi-IN"/>
        </w:rPr>
      </w:pPr>
    </w:p>
    <w:p w14:paraId="12BDE22C" w14:textId="77777777" w:rsidR="00B112A0" w:rsidRPr="00F937D5" w:rsidRDefault="00B112A0" w:rsidP="00D14DEF">
      <w:pPr>
        <w:keepNext/>
        <w:keepLines/>
        <w:numPr>
          <w:ilvl w:val="0"/>
          <w:numId w:val="24"/>
        </w:numPr>
        <w:suppressAutoHyphens/>
        <w:spacing w:after="0" w:line="240" w:lineRule="auto"/>
        <w:ind w:left="0" w:firstLine="709"/>
        <w:contextualSpacing/>
        <w:jc w:val="both"/>
        <w:textAlignment w:val="baseline"/>
        <w:outlineLvl w:val="1"/>
        <w:rPr>
          <w:rFonts w:ascii="Times New Roman" w:eastAsia="Calibri" w:hAnsi="Times New Roman" w:cs="Times New Roman"/>
          <w:b/>
          <w:sz w:val="24"/>
          <w:szCs w:val="24"/>
        </w:rPr>
      </w:pPr>
      <w:r w:rsidRPr="00F937D5">
        <w:rPr>
          <w:rFonts w:ascii="Times New Roman" w:eastAsia="Calibri" w:hAnsi="Times New Roman" w:cs="Times New Roman"/>
          <w:b/>
          <w:sz w:val="24"/>
          <w:szCs w:val="24"/>
        </w:rPr>
        <w:t xml:space="preserve">KITI NEFUNKCINIAI REIKALAVIMAI </w:t>
      </w:r>
    </w:p>
    <w:p w14:paraId="199A65EA" w14:textId="77777777" w:rsidR="00B112A0" w:rsidRPr="00F937D5" w:rsidRDefault="00B112A0" w:rsidP="00B112A0">
      <w:pPr>
        <w:keepNext/>
        <w:keepLines/>
        <w:spacing w:after="0"/>
        <w:contextualSpacing/>
        <w:outlineLvl w:val="1"/>
        <w:rPr>
          <w:rFonts w:ascii="Times New Roman" w:eastAsia="Calibri" w:hAnsi="Times New Roman" w:cs="Times New Roman"/>
          <w:b/>
          <w:sz w:val="24"/>
          <w:szCs w:val="24"/>
        </w:rPr>
      </w:pPr>
      <w:r w:rsidRPr="00F937D5">
        <w:rPr>
          <w:rFonts w:ascii="Times New Roman" w:eastAsia="Calibri" w:hAnsi="Times New Roman" w:cs="Times New Roman"/>
          <w:b/>
          <w:sz w:val="24"/>
          <w:szCs w:val="24"/>
        </w:rPr>
        <w:t>ANR PĮ MODIFIKAVIMUI IR PRIEŽIŪRAI</w:t>
      </w:r>
    </w:p>
    <w:p w14:paraId="534470C3" w14:textId="77777777" w:rsidR="00B112A0" w:rsidRPr="00F937D5" w:rsidRDefault="00B112A0" w:rsidP="00B112A0">
      <w:pPr>
        <w:suppressAutoHyphens/>
        <w:spacing w:after="0" w:line="240" w:lineRule="auto"/>
        <w:textAlignment w:val="baseline"/>
        <w:rPr>
          <w:rFonts w:ascii="Times New Roman" w:eastAsia="Calibri" w:hAnsi="Times New Roman" w:cs="Times New Roman"/>
          <w:b/>
          <w:sz w:val="24"/>
          <w:szCs w:val="24"/>
        </w:rPr>
      </w:pPr>
    </w:p>
    <w:p w14:paraId="03A6CFDF"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Reikalavimai dokumentacijai ir išeities tekstams</w:t>
      </w:r>
    </w:p>
    <w:p w14:paraId="3181481F"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visą dokumentaciją turi parengti pagal bendrinės lietuvių kalbos taisykles.</w:t>
      </w:r>
    </w:p>
    <w:p w14:paraId="47B8AA3F"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dokumentų galutines versijas turi pateikti šiais formatais: elektroniniu (MS Word arba lygiagrečiu, su IRD suderintu formatu). Jų preliminarios (projektinės) versijos pateikiamos elektroniniu formatu.</w:t>
      </w:r>
    </w:p>
    <w:p w14:paraId="12681CB0"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turės parengti arba atnaujinti žemiau nurodytą dokumentaciją:</w:t>
      </w:r>
    </w:p>
    <w:p w14:paraId="3F2151B2"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Funkcinių reikalavimų specifikaciją;</w:t>
      </w:r>
    </w:p>
    <w:p w14:paraId="7C47F79F"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naudotojo vadovą;</w:t>
      </w:r>
    </w:p>
    <w:p w14:paraId="6FF3866B"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techninę specifikaciją;</w:t>
      </w:r>
    </w:p>
    <w:p w14:paraId="6C78BA38"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architektūros specifikaciją;</w:t>
      </w:r>
    </w:p>
    <w:p w14:paraId="6E8CE037"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priėmimo testavimo scenarijus;</w:t>
      </w:r>
    </w:p>
    <w:p w14:paraId="2D829126"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Garantijos procedūros dokumentą;</w:t>
      </w:r>
    </w:p>
    <w:p w14:paraId="05071954" w14:textId="77777777" w:rsidR="00B112A0" w:rsidRPr="00F937D5" w:rsidRDefault="00B112A0" w:rsidP="00B112A0">
      <w:pPr>
        <w:numPr>
          <w:ilvl w:val="0"/>
          <w:numId w:val="32"/>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techninį aprašymą (specifikaciją) (pagal Informacinės visuomenės plėtros komiteto reikalavimus).</w:t>
      </w:r>
    </w:p>
    <w:p w14:paraId="7C6359AB"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Sukurtos ANR PĮ išeities tekstai turi būti pateikiami IRD elektroninėje laikmenoje tų įrankių, kuriais jie sukurti, formatu ir nešifruoti.</w:t>
      </w:r>
    </w:p>
    <w:p w14:paraId="0A73F122"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Tiekėjas privalės išeities tekstus perkelti į </w:t>
      </w:r>
      <w:proofErr w:type="spellStart"/>
      <w:r w:rsidRPr="00F937D5">
        <w:rPr>
          <w:rFonts w:ascii="Times New Roman" w:eastAsia="Calibri" w:hAnsi="Times New Roman" w:cs="Times New Roman"/>
          <w:sz w:val="24"/>
          <w:szCs w:val="24"/>
        </w:rPr>
        <w:t>Gitlab</w:t>
      </w:r>
      <w:proofErr w:type="spellEnd"/>
      <w:r w:rsidRPr="00F937D5">
        <w:rPr>
          <w:rFonts w:ascii="Times New Roman" w:eastAsia="Calibri" w:hAnsi="Times New Roman" w:cs="Times New Roman"/>
          <w:sz w:val="24"/>
          <w:szCs w:val="24"/>
        </w:rPr>
        <w:t>.</w:t>
      </w:r>
    </w:p>
    <w:p w14:paraId="1CF64A25"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Tiekėjas privalės sukonfigūruoti (ir dokumentuoti) ANR PĮ diegimo į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ir gamybinę aplinkas procesą ir priemones taip, kad atsakingas IRD darbuotojas ANR PĮ, pagamintą (sukompiliuotą) iš </w:t>
      </w:r>
      <w:proofErr w:type="spellStart"/>
      <w:r w:rsidRPr="00F937D5">
        <w:rPr>
          <w:rFonts w:ascii="Times New Roman" w:eastAsia="Calibri" w:hAnsi="Times New Roman" w:cs="Times New Roman"/>
          <w:sz w:val="24"/>
          <w:szCs w:val="24"/>
        </w:rPr>
        <w:t>Gitlab</w:t>
      </w:r>
      <w:proofErr w:type="spellEnd"/>
      <w:r w:rsidRPr="00F937D5">
        <w:rPr>
          <w:rFonts w:ascii="Times New Roman" w:eastAsia="Calibri" w:hAnsi="Times New Roman" w:cs="Times New Roman"/>
          <w:sz w:val="24"/>
          <w:szCs w:val="24"/>
        </w:rPr>
        <w:t xml:space="preserve"> esančių išeities tekstų, galėtų įdiegti į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ir gamybinę aplinkas, valdyti diegimo konfigūraciją.</w:t>
      </w:r>
    </w:p>
    <w:p w14:paraId="2F872809"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Bet kokie ANR PĮ atnaujinimų diegimai į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ir gamybinę aplinkas bus galimi tik iš </w:t>
      </w:r>
      <w:proofErr w:type="spellStart"/>
      <w:r w:rsidRPr="00F937D5">
        <w:rPr>
          <w:rFonts w:ascii="Times New Roman" w:eastAsia="Calibri" w:hAnsi="Times New Roman" w:cs="Times New Roman"/>
          <w:sz w:val="24"/>
          <w:szCs w:val="24"/>
        </w:rPr>
        <w:t>Gitlab</w:t>
      </w:r>
      <w:proofErr w:type="spellEnd"/>
      <w:r w:rsidRPr="00F937D5">
        <w:rPr>
          <w:rFonts w:ascii="Times New Roman" w:eastAsia="Calibri" w:hAnsi="Times New Roman" w:cs="Times New Roman"/>
          <w:sz w:val="24"/>
          <w:szCs w:val="24"/>
        </w:rPr>
        <w:t xml:space="preserve"> esančių išeities tekstų.</w:t>
      </w:r>
    </w:p>
    <w:p w14:paraId="6F17BCC1" w14:textId="77777777" w:rsidR="00B112A0" w:rsidRPr="00F937D5" w:rsidRDefault="00B112A0" w:rsidP="00B112A0">
      <w:pPr>
        <w:numPr>
          <w:ilvl w:val="0"/>
          <w:numId w:val="3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Bet kokie PĮ diegimai į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ir gamybinę aplinkas bus vykdomi IRD atsakingų darbuotojų tik kartu su Tiekėjo atsakingais darbuotojais.</w:t>
      </w:r>
    </w:p>
    <w:p w14:paraId="7CB12FFF" w14:textId="77777777" w:rsidR="00B112A0" w:rsidRPr="00F937D5" w:rsidRDefault="00B112A0" w:rsidP="00B112A0">
      <w:pPr>
        <w:suppressAutoHyphens/>
        <w:spacing w:after="0" w:line="240" w:lineRule="auto"/>
        <w:textAlignment w:val="baseline"/>
        <w:rPr>
          <w:rFonts w:ascii="Times New Roman" w:eastAsia="Calibri" w:hAnsi="Times New Roman" w:cs="Times New Roman"/>
          <w:sz w:val="24"/>
          <w:szCs w:val="24"/>
        </w:rPr>
      </w:pPr>
    </w:p>
    <w:p w14:paraId="348B3B74"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Reikalavimai testavimui</w:t>
      </w:r>
    </w:p>
    <w:p w14:paraId="5C74A7AE"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Prieš diegiant ir konfigūruojant gamybinėje aplinkoje, naujai sukurta PĮ turi būti įdiegta į IRD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aplinką ir ištestuota priėmimo testais, kurių scenarijus Tiekėjas turi parengti ir suderinti per 5 (penkias) darbo dienas iki paskirto testavimo pradžios.</w:t>
      </w:r>
    </w:p>
    <w:p w14:paraId="0251B68D"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Testavimas turi apimti visą funkcinių reikalavimų dokumentacijoje specifikuotą sistemos funkcionalumą, visus taikymo atvejus.</w:t>
      </w:r>
    </w:p>
    <w:p w14:paraId="13D4E7C3"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Testavimo aplinkos architektūros principai turi atitikti darbinę sistemos aplinkos architektūrą. Kadangi testavimo aplinkos techninės įrangos galingumas gali būti mažesnis nei darbinės aplinkos, tam, kad tinkamai testuoti greitaveiką, Tiekėjas turi atlikti abiejų aplinkų našumo ir apkrovos analizę.</w:t>
      </w:r>
    </w:p>
    <w:p w14:paraId="69CBE195"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PĮ priėmimo testavimas turi būti atliktas 3 iteracijomis, kur kiekviena jų susideda iš pasiruošimo testavimui, testavimo ir klaidų bei neatitikimų taisymo.</w:t>
      </w:r>
    </w:p>
    <w:p w14:paraId="4D99F562"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lastRenderedPageBreak/>
        <w:t>PĮ, susijusios su greitaveikos problemų sprendimu, priimama pateikus PĮ veikimo diagnostikos ataskaitą: prieš pakeitimą ir po pakeitimo.</w:t>
      </w:r>
    </w:p>
    <w:p w14:paraId="26678BCB"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Testavimų metu įsitikinama, kad sukurta PĮ atitinka jai keliamus reikalavimus, yra funkcionali (atlieka visas numatytas funkcijas), yra naši ir ergonomiška.</w:t>
      </w:r>
    </w:p>
    <w:p w14:paraId="6D6AA064"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Tiekėjas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2E981EA1"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Į </w:t>
      </w:r>
      <w:proofErr w:type="spellStart"/>
      <w:r w:rsidRPr="00F937D5">
        <w:rPr>
          <w:rFonts w:ascii="Times New Roman" w:eastAsia="Calibri" w:hAnsi="Times New Roman" w:cs="Times New Roman"/>
          <w:sz w:val="24"/>
          <w:szCs w:val="24"/>
        </w:rPr>
        <w:t>testinę</w:t>
      </w:r>
      <w:proofErr w:type="spellEnd"/>
      <w:r w:rsidRPr="00F937D5">
        <w:rPr>
          <w:rFonts w:ascii="Times New Roman" w:eastAsia="Calibri" w:hAnsi="Times New Roman" w:cs="Times New Roman"/>
          <w:sz w:val="24"/>
          <w:szCs w:val="24"/>
        </w:rPr>
        <w:t xml:space="preserve"> aplinką bus diegiama tik iš </w:t>
      </w:r>
      <w:proofErr w:type="spellStart"/>
      <w:r w:rsidRPr="00F937D5">
        <w:rPr>
          <w:rFonts w:ascii="Times New Roman" w:eastAsia="Calibri" w:hAnsi="Times New Roman" w:cs="Times New Roman"/>
          <w:sz w:val="24"/>
          <w:szCs w:val="24"/>
        </w:rPr>
        <w:t>Gitlab</w:t>
      </w:r>
      <w:proofErr w:type="spellEnd"/>
      <w:r w:rsidRPr="00F937D5">
        <w:rPr>
          <w:rFonts w:ascii="Times New Roman" w:eastAsia="Calibri" w:hAnsi="Times New Roman" w:cs="Times New Roman"/>
          <w:sz w:val="24"/>
          <w:szCs w:val="24"/>
        </w:rPr>
        <w:t xml:space="preserve"> esančių išeities tekstų pagaminta ANR PĮ.</w:t>
      </w:r>
    </w:p>
    <w:p w14:paraId="1CDBDB89" w14:textId="77777777" w:rsidR="00B112A0" w:rsidRPr="00F937D5" w:rsidRDefault="00B112A0" w:rsidP="00B112A0">
      <w:pPr>
        <w:numPr>
          <w:ilvl w:val="0"/>
          <w:numId w:val="33"/>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Testavimo metu elektronine forma turi būti vedamas pastebėtų klaidų ir jų būsenų kaupimo žurnalas, galimybę jį pildyti suteikiant įgaliotiems IRD darbuotojams.</w:t>
      </w:r>
    </w:p>
    <w:p w14:paraId="3981D077" w14:textId="77777777" w:rsidR="00B112A0" w:rsidRPr="00F937D5" w:rsidRDefault="00B112A0" w:rsidP="00B112A0">
      <w:pPr>
        <w:suppressAutoHyphens/>
        <w:spacing w:after="0" w:line="240" w:lineRule="auto"/>
        <w:textAlignment w:val="baseline"/>
        <w:rPr>
          <w:rFonts w:ascii="Times New Roman" w:eastAsia="Calibri" w:hAnsi="Times New Roman" w:cs="Times New Roman"/>
          <w:sz w:val="24"/>
          <w:szCs w:val="24"/>
        </w:rPr>
      </w:pPr>
    </w:p>
    <w:p w14:paraId="442739D3"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b/>
          <w:bCs/>
          <w:sz w:val="24"/>
          <w:szCs w:val="24"/>
        </w:rPr>
        <w:t>Reikalavimai įdiegimui gamybinėje aplinkoje</w:t>
      </w:r>
    </w:p>
    <w:p w14:paraId="2FE23044" w14:textId="77777777" w:rsidR="00B112A0" w:rsidRPr="00F937D5" w:rsidRDefault="00B112A0" w:rsidP="00B112A0">
      <w:pPr>
        <w:numPr>
          <w:ilvl w:val="0"/>
          <w:numId w:val="34"/>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ANR PĮ 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daugiau kaip 20 (dvidešimt) procentų reikalavimų.</w:t>
      </w:r>
    </w:p>
    <w:p w14:paraId="136267AA" w14:textId="77777777" w:rsidR="00B112A0" w:rsidRPr="00F937D5" w:rsidRDefault="00B112A0" w:rsidP="00B112A0">
      <w:pPr>
        <w:numPr>
          <w:ilvl w:val="0"/>
          <w:numId w:val="34"/>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ANR PĮ turi išlikti darbinga įvykus daliniams techninės įrangos gedimams (angl. </w:t>
      </w:r>
      <w:proofErr w:type="spellStart"/>
      <w:r w:rsidRPr="00F937D5">
        <w:rPr>
          <w:rFonts w:ascii="Times New Roman" w:eastAsia="Calibri" w:hAnsi="Times New Roman" w:cs="Times New Roman"/>
          <w:i/>
          <w:sz w:val="24"/>
          <w:szCs w:val="24"/>
        </w:rPr>
        <w:t>failover</w:t>
      </w:r>
      <w:proofErr w:type="spellEnd"/>
      <w:r w:rsidRPr="00F937D5">
        <w:rPr>
          <w:rFonts w:ascii="Times New Roman" w:eastAsia="Calibri" w:hAnsi="Times New Roman" w:cs="Times New Roman"/>
          <w:sz w:val="24"/>
          <w:szCs w:val="24"/>
        </w:rPr>
        <w:t>)</w:t>
      </w:r>
      <w:r w:rsidRPr="00F937D5">
        <w:rPr>
          <w:rFonts w:ascii="Times New Roman" w:eastAsia="Calibri" w:hAnsi="Times New Roman" w:cs="Times New Roman"/>
          <w:i/>
          <w:sz w:val="24"/>
          <w:szCs w:val="24"/>
        </w:rPr>
        <w:t>.</w:t>
      </w:r>
    </w:p>
    <w:p w14:paraId="412F98C2" w14:textId="77777777" w:rsidR="00B112A0" w:rsidRPr="00F937D5" w:rsidRDefault="00B112A0" w:rsidP="00B112A0">
      <w:pPr>
        <w:numPr>
          <w:ilvl w:val="0"/>
          <w:numId w:val="34"/>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SSL arba kitos lygiavertės šifravimo priemonės administravimas turi būti aprašytas ANR naudotojo vadove.</w:t>
      </w:r>
    </w:p>
    <w:p w14:paraId="5A042690" w14:textId="77777777" w:rsidR="00B112A0" w:rsidRPr="00F937D5" w:rsidRDefault="00B112A0" w:rsidP="00B112A0">
      <w:pPr>
        <w:numPr>
          <w:ilvl w:val="0"/>
          <w:numId w:val="34"/>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Į gamybinę aplinką bus diegiama tik iš </w:t>
      </w:r>
      <w:proofErr w:type="spellStart"/>
      <w:r w:rsidRPr="00F937D5">
        <w:rPr>
          <w:rFonts w:ascii="Times New Roman" w:eastAsia="Calibri" w:hAnsi="Times New Roman" w:cs="Times New Roman"/>
          <w:sz w:val="24"/>
          <w:szCs w:val="24"/>
        </w:rPr>
        <w:t>Gitlab</w:t>
      </w:r>
      <w:proofErr w:type="spellEnd"/>
      <w:r w:rsidRPr="00F937D5">
        <w:rPr>
          <w:rFonts w:ascii="Times New Roman" w:eastAsia="Calibri" w:hAnsi="Times New Roman" w:cs="Times New Roman"/>
          <w:sz w:val="24"/>
          <w:szCs w:val="24"/>
        </w:rPr>
        <w:t xml:space="preserve"> esančių išeities tekstų pagaminta ANR PĮ.</w:t>
      </w:r>
    </w:p>
    <w:p w14:paraId="6C484537" w14:textId="77777777" w:rsidR="00B112A0" w:rsidRPr="00F937D5" w:rsidRDefault="00B112A0" w:rsidP="00B112A0">
      <w:pPr>
        <w:numPr>
          <w:ilvl w:val="0"/>
          <w:numId w:val="34"/>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Funkcionalumas įkeltas į ANR gamybinę aplinką neturi sutrikdyti kitų ANR esančių funkcijų darbo. Jeigu įkeltas funkcionalumas sutrikdo ANR esančių funkcijų darbą, laikoma, kad Paslauga atlikta nekokybiškai. Tiekėjas atlieka klaidų taisymą ir ANR duomenų ir dokumentų atstatymo darbus savo lėšomis.</w:t>
      </w:r>
    </w:p>
    <w:p w14:paraId="2B944631" w14:textId="77777777" w:rsidR="00B112A0" w:rsidRPr="00F937D5" w:rsidRDefault="00B112A0" w:rsidP="00B112A0">
      <w:pPr>
        <w:suppressAutoHyphens/>
        <w:spacing w:after="0" w:line="240" w:lineRule="auto"/>
        <w:textAlignment w:val="baseline"/>
        <w:rPr>
          <w:rFonts w:ascii="Times New Roman" w:eastAsia="Calibri" w:hAnsi="Times New Roman" w:cs="Times New Roman"/>
          <w:sz w:val="24"/>
          <w:szCs w:val="24"/>
        </w:rPr>
      </w:pPr>
    </w:p>
    <w:p w14:paraId="72559F56"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Rezultatų priėmimas</w:t>
      </w:r>
    </w:p>
    <w:p w14:paraId="59CEA8C4" w14:textId="77777777" w:rsidR="00B112A0" w:rsidRPr="00F937D5" w:rsidRDefault="00B112A0" w:rsidP="00B112A0">
      <w:pPr>
        <w:numPr>
          <w:ilvl w:val="0"/>
          <w:numId w:val="35"/>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Rezultatų priėmimas bus atliktas tik pašalinus testavimo metu nustatytus trūkumus.</w:t>
      </w:r>
    </w:p>
    <w:p w14:paraId="682D5139" w14:textId="77777777" w:rsidR="00B112A0" w:rsidRPr="00F937D5" w:rsidRDefault="00B112A0" w:rsidP="00B112A0">
      <w:pPr>
        <w:numPr>
          <w:ilvl w:val="0"/>
          <w:numId w:val="35"/>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Sukurta ANR PĮ ir jos autorinės teisės turės būti perduotos Perkančiosios organizacijos nuosavybėn turtinėmis teisėmis.</w:t>
      </w:r>
    </w:p>
    <w:p w14:paraId="2D91F8BC" w14:textId="77777777" w:rsidR="00B112A0" w:rsidRPr="00F937D5" w:rsidRDefault="00B112A0" w:rsidP="00B112A0">
      <w:pPr>
        <w:numPr>
          <w:ilvl w:val="0"/>
          <w:numId w:val="35"/>
        </w:numPr>
        <w:tabs>
          <w:tab w:val="left" w:pos="1134"/>
        </w:tabs>
        <w:suppressAutoHyphens/>
        <w:spacing w:after="0" w:line="240" w:lineRule="auto"/>
        <w:ind w:left="0" w:firstLine="709"/>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Rezultatų priėmimas-perdavimas bus įformintas priėmimo-perdavimo aktais. Priėmimo-perdavimo aktų kiekį ir periodiškumą Tiekėjas turi suderinti su Perkančiąja organizacija Paslaugų teikimo grafike.</w:t>
      </w:r>
    </w:p>
    <w:p w14:paraId="540015E5" w14:textId="77777777" w:rsidR="00B112A0" w:rsidRPr="00F937D5" w:rsidRDefault="00B112A0" w:rsidP="00B112A0">
      <w:pPr>
        <w:numPr>
          <w:ilvl w:val="0"/>
          <w:numId w:val="35"/>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Defektų, atsiradusių suteikus Paslaugas dėl Tiekėjo kaltės, šalinimas turi būti atliktas nemokamai ir neturi daryti įtakos kitoms teikiamoms Paslaugoms (terminui, sąnaudoms ir kt.).</w:t>
      </w:r>
    </w:p>
    <w:p w14:paraId="2254C49D" w14:textId="77777777" w:rsidR="00B112A0" w:rsidRPr="00F937D5" w:rsidRDefault="00B112A0" w:rsidP="00B112A0">
      <w:pPr>
        <w:spacing w:after="0"/>
        <w:ind w:left="680"/>
        <w:rPr>
          <w:rFonts w:ascii="Times New Roman" w:eastAsia="Calibri" w:hAnsi="Times New Roman" w:cs="Times New Roman"/>
          <w:sz w:val="24"/>
          <w:szCs w:val="24"/>
        </w:rPr>
      </w:pPr>
    </w:p>
    <w:p w14:paraId="29078D62"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Garantinė priežiūra, pastebėtų klaidų ir neatitikimų šalinimas</w:t>
      </w:r>
    </w:p>
    <w:p w14:paraId="21C7B3FB"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Sukurtai ANR PĮ teikiama garantinė priežiūra 12 (dvylika) mėnesių nuo sukurtos Registro PĮ perdavimo-priėmimo akto pasirašymo dienos. Tiekėjas privalo vykdyti garantinį viso sukurto ANR PĮ funkcionalumo aptarnavimą nuo jos eksploatacijos pradžios iki garantinio laikotarpio pabaigos. Garantinio laikotarpio metu Tiekėjas turi užtikrinti visų pastebėtų trūkumų tinkamą pašalinimą.</w:t>
      </w:r>
    </w:p>
    <w:p w14:paraId="055073B0"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Garantinio laikotarpio metu elektronine forma turi būti vedamas pastebėtų klaidų ir jų būsenų kaupimo žurnalas, galimybę jį pildyti suteikiant įgaliotiems IRD darbuotojams.</w:t>
      </w:r>
    </w:p>
    <w:p w14:paraId="7A72CFB2"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rPr>
        <w:t xml:space="preserve">Projekto vykdymo metu komunikacijai su </w:t>
      </w:r>
      <w:r w:rsidRPr="00F937D5">
        <w:rPr>
          <w:rFonts w:ascii="Times New Roman" w:eastAsia="Calibri" w:hAnsi="Times New Roman" w:cs="Times New Roman"/>
          <w:sz w:val="24"/>
          <w:szCs w:val="24"/>
        </w:rPr>
        <w:t>Perkančiąja organizacija</w:t>
      </w:r>
      <w:r w:rsidRPr="00F937D5">
        <w:rPr>
          <w:rFonts w:ascii="Times New Roman" w:eastAsia="Calibri" w:hAnsi="Times New Roman" w:cs="Times New Roman"/>
          <w:sz w:val="24"/>
        </w:rPr>
        <w:t xml:space="preserve"> Tiekėjas turi turėti veikiančią Klientų aptarnavimo tarnybą (angl. </w:t>
      </w:r>
      <w:proofErr w:type="spellStart"/>
      <w:r w:rsidRPr="00F937D5">
        <w:rPr>
          <w:rFonts w:ascii="Times New Roman" w:eastAsia="Calibri" w:hAnsi="Times New Roman" w:cs="Times New Roman"/>
          <w:i/>
          <w:sz w:val="24"/>
        </w:rPr>
        <w:t>Service</w:t>
      </w:r>
      <w:proofErr w:type="spellEnd"/>
      <w:r w:rsidRPr="00F937D5">
        <w:rPr>
          <w:rFonts w:ascii="Times New Roman" w:eastAsia="Calibri" w:hAnsi="Times New Roman" w:cs="Times New Roman"/>
          <w:i/>
          <w:sz w:val="24"/>
        </w:rPr>
        <w:t xml:space="preserve"> </w:t>
      </w:r>
      <w:proofErr w:type="spellStart"/>
      <w:r w:rsidRPr="00F937D5">
        <w:rPr>
          <w:rFonts w:ascii="Times New Roman" w:eastAsia="Calibri" w:hAnsi="Times New Roman" w:cs="Times New Roman"/>
          <w:i/>
          <w:sz w:val="24"/>
        </w:rPr>
        <w:t>Desk</w:t>
      </w:r>
      <w:proofErr w:type="spellEnd"/>
      <w:r w:rsidRPr="00F937D5">
        <w:rPr>
          <w:rFonts w:ascii="Times New Roman" w:eastAsia="Calibri" w:hAnsi="Times New Roman" w:cs="Times New Roman"/>
          <w:sz w:val="24"/>
        </w:rPr>
        <w:t>), kuri tenkina šiuos reikalavimus:</w:t>
      </w:r>
    </w:p>
    <w:p w14:paraId="2196D8AD"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Sutarties vykdymo metu visi incidentai dėl modifikuotos PĮ registruojami Informacinių technologijų ir telekomunikacijų pagalbos tarnybos posistemėje </w:t>
      </w:r>
      <w:hyperlink r:id="rId7">
        <w:r w:rsidRPr="00F937D5">
          <w:rPr>
            <w:rFonts w:ascii="Times New Roman" w:eastAsia="Calibri" w:hAnsi="Times New Roman" w:cs="Times New Roman"/>
            <w:sz w:val="24"/>
            <w:szCs w:val="24"/>
          </w:rPr>
          <w:t>https://ittpagalba.vrm.lt/MSM/</w:t>
        </w:r>
      </w:hyperlink>
      <w:r w:rsidRPr="00F937D5">
        <w:rPr>
          <w:rFonts w:ascii="Times New Roman" w:eastAsia="Calibri" w:hAnsi="Times New Roman" w:cs="Times New Roman"/>
          <w:sz w:val="24"/>
          <w:szCs w:val="24"/>
        </w:rPr>
        <w:t xml:space="preserve"> ir perduodami Tiekėjui el. paštu spręsti incidentus;</w:t>
      </w:r>
    </w:p>
    <w:p w14:paraId="330325D0" w14:textId="77777777" w:rsidR="00B112A0" w:rsidRPr="00F937D5" w:rsidRDefault="00B112A0" w:rsidP="00B112A0">
      <w:pPr>
        <w:numPr>
          <w:ilvl w:val="0"/>
          <w:numId w:val="45"/>
        </w:numPr>
        <w:suppressAutoHyphens/>
        <w:spacing w:after="0" w:line="240" w:lineRule="auto"/>
        <w:ind w:left="0" w:firstLine="680"/>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lastRenderedPageBreak/>
        <w:t xml:space="preserve">Perkančioji organizacija </w:t>
      </w:r>
      <w:r w:rsidRPr="00F937D5">
        <w:rPr>
          <w:rFonts w:ascii="Times New Roman" w:eastAsia="Calibri" w:hAnsi="Times New Roman" w:cs="Times New Roman"/>
          <w:sz w:val="24"/>
        </w:rPr>
        <w:t xml:space="preserve">turės galimybę registruoti gedimų paraiškas (24x7x365), o tarnyba seks paraiškų vykdymo eigą ir </w:t>
      </w:r>
      <w:r w:rsidRPr="00F937D5">
        <w:rPr>
          <w:rFonts w:ascii="Times New Roman" w:eastAsia="Calibri" w:hAnsi="Times New Roman" w:cs="Times New Roman"/>
          <w:sz w:val="24"/>
          <w:szCs w:val="24"/>
        </w:rPr>
        <w:t xml:space="preserve">informuos Perkančiąja organizaciją apie gedimų šalinimo rezultatus el. paštu </w:t>
      </w:r>
      <w:hyperlink r:id="rId8">
        <w:r w:rsidRPr="00F937D5">
          <w:rPr>
            <w:rFonts w:ascii="Times New Roman" w:eastAsia="Calibri" w:hAnsi="Times New Roman" w:cs="Times New Roman"/>
            <w:sz w:val="24"/>
            <w:szCs w:val="24"/>
          </w:rPr>
          <w:t>ittpagalba@vrm.lt</w:t>
        </w:r>
      </w:hyperlink>
      <w:r w:rsidRPr="00F937D5">
        <w:rPr>
          <w:rFonts w:ascii="Times New Roman" w:eastAsia="Calibri" w:hAnsi="Times New Roman" w:cs="Times New Roman"/>
          <w:sz w:val="24"/>
          <w:szCs w:val="24"/>
        </w:rPr>
        <w:t xml:space="preserve"> el. laiško antraštėje (angl. </w:t>
      </w:r>
      <w:proofErr w:type="spellStart"/>
      <w:r w:rsidRPr="00F937D5">
        <w:rPr>
          <w:rFonts w:ascii="Times New Roman" w:eastAsia="Calibri" w:hAnsi="Times New Roman" w:cs="Times New Roman"/>
          <w:i/>
          <w:sz w:val="24"/>
          <w:szCs w:val="24"/>
        </w:rPr>
        <w:t>Subject</w:t>
      </w:r>
      <w:proofErr w:type="spellEnd"/>
      <w:r w:rsidRPr="00F937D5">
        <w:rPr>
          <w:rFonts w:ascii="Times New Roman" w:eastAsia="Calibri" w:hAnsi="Times New Roman" w:cs="Times New Roman"/>
          <w:sz w:val="24"/>
          <w:szCs w:val="24"/>
        </w:rPr>
        <w:t>), nurodydama tą patį incidento numerį;</w:t>
      </w:r>
    </w:p>
    <w:p w14:paraId="1ACE628C" w14:textId="77777777" w:rsidR="00B112A0" w:rsidRPr="00F937D5" w:rsidRDefault="00B112A0" w:rsidP="00B112A0">
      <w:pPr>
        <w:numPr>
          <w:ilvl w:val="0"/>
          <w:numId w:val="45"/>
        </w:numPr>
        <w:suppressAutoHyphens/>
        <w:spacing w:after="0" w:line="240" w:lineRule="auto"/>
        <w:ind w:left="0" w:firstLine="680"/>
        <w:contextualSpacing/>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Perkančioji organizacija</w:t>
      </w:r>
      <w:r w:rsidRPr="00F937D5">
        <w:rPr>
          <w:rFonts w:ascii="Times New Roman" w:eastAsia="Calibri" w:hAnsi="Times New Roman" w:cs="Times New Roman"/>
          <w:sz w:val="24"/>
        </w:rPr>
        <w:t xml:space="preserve"> turės galimybę naudoti vieną bendrą Klientų aptarnavimo tarnybos telefono numerį, kuriuo galima prisiskambinti iš fiksuoto ir mobilaus ryšio bet kuriuo paros metu, bet kurią savaitės dieną.</w:t>
      </w:r>
    </w:p>
    <w:p w14:paraId="7AA7615C"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Turi būti parengtos prieinamos ir IRD tinkamos informavimo apie ANR PĮ klaidas ir netikslumus, jų registravimo ir taisymo veiksmų būseną priemonės:</w:t>
      </w:r>
    </w:p>
    <w:p w14:paraId="024EF1B9" w14:textId="77777777" w:rsidR="00B112A0" w:rsidRPr="00F937D5" w:rsidRDefault="00B112A0" w:rsidP="00B112A0">
      <w:pPr>
        <w:numPr>
          <w:ilvl w:val="0"/>
          <w:numId w:val="37"/>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IRD ir Tiekėjo suderinti telefonai;</w:t>
      </w:r>
    </w:p>
    <w:p w14:paraId="299BFDE1" w14:textId="77777777" w:rsidR="00B112A0" w:rsidRPr="00F937D5" w:rsidRDefault="00B112A0" w:rsidP="00B112A0">
      <w:pPr>
        <w:numPr>
          <w:ilvl w:val="0"/>
          <w:numId w:val="37"/>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IRD ir Tiekėjo suderinti el. pašto adresai;</w:t>
      </w:r>
    </w:p>
    <w:p w14:paraId="60677901" w14:textId="77777777" w:rsidR="00B112A0" w:rsidRPr="00F937D5" w:rsidRDefault="00B112A0" w:rsidP="00B112A0">
      <w:pPr>
        <w:numPr>
          <w:ilvl w:val="0"/>
          <w:numId w:val="37"/>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klaidų registravimo informacinė sistema.</w:t>
      </w:r>
    </w:p>
    <w:p w14:paraId="7C9A0B27"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Garantinio laikotarpio metu IRD nurodymu ar Tiekėjui savarankiškai aptikus ANR PĮ trūkumus, turi būti atliekami šie veiksmai:</w:t>
      </w:r>
    </w:p>
    <w:p w14:paraId="3CAAD7AC" w14:textId="77777777" w:rsidR="00B112A0" w:rsidRPr="00F937D5" w:rsidRDefault="00B112A0" w:rsidP="00B112A0">
      <w:pPr>
        <w:numPr>
          <w:ilvl w:val="0"/>
          <w:numId w:val="38"/>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klaidų ar netikslumų registravimas;</w:t>
      </w:r>
    </w:p>
    <w:p w14:paraId="0120A8BF" w14:textId="77777777" w:rsidR="00B112A0" w:rsidRPr="00F937D5" w:rsidRDefault="00B112A0" w:rsidP="00B112A0">
      <w:pPr>
        <w:numPr>
          <w:ilvl w:val="0"/>
          <w:numId w:val="38"/>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klaidų ar netikslumų taisymas, testavimas;</w:t>
      </w:r>
    </w:p>
    <w:p w14:paraId="5CF650E5" w14:textId="77777777" w:rsidR="00B112A0" w:rsidRPr="00F937D5" w:rsidRDefault="00B112A0" w:rsidP="00B112A0">
      <w:pPr>
        <w:numPr>
          <w:ilvl w:val="0"/>
          <w:numId w:val="38"/>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atnaujinimas, diegiant klaidų ir netikslumų pataisymus;</w:t>
      </w:r>
    </w:p>
    <w:p w14:paraId="708A5328" w14:textId="77777777" w:rsidR="00B112A0" w:rsidRPr="00F937D5" w:rsidRDefault="00B112A0" w:rsidP="00B112A0">
      <w:pPr>
        <w:numPr>
          <w:ilvl w:val="0"/>
          <w:numId w:val="38"/>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dokumentacijos tikslinimas.</w:t>
      </w:r>
    </w:p>
    <w:p w14:paraId="05A51567"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Garantinės priežiūros paslaugos IRD turi būti teikiamos darbo dienomis oficialiai patvirtintu darbo laiku.</w:t>
      </w:r>
    </w:p>
    <w:p w14:paraId="2932CB3D"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Sukurtos ANR PĮ klaidos ir (ar) trikdžiai klasifikuojami:</w:t>
      </w:r>
    </w:p>
    <w:p w14:paraId="1CABAD31" w14:textId="77777777" w:rsidR="00B112A0" w:rsidRPr="00F937D5" w:rsidRDefault="00B112A0" w:rsidP="00B112A0">
      <w:pPr>
        <w:numPr>
          <w:ilvl w:val="0"/>
          <w:numId w:val="39"/>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kritinė klaida – kai nustatyti trikdžiai ir (ar) problema, dėl kurių naudotojas negali vykdyti numatytų būtinų funkcijų ir nežinomas joks kitas alternatyvus šios funkcijos vykdymas;</w:t>
      </w:r>
    </w:p>
    <w:p w14:paraId="011FF5F7" w14:textId="77777777" w:rsidR="00B112A0" w:rsidRPr="00F937D5" w:rsidRDefault="00B112A0" w:rsidP="00B112A0">
      <w:pPr>
        <w:numPr>
          <w:ilvl w:val="0"/>
          <w:numId w:val="39"/>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svarbi klaida – kai nustatyti trikdžiai ir (ar) problema, kurie kliudo vykdyti būtinas funkcijas, tačiau yra žinomas alternatyvus funkcijos vykdymas;</w:t>
      </w:r>
    </w:p>
    <w:p w14:paraId="422BAAF2" w14:textId="77777777" w:rsidR="00B112A0" w:rsidRPr="00F937D5" w:rsidRDefault="00B112A0" w:rsidP="00B112A0">
      <w:pPr>
        <w:numPr>
          <w:ilvl w:val="0"/>
          <w:numId w:val="39"/>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kita klaida – kai nustatyti trikdžiai ir (ar) problema, kurie sukelia sunkumus naudojantis sistema, bet neįtakoja ANR PĮ funkcijų veikimo ir nedaro jokio kito poveikio sistemai.</w:t>
      </w:r>
    </w:p>
    <w:p w14:paraId="2049D1D2"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Tiekėjas privalo pašalinti trikdžius ir (ar) klaidas tokiu grafiku:</w:t>
      </w:r>
    </w:p>
    <w:p w14:paraId="4B03244E" w14:textId="77777777" w:rsidR="00B112A0" w:rsidRPr="00F937D5" w:rsidRDefault="00B112A0" w:rsidP="00B112A0">
      <w:pPr>
        <w:numPr>
          <w:ilvl w:val="0"/>
          <w:numId w:val="4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kritinės klaidos atveju – ne vėliau kaip per 4 valandas;</w:t>
      </w:r>
    </w:p>
    <w:p w14:paraId="529494F5" w14:textId="77777777" w:rsidR="00B112A0" w:rsidRPr="00F937D5" w:rsidRDefault="00B112A0" w:rsidP="00B112A0">
      <w:pPr>
        <w:numPr>
          <w:ilvl w:val="0"/>
          <w:numId w:val="4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svarbios klaidos atveju – ne vėliau kaip per 8 valandas;</w:t>
      </w:r>
    </w:p>
    <w:p w14:paraId="292365EE" w14:textId="48B0B771" w:rsidR="00B112A0" w:rsidRPr="00F937D5" w:rsidRDefault="00B112A0" w:rsidP="00B112A0">
      <w:pPr>
        <w:numPr>
          <w:ilvl w:val="0"/>
          <w:numId w:val="40"/>
        </w:numPr>
        <w:suppressAutoHyphens/>
        <w:spacing w:after="0" w:line="240" w:lineRule="auto"/>
        <w:ind w:left="0" w:firstLine="709"/>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 xml:space="preserve">kitos klaidos atveju – su </w:t>
      </w:r>
      <w:r w:rsidR="003D6AE3">
        <w:rPr>
          <w:rFonts w:ascii="Times New Roman" w:eastAsia="Calibri" w:hAnsi="Times New Roman" w:cs="Times New Roman"/>
          <w:sz w:val="24"/>
          <w:szCs w:val="24"/>
        </w:rPr>
        <w:t>P</w:t>
      </w:r>
      <w:r w:rsidRPr="00F937D5">
        <w:rPr>
          <w:rFonts w:ascii="Times New Roman" w:eastAsia="Calibri" w:hAnsi="Times New Roman" w:cs="Times New Roman"/>
          <w:sz w:val="24"/>
          <w:szCs w:val="24"/>
        </w:rPr>
        <w:t>erkančiąja organizacija suderintais terminais.</w:t>
      </w:r>
    </w:p>
    <w:p w14:paraId="4E0A16A7"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Informacija (ataskaita) apie pašalintas ar pataisytas klaidas ir (ar) trikdžius turi būti atnaujinama ir pateikiama ne rečiau kaip kartą per mėnesį.</w:t>
      </w:r>
    </w:p>
    <w:p w14:paraId="7413F189" w14:textId="77777777" w:rsidR="00B112A0" w:rsidRPr="00F937D5" w:rsidRDefault="00B112A0" w:rsidP="00B112A0">
      <w:pPr>
        <w:numPr>
          <w:ilvl w:val="0"/>
          <w:numId w:val="36"/>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Garantinės priežiūros paslaugos turi apimti:</w:t>
      </w:r>
    </w:p>
    <w:p w14:paraId="3C26120D" w14:textId="77777777" w:rsidR="00B112A0" w:rsidRPr="00F937D5" w:rsidRDefault="00B112A0" w:rsidP="00B112A0">
      <w:pPr>
        <w:numPr>
          <w:ilvl w:val="3"/>
          <w:numId w:val="29"/>
        </w:numPr>
        <w:tabs>
          <w:tab w:val="left" w:pos="1701"/>
        </w:tabs>
        <w:suppressAutoHyphens/>
        <w:spacing w:after="0" w:line="240" w:lineRule="auto"/>
        <w:ind w:left="0" w:firstLine="680"/>
        <w:contextualSpacing/>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konsultavimo darbus – IRD darbuotojų konsultavimas darbo su ANR PĮ klausimais telefonu ir (arba) el. paštu, dalyvavimas klaidų aptarimuose;</w:t>
      </w:r>
    </w:p>
    <w:p w14:paraId="1B8F4B2D" w14:textId="77777777" w:rsidR="00B112A0" w:rsidRPr="00F937D5" w:rsidRDefault="00B112A0" w:rsidP="00B112A0">
      <w:pPr>
        <w:numPr>
          <w:ilvl w:val="3"/>
          <w:numId w:val="29"/>
        </w:numPr>
        <w:tabs>
          <w:tab w:val="left" w:pos="1701"/>
        </w:tabs>
        <w:suppressAutoHyphens/>
        <w:spacing w:after="0" w:line="240" w:lineRule="auto"/>
        <w:ind w:left="0" w:firstLine="680"/>
        <w:contextualSpacing/>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neatitikimų šalinimo ir klaidų taisymo paslaugas;</w:t>
      </w:r>
    </w:p>
    <w:p w14:paraId="6343B7A4" w14:textId="77777777" w:rsidR="00B112A0" w:rsidRPr="00F937D5" w:rsidRDefault="00B112A0" w:rsidP="00B112A0">
      <w:pPr>
        <w:numPr>
          <w:ilvl w:val="3"/>
          <w:numId w:val="29"/>
        </w:numPr>
        <w:tabs>
          <w:tab w:val="left" w:pos="1701"/>
        </w:tabs>
        <w:suppressAutoHyphens/>
        <w:spacing w:after="0" w:line="240" w:lineRule="auto"/>
        <w:ind w:left="0" w:firstLine="680"/>
        <w:contextualSpacing/>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sz w:val="24"/>
          <w:szCs w:val="24"/>
        </w:rPr>
        <w:t>sugadintų duomenų atstatymą, kai gedimo priežastis yra Tiekėjo modernizuotos ANR PĮ netinkamas veikimas.</w:t>
      </w:r>
    </w:p>
    <w:p w14:paraId="37E8F48E" w14:textId="77777777" w:rsidR="00B112A0" w:rsidRPr="00F937D5" w:rsidRDefault="00B112A0" w:rsidP="00B112A0">
      <w:pPr>
        <w:tabs>
          <w:tab w:val="left" w:pos="1701"/>
        </w:tabs>
        <w:spacing w:after="0"/>
        <w:contextualSpacing/>
        <w:rPr>
          <w:rFonts w:ascii="Times New Roman" w:eastAsia="Calibri" w:hAnsi="Times New Roman" w:cs="Times New Roman"/>
          <w:b/>
          <w:sz w:val="24"/>
          <w:szCs w:val="24"/>
        </w:rPr>
      </w:pPr>
    </w:p>
    <w:p w14:paraId="7EFACD97"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Kibernetinio saugumo reikalavimai</w:t>
      </w:r>
    </w:p>
    <w:p w14:paraId="76AE0A2C"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sz w:val="24"/>
          <w:szCs w:val="21"/>
        </w:rPr>
      </w:pPr>
      <w:r w:rsidRPr="00F937D5">
        <w:rPr>
          <w:rFonts w:ascii="Times New Roman" w:eastAsia="Calibri" w:hAnsi="Times New Roman" w:cs="Mangal"/>
          <w:sz w:val="24"/>
          <w:szCs w:val="21"/>
        </w:rPr>
        <w:t>Nebepalaikomus komponentus, jeigu juose nustatyta pažeidžiamumų, būtina pakeisti analogiško funkcionalumo komponentais arba pašalinti, jeigu Perkančioji organizacija tam pritaria.</w:t>
      </w:r>
    </w:p>
    <w:p w14:paraId="0DC91E9E"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sz w:val="24"/>
          <w:szCs w:val="21"/>
        </w:rPr>
      </w:pPr>
      <w:r w:rsidRPr="00F937D5">
        <w:rPr>
          <w:rFonts w:ascii="Times New Roman" w:eastAsia="Calibri" w:hAnsi="Times New Roman" w:cs="Mangal"/>
          <w:sz w:val="24"/>
          <w:szCs w:val="21"/>
        </w:rPr>
        <w:t xml:space="preserve">Aptiktos saugumo spragos, jeigu yra informacijos apie vykdomą šių spragų išnaudojimą, privalo būti pašalintos kuo skubiau, bet ne vėliau kaip per 1 d. d. nuo šios informacijos gavimo datos. Jeigu šių spragų per numatytą laiką pašalinti nėra galimybės dėl pagrįstos priežasties (pvz. nėra išleistos spragų pataisos (angl. </w:t>
      </w:r>
      <w:proofErr w:type="spellStart"/>
      <w:r w:rsidRPr="00F937D5">
        <w:rPr>
          <w:rFonts w:ascii="Times New Roman" w:eastAsia="Calibri" w:hAnsi="Times New Roman" w:cs="Mangal"/>
          <w:sz w:val="24"/>
          <w:szCs w:val="21"/>
        </w:rPr>
        <w:t>patch</w:t>
      </w:r>
      <w:proofErr w:type="spellEnd"/>
      <w:r w:rsidRPr="00F937D5">
        <w:rPr>
          <w:rFonts w:ascii="Times New Roman" w:eastAsia="Calibri" w:hAnsi="Times New Roman" w:cs="Mangal"/>
          <w:sz w:val="24"/>
          <w:szCs w:val="21"/>
        </w:rPr>
        <w:t xml:space="preserve">)), turi būti įgyvendintos laikinos spragų užkardymo arba poveikio sumažinimo (angl. </w:t>
      </w:r>
      <w:proofErr w:type="spellStart"/>
      <w:r w:rsidRPr="00F937D5">
        <w:rPr>
          <w:rFonts w:ascii="Times New Roman" w:eastAsia="Calibri" w:hAnsi="Times New Roman" w:cs="Mangal"/>
          <w:sz w:val="24"/>
          <w:szCs w:val="21"/>
        </w:rPr>
        <w:t>mitigate</w:t>
      </w:r>
      <w:proofErr w:type="spellEnd"/>
      <w:r w:rsidRPr="00F937D5">
        <w:rPr>
          <w:rFonts w:ascii="Times New Roman" w:eastAsia="Calibri" w:hAnsi="Times New Roman" w:cs="Mangal"/>
          <w:sz w:val="24"/>
          <w:szCs w:val="21"/>
        </w:rPr>
        <w:t>) priemonės.</w:t>
      </w:r>
    </w:p>
    <w:p w14:paraId="77A844C6"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sz w:val="24"/>
          <w:szCs w:val="21"/>
        </w:rPr>
      </w:pPr>
      <w:r w:rsidRPr="00F937D5">
        <w:rPr>
          <w:rFonts w:ascii="Times New Roman" w:eastAsia="Calibri" w:hAnsi="Times New Roman" w:cs="Mangal"/>
          <w:sz w:val="24"/>
          <w:szCs w:val="21"/>
        </w:rPr>
        <w:t xml:space="preserve">Aptiktos saugumo spragos, kurių balas pagal Bendrąją pažeidžiamumų vertinimo sistemą (angl. </w:t>
      </w:r>
      <w:proofErr w:type="spellStart"/>
      <w:r w:rsidRPr="00F937D5">
        <w:rPr>
          <w:rFonts w:ascii="Times New Roman" w:eastAsia="Calibri" w:hAnsi="Times New Roman" w:cs="Mangal"/>
          <w:sz w:val="24"/>
          <w:szCs w:val="21"/>
        </w:rPr>
        <w:t>Common</w:t>
      </w:r>
      <w:proofErr w:type="spellEnd"/>
      <w:r w:rsidRPr="00F937D5">
        <w:rPr>
          <w:rFonts w:ascii="Times New Roman" w:eastAsia="Calibri" w:hAnsi="Times New Roman" w:cs="Mangal"/>
          <w:sz w:val="24"/>
          <w:szCs w:val="21"/>
        </w:rPr>
        <w:t xml:space="preserve"> </w:t>
      </w:r>
      <w:proofErr w:type="spellStart"/>
      <w:r w:rsidRPr="00F937D5">
        <w:rPr>
          <w:rFonts w:ascii="Times New Roman" w:eastAsia="Calibri" w:hAnsi="Times New Roman" w:cs="Mangal"/>
          <w:sz w:val="24"/>
          <w:szCs w:val="21"/>
        </w:rPr>
        <w:t>Vulnerability</w:t>
      </w:r>
      <w:proofErr w:type="spellEnd"/>
      <w:r w:rsidRPr="00F937D5">
        <w:rPr>
          <w:rFonts w:ascii="Times New Roman" w:eastAsia="Calibri" w:hAnsi="Times New Roman" w:cs="Mangal"/>
          <w:sz w:val="24"/>
          <w:szCs w:val="21"/>
        </w:rPr>
        <w:t xml:space="preserve"> </w:t>
      </w:r>
      <w:proofErr w:type="spellStart"/>
      <w:r w:rsidRPr="00F937D5">
        <w:rPr>
          <w:rFonts w:ascii="Times New Roman" w:eastAsia="Calibri" w:hAnsi="Times New Roman" w:cs="Mangal"/>
          <w:sz w:val="24"/>
          <w:szCs w:val="21"/>
        </w:rPr>
        <w:t>Scoring</w:t>
      </w:r>
      <w:proofErr w:type="spellEnd"/>
      <w:r w:rsidRPr="00F937D5">
        <w:rPr>
          <w:rFonts w:ascii="Times New Roman" w:eastAsia="Calibri" w:hAnsi="Times New Roman" w:cs="Mangal"/>
          <w:sz w:val="24"/>
          <w:szCs w:val="21"/>
        </w:rPr>
        <w:t xml:space="preserve"> System (CVSS)) yra 9 arba daugiau, jeigu joms yra žinomų paviešintų išnaudojimo kodų (angl. </w:t>
      </w:r>
      <w:proofErr w:type="spellStart"/>
      <w:r w:rsidRPr="00F937D5">
        <w:rPr>
          <w:rFonts w:ascii="Times New Roman" w:eastAsia="Calibri" w:hAnsi="Times New Roman" w:cs="Mangal"/>
          <w:sz w:val="24"/>
          <w:szCs w:val="21"/>
        </w:rPr>
        <w:t>exploit</w:t>
      </w:r>
      <w:proofErr w:type="spellEnd"/>
      <w:r w:rsidRPr="00F937D5">
        <w:rPr>
          <w:rFonts w:ascii="Times New Roman" w:eastAsia="Calibri" w:hAnsi="Times New Roman" w:cs="Mangal"/>
          <w:sz w:val="24"/>
          <w:szCs w:val="21"/>
        </w:rPr>
        <w:t xml:space="preserve">), bet nėra informacijos apie vykdomą šių spragų išnaudojimą, privalo būti pašalintos ne vėliau kaip per 2 d. d. nuo šios informacijos gavimo datos. </w:t>
      </w:r>
      <w:r w:rsidRPr="00F937D5">
        <w:rPr>
          <w:rFonts w:ascii="Times New Roman" w:eastAsia="Calibri" w:hAnsi="Times New Roman" w:cs="Mangal"/>
          <w:sz w:val="24"/>
          <w:szCs w:val="21"/>
        </w:rPr>
        <w:lastRenderedPageBreak/>
        <w:t>Jeigu šių spragų per numatytą laiką pašalinti nėra galimybės dėl pagrįstos priežasties (pvz. nėra išleistos spragų pataisos), turi būti įgyvendintos laikinos spragų užkardymo arba poveikio sumažinimo priemonės.</w:t>
      </w:r>
    </w:p>
    <w:p w14:paraId="0D6354AC"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sz w:val="24"/>
          <w:szCs w:val="21"/>
        </w:rPr>
      </w:pPr>
      <w:r w:rsidRPr="00F937D5">
        <w:rPr>
          <w:rFonts w:ascii="Times New Roman" w:eastAsia="Calibri" w:hAnsi="Times New Roman" w:cs="Mangal"/>
          <w:sz w:val="24"/>
          <w:szCs w:val="21"/>
        </w:rPr>
        <w:t xml:space="preserve">Aptiktos saugumo spragos, kurių balas pagal Bendrąją pažeidžiamumų vertinimo sistemą yra nuo 7,5 iki 8,9 (imtinai), jeigu joms yra žinomų paviešintų išnaudojimo kodų (angl. </w:t>
      </w:r>
      <w:proofErr w:type="spellStart"/>
      <w:r w:rsidRPr="00F937D5">
        <w:rPr>
          <w:rFonts w:ascii="Times New Roman" w:eastAsia="Calibri" w:hAnsi="Times New Roman" w:cs="Mangal"/>
          <w:sz w:val="24"/>
          <w:szCs w:val="21"/>
        </w:rPr>
        <w:t>exploit</w:t>
      </w:r>
      <w:proofErr w:type="spellEnd"/>
      <w:r w:rsidRPr="00F937D5">
        <w:rPr>
          <w:rFonts w:ascii="Times New Roman" w:eastAsia="Calibri" w:hAnsi="Times New Roman" w:cs="Mangal"/>
          <w:sz w:val="24"/>
          <w:szCs w:val="21"/>
        </w:rPr>
        <w:t>), bet nėra informacijos apie vykdomą šių spragų išnaudojimą, privalo būti pašalintos ne vėliau kaip per 5 d. d. nuo šios informacijos gavimo datos. Jeigu šių spragų per numatytą laiką pašalinti nėra galimybės dėl pagrįstos priežasties (pvz. nėra išleistos spragų pataisos), turi būti įgyvendintos laikinos spragų užkardymo arba poveikio sumažinimo priemonės.</w:t>
      </w:r>
    </w:p>
    <w:p w14:paraId="36B3FDF6"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sz w:val="24"/>
          <w:szCs w:val="21"/>
        </w:rPr>
      </w:pPr>
      <w:r w:rsidRPr="00F937D5">
        <w:rPr>
          <w:rFonts w:ascii="Times New Roman" w:eastAsia="Calibri" w:hAnsi="Times New Roman" w:cs="Mangal"/>
          <w:sz w:val="24"/>
          <w:szCs w:val="21"/>
        </w:rPr>
        <w:t>Aptiktos saugumo spragos, kurių balas pagal Bendrąją pažeidžiamumų vertinimo sistemą yra 7,5 arba daugiau, jeigu joms nėra žinomų paviešintų išnaudojimo kodų ir nėra informacijos apie vykdomą šių spragų išnaudojimą, turi būti pašalintos ne vėliau kaip per vieną kalendorinį mėnesį nuo šios informacijos gavimo datos.</w:t>
      </w:r>
    </w:p>
    <w:p w14:paraId="3222980A" w14:textId="77777777" w:rsidR="00B112A0" w:rsidRPr="00F937D5" w:rsidRDefault="00B112A0" w:rsidP="00B112A0">
      <w:pPr>
        <w:numPr>
          <w:ilvl w:val="0"/>
          <w:numId w:val="46"/>
        </w:numPr>
        <w:suppressAutoHyphens/>
        <w:spacing w:after="0" w:line="240" w:lineRule="auto"/>
        <w:ind w:left="0" w:firstLine="680"/>
        <w:contextualSpacing/>
        <w:jc w:val="both"/>
        <w:textAlignment w:val="baseline"/>
        <w:rPr>
          <w:rFonts w:ascii="Times New Roman" w:eastAsia="Calibri" w:hAnsi="Times New Roman" w:cs="Mangal"/>
          <w:b/>
          <w:sz w:val="24"/>
          <w:szCs w:val="21"/>
        </w:rPr>
      </w:pPr>
      <w:r w:rsidRPr="00F937D5">
        <w:rPr>
          <w:rFonts w:ascii="Times New Roman" w:eastAsia="Calibri" w:hAnsi="Times New Roman" w:cs="Mangal"/>
          <w:sz w:val="24"/>
          <w:szCs w:val="21"/>
        </w:rPr>
        <w:t>Žemesnio vertinimo spragos, jeigu joms nėra žinomų paviešintų išnaudojimo kodų ir nėra informacijos apie vykdomą šių spragų išnaudojimą, turi būti pašalintos ne vėliau kaip per tris kalendorinius mėnesius nuo šios informacijos gavimo datos.</w:t>
      </w:r>
    </w:p>
    <w:p w14:paraId="742F9105" w14:textId="77777777" w:rsidR="00B112A0" w:rsidRPr="00F937D5" w:rsidRDefault="00B112A0" w:rsidP="00B112A0">
      <w:pPr>
        <w:spacing w:after="0"/>
        <w:ind w:left="680"/>
        <w:rPr>
          <w:rFonts w:ascii="Times New Roman" w:eastAsia="Calibri" w:hAnsi="Times New Roman" w:cs="Times New Roman"/>
          <w:b/>
          <w:sz w:val="24"/>
          <w:szCs w:val="24"/>
        </w:rPr>
      </w:pPr>
    </w:p>
    <w:p w14:paraId="5FDB6167" w14:textId="77777777" w:rsidR="00B112A0" w:rsidRPr="00F937D5" w:rsidRDefault="00B112A0" w:rsidP="00B112A0">
      <w:pPr>
        <w:numPr>
          <w:ilvl w:val="0"/>
          <w:numId w:val="30"/>
        </w:numPr>
        <w:suppressAutoHyphens/>
        <w:spacing w:after="0" w:line="240" w:lineRule="auto"/>
        <w:ind w:left="0" w:firstLine="680"/>
        <w:jc w:val="both"/>
        <w:textAlignment w:val="baseline"/>
        <w:rPr>
          <w:rFonts w:ascii="Times New Roman" w:eastAsia="Calibri" w:hAnsi="Times New Roman" w:cs="Times New Roman"/>
          <w:b/>
          <w:sz w:val="24"/>
          <w:szCs w:val="24"/>
        </w:rPr>
      </w:pPr>
      <w:r w:rsidRPr="00F937D5">
        <w:rPr>
          <w:rFonts w:ascii="Times New Roman" w:eastAsia="Calibri" w:hAnsi="Times New Roman" w:cs="Times New Roman"/>
          <w:b/>
          <w:sz w:val="24"/>
          <w:szCs w:val="24"/>
        </w:rPr>
        <w:t>Kiti reikalavimai</w:t>
      </w:r>
    </w:p>
    <w:p w14:paraId="7E349E88" w14:textId="77777777" w:rsidR="00B112A0" w:rsidRPr="00F937D5" w:rsidRDefault="00B112A0" w:rsidP="00B112A0">
      <w:pPr>
        <w:numPr>
          <w:ilvl w:val="0"/>
          <w:numId w:val="4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Realizuojant naują ANR PĮ funkcionalumą ir funkcionalumo pakeitimus negali būti sutrikdytas esamas ANR funkcionalumas, kuriam nevykdomi pakeitimai, ar Perkančiosios organizacijos informacinių sistemų ar registrų veikimo stabilumas.</w:t>
      </w:r>
    </w:p>
    <w:p w14:paraId="43B2B9BF" w14:textId="77777777" w:rsidR="00B112A0" w:rsidRPr="00F937D5" w:rsidRDefault="00B112A0" w:rsidP="00B112A0">
      <w:pPr>
        <w:numPr>
          <w:ilvl w:val="0"/>
          <w:numId w:val="4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Naujo ANR PĮ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3A8CB56B" w14:textId="77777777" w:rsidR="00B112A0" w:rsidRPr="00F937D5" w:rsidRDefault="00B112A0" w:rsidP="00B112A0">
      <w:pPr>
        <w:numPr>
          <w:ilvl w:val="0"/>
          <w:numId w:val="4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 xml:space="preserve">ANR PĮ naujų funkcionalumų sukūrimas bei esamų funkcionalumų modifikavimas turi užtikrinti duomenų nuoseklumą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xml:space="preserve">. </w:t>
      </w:r>
      <w:proofErr w:type="spellStart"/>
      <w:r w:rsidRPr="00F937D5">
        <w:rPr>
          <w:rFonts w:ascii="Times New Roman" w:eastAsia="Calibri" w:hAnsi="Times New Roman" w:cs="Times New Roman"/>
          <w:i/>
          <w:sz w:val="24"/>
          <w:szCs w:val="24"/>
        </w:rPr>
        <w:t>consistency</w:t>
      </w:r>
      <w:proofErr w:type="spellEnd"/>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 xml:space="preserve">, </w:t>
      </w:r>
      <w:proofErr w:type="spellStart"/>
      <w:r w:rsidRPr="00F937D5">
        <w:rPr>
          <w:rFonts w:ascii="Times New Roman" w:eastAsia="Calibri" w:hAnsi="Times New Roman" w:cs="Times New Roman"/>
          <w:sz w:val="24"/>
          <w:szCs w:val="24"/>
        </w:rPr>
        <w:t>nedalomumą</w:t>
      </w:r>
      <w:proofErr w:type="spellEnd"/>
      <w:r w:rsidRPr="00F937D5">
        <w:rPr>
          <w:rFonts w:ascii="Times New Roman" w:eastAsia="Calibri" w:hAnsi="Times New Roman" w:cs="Times New Roman"/>
          <w:sz w:val="24"/>
          <w:szCs w:val="24"/>
        </w:rPr>
        <w:t xml:space="preserve">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xml:space="preserve">. </w:t>
      </w:r>
      <w:proofErr w:type="spellStart"/>
      <w:r w:rsidRPr="00F937D5">
        <w:rPr>
          <w:rFonts w:ascii="Times New Roman" w:eastAsia="Calibri" w:hAnsi="Times New Roman" w:cs="Times New Roman"/>
          <w:i/>
          <w:sz w:val="24"/>
          <w:szCs w:val="24"/>
        </w:rPr>
        <w:t>atomicity</w:t>
      </w:r>
      <w:proofErr w:type="spellEnd"/>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 xml:space="preserve">, patvarumą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xml:space="preserve">. </w:t>
      </w:r>
      <w:proofErr w:type="spellStart"/>
      <w:r w:rsidRPr="00F937D5">
        <w:rPr>
          <w:rFonts w:ascii="Times New Roman" w:eastAsia="Calibri" w:hAnsi="Times New Roman" w:cs="Times New Roman"/>
          <w:i/>
          <w:sz w:val="24"/>
          <w:szCs w:val="24"/>
        </w:rPr>
        <w:t>durability</w:t>
      </w:r>
      <w:proofErr w:type="spellEnd"/>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 xml:space="preserve"> bei atskirtį </w:t>
      </w:r>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angl</w:t>
      </w:r>
      <w:r w:rsidRPr="00F937D5">
        <w:rPr>
          <w:rFonts w:ascii="Times New Roman" w:eastAsia="Calibri" w:hAnsi="Times New Roman" w:cs="Times New Roman"/>
          <w:i/>
          <w:sz w:val="24"/>
          <w:szCs w:val="24"/>
        </w:rPr>
        <w:t xml:space="preserve">. </w:t>
      </w:r>
      <w:proofErr w:type="spellStart"/>
      <w:r w:rsidRPr="00F937D5">
        <w:rPr>
          <w:rFonts w:ascii="Times New Roman" w:eastAsia="Calibri" w:hAnsi="Times New Roman" w:cs="Times New Roman"/>
          <w:i/>
          <w:sz w:val="24"/>
          <w:szCs w:val="24"/>
        </w:rPr>
        <w:t>isolation</w:t>
      </w:r>
      <w:proofErr w:type="spellEnd"/>
      <w:r w:rsidRPr="00F937D5">
        <w:rPr>
          <w:rFonts w:ascii="Times New Roman" w:eastAsia="Calibri" w:hAnsi="Times New Roman" w:cs="Times New Roman"/>
          <w:i/>
          <w:sz w:val="24"/>
          <w:szCs w:val="24"/>
        </w:rPr>
        <w:t>)</w:t>
      </w:r>
      <w:r w:rsidRPr="00F937D5">
        <w:rPr>
          <w:rFonts w:ascii="Times New Roman" w:eastAsia="Calibri" w:hAnsi="Times New Roman" w:cs="Times New Roman"/>
          <w:sz w:val="24"/>
          <w:szCs w:val="24"/>
        </w:rPr>
        <w:t>.</w:t>
      </w:r>
    </w:p>
    <w:p w14:paraId="4318AC54" w14:textId="77777777" w:rsidR="00B112A0" w:rsidRPr="00F937D5" w:rsidRDefault="00B112A0" w:rsidP="00F46919">
      <w:pPr>
        <w:numPr>
          <w:ilvl w:val="0"/>
          <w:numId w:val="41"/>
        </w:numPr>
        <w:suppressAutoHyphens/>
        <w:spacing w:after="0" w:line="240" w:lineRule="auto"/>
        <w:ind w:left="0" w:firstLine="680"/>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Naujai sukurti ANR funkcionalumai privalo:</w:t>
      </w:r>
    </w:p>
    <w:p w14:paraId="2497DFEB" w14:textId="2BE52406" w:rsidR="00B112A0" w:rsidRPr="00F937D5" w:rsidRDefault="00290A2C" w:rsidP="00F46919">
      <w:pPr>
        <w:tabs>
          <w:tab w:val="num" w:pos="0"/>
        </w:tabs>
        <w:suppressAutoHyphens/>
        <w:spacing w:after="0" w:line="240" w:lineRule="auto"/>
        <w:ind w:left="680" w:firstLine="2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4.7.4.1. </w:t>
      </w:r>
      <w:r w:rsidR="00B112A0" w:rsidRPr="00F937D5">
        <w:rPr>
          <w:rFonts w:ascii="Times New Roman" w:eastAsia="Calibri" w:hAnsi="Times New Roman" w:cs="Times New Roman"/>
          <w:sz w:val="24"/>
          <w:szCs w:val="24"/>
        </w:rPr>
        <w:t>neįtakoti įprastinio ANR naudotojų darbo (netrikdyti duomenų paieškos, įvedimo, koregavimo, dokumentų bei ataskaitų generavimo);</w:t>
      </w:r>
    </w:p>
    <w:p w14:paraId="71760632" w14:textId="670F3745" w:rsidR="00B112A0" w:rsidRPr="00F937D5" w:rsidRDefault="00290A2C"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4.7.4.2. </w:t>
      </w:r>
      <w:r w:rsidR="00B112A0" w:rsidRPr="00F937D5">
        <w:rPr>
          <w:rFonts w:ascii="Times New Roman" w:eastAsia="Calibri" w:hAnsi="Times New Roman" w:cs="Times New Roman"/>
          <w:sz w:val="24"/>
          <w:szCs w:val="24"/>
        </w:rPr>
        <w:t>neįtakoti ANR duomenų bazėje saugomų duomenų, ataskaitų rezultatų, dokumentų turinio teisingumo;</w:t>
      </w:r>
    </w:p>
    <w:p w14:paraId="57D8A579" w14:textId="5476ED58" w:rsidR="00B112A0" w:rsidRPr="00F937D5" w:rsidRDefault="00290A2C"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4.7.4.3. </w:t>
      </w:r>
      <w:r w:rsidR="00B112A0" w:rsidRPr="00F937D5">
        <w:rPr>
          <w:rFonts w:ascii="Times New Roman" w:eastAsia="Calibri" w:hAnsi="Times New Roman" w:cs="Times New Roman"/>
          <w:sz w:val="24"/>
          <w:szCs w:val="24"/>
        </w:rPr>
        <w:t>neperkrauti ANR aplikacijų, komponentų, duomenų bazių, aplikacijų serverių;</w:t>
      </w:r>
    </w:p>
    <w:p w14:paraId="2D50EFCB" w14:textId="2FFE61BC" w:rsidR="00B112A0" w:rsidRPr="00F937D5" w:rsidRDefault="00290A2C"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4.7.4.4. </w:t>
      </w:r>
      <w:r w:rsidR="00B112A0" w:rsidRPr="00F937D5">
        <w:rPr>
          <w:rFonts w:ascii="Times New Roman" w:eastAsia="Calibri" w:hAnsi="Times New Roman" w:cs="Times New Roman"/>
          <w:sz w:val="24"/>
          <w:szCs w:val="24"/>
        </w:rPr>
        <w:t>apdoroti duomenis realiu laiku.</w:t>
      </w:r>
    </w:p>
    <w:p w14:paraId="150C1A9C" w14:textId="65F44617" w:rsidR="00B112A0" w:rsidRPr="00F937D5" w:rsidRDefault="00F46F28"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 </w:t>
      </w:r>
      <w:r w:rsidR="00B112A0" w:rsidRPr="00F937D5">
        <w:rPr>
          <w:rFonts w:ascii="Times New Roman" w:eastAsia="Calibri" w:hAnsi="Times New Roman" w:cs="Times New Roman"/>
          <w:sz w:val="24"/>
          <w:szCs w:val="24"/>
        </w:rPr>
        <w:t>Turi būti atnaujinti (sukurti nauji) reikalingi klasifikatoriai:</w:t>
      </w:r>
    </w:p>
    <w:p w14:paraId="0C65A0AD" w14:textId="24994A6A" w:rsidR="00B112A0" w:rsidRPr="00F937D5" w:rsidRDefault="00F46F28"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4.7.5.1. </w:t>
      </w:r>
      <w:r w:rsidR="00B112A0" w:rsidRPr="00F937D5">
        <w:rPr>
          <w:rFonts w:ascii="Times New Roman" w:eastAsia="Calibri" w:hAnsi="Times New Roman" w:cs="Times New Roman"/>
          <w:sz w:val="24"/>
          <w:szCs w:val="24"/>
        </w:rPr>
        <w:t>atnaujintos (naujai sukurtos) visos klasifikatorių reikšmės, savybės, ryšiai;</w:t>
      </w:r>
    </w:p>
    <w:p w14:paraId="31D1C3B2" w14:textId="6970E059" w:rsidR="00B112A0" w:rsidRPr="00F937D5" w:rsidRDefault="00F46F28"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4.7.5.2. </w:t>
      </w:r>
      <w:r w:rsidR="00B112A0" w:rsidRPr="00F937D5">
        <w:rPr>
          <w:rFonts w:ascii="Times New Roman" w:eastAsia="Calibri" w:hAnsi="Times New Roman" w:cs="Times New Roman"/>
          <w:sz w:val="24"/>
          <w:szCs w:val="24"/>
        </w:rPr>
        <w:t>klasifikatorių reikšmės turi būti susietos su reikiamų išorinių sistemų (registrų) klasifikatoriais;</w:t>
      </w:r>
    </w:p>
    <w:p w14:paraId="574D5C01" w14:textId="1E6E2BF0" w:rsidR="00B112A0" w:rsidRPr="00F937D5" w:rsidRDefault="00F46F28"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4.7.5.3. </w:t>
      </w:r>
      <w:r w:rsidR="00B112A0" w:rsidRPr="00F937D5">
        <w:rPr>
          <w:rFonts w:ascii="Times New Roman" w:eastAsia="Calibri" w:hAnsi="Times New Roman" w:cs="Times New Roman"/>
          <w:sz w:val="24"/>
          <w:szCs w:val="24"/>
        </w:rPr>
        <w:t xml:space="preserve">klasifikatorių reikšmės turi būti įkeltos į VRIS klasifikatorių posistemės testavimo bei darbines aplinkas ir betarpiškai susietos su ANR </w:t>
      </w:r>
      <w:proofErr w:type="spellStart"/>
      <w:r w:rsidR="00B112A0" w:rsidRPr="00F937D5">
        <w:rPr>
          <w:rFonts w:ascii="Times New Roman" w:eastAsia="Calibri" w:hAnsi="Times New Roman" w:cs="Times New Roman"/>
          <w:sz w:val="24"/>
          <w:szCs w:val="24"/>
        </w:rPr>
        <w:t>testine</w:t>
      </w:r>
      <w:proofErr w:type="spellEnd"/>
      <w:r w:rsidR="00B112A0" w:rsidRPr="00F937D5">
        <w:rPr>
          <w:rFonts w:ascii="Times New Roman" w:eastAsia="Calibri" w:hAnsi="Times New Roman" w:cs="Times New Roman"/>
          <w:sz w:val="24"/>
          <w:szCs w:val="24"/>
        </w:rPr>
        <w:t xml:space="preserve"> (mokomąja) ir darbine aplikacijos versijomis. Visas klaidas, susijusias su neteisingu, klaidingu klasifikatorių reikšmių, savybių atvaizdavimu bei ryšiais tarp jų, Tiekėjas turi ištaisyti savo lėšomis.</w:t>
      </w:r>
    </w:p>
    <w:p w14:paraId="4DCF721F" w14:textId="2934531B" w:rsidR="00B112A0" w:rsidRPr="00F937D5" w:rsidRDefault="00A45600"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4.7.6. </w:t>
      </w:r>
      <w:r w:rsidR="00B112A0" w:rsidRPr="00F937D5">
        <w:rPr>
          <w:rFonts w:ascii="Times New Roman" w:eastAsia="Calibri" w:hAnsi="Times New Roman" w:cs="Times New Roman"/>
          <w:sz w:val="24"/>
          <w:szCs w:val="24"/>
        </w:rPr>
        <w:t>Visi automatinių procesų (padaryti ANR naudotojų) veiksmai turi būti audituojami VRIS AUDIT III sistemoje.</w:t>
      </w:r>
    </w:p>
    <w:p w14:paraId="2A59EE59" w14:textId="4144CF9B" w:rsidR="00B112A0" w:rsidRPr="00F937D5" w:rsidRDefault="00A45600" w:rsidP="00F46919">
      <w:pPr>
        <w:tabs>
          <w:tab w:val="num" w:pos="0"/>
        </w:tabs>
        <w:suppressAutoHyphens/>
        <w:spacing w:after="0" w:line="240" w:lineRule="auto"/>
        <w:ind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4.7.7. </w:t>
      </w:r>
      <w:r w:rsidR="00B112A0" w:rsidRPr="00F937D5">
        <w:rPr>
          <w:rFonts w:ascii="Times New Roman" w:eastAsia="Calibri" w:hAnsi="Times New Roman" w:cs="Times New Roman"/>
          <w:sz w:val="24"/>
          <w:szCs w:val="24"/>
        </w:rPr>
        <w:t>Sėkmingai ištestuoti reikalavimai turi būti įdiegti ne tik darbinėje ANR aplinkoje, bet ir mokomojoje ANR aplinkoje.</w:t>
      </w:r>
    </w:p>
    <w:p w14:paraId="57199310" w14:textId="77777777" w:rsidR="00B112A0" w:rsidRPr="00F937D5" w:rsidRDefault="00B112A0" w:rsidP="00B112A0">
      <w:pPr>
        <w:spacing w:after="0"/>
        <w:ind w:left="680"/>
        <w:rPr>
          <w:rFonts w:ascii="Times New Roman" w:eastAsia="Calibri" w:hAnsi="Times New Roman" w:cs="Times New Roman"/>
          <w:sz w:val="24"/>
          <w:szCs w:val="24"/>
        </w:rPr>
      </w:pPr>
    </w:p>
    <w:p w14:paraId="0B2BB8A3" w14:textId="77777777" w:rsidR="00B112A0" w:rsidRPr="00F937D5" w:rsidRDefault="00B112A0" w:rsidP="00B112A0">
      <w:pPr>
        <w:spacing w:after="0"/>
        <w:ind w:left="680"/>
        <w:rPr>
          <w:rFonts w:ascii="Times New Roman" w:eastAsia="Times New Roman" w:hAnsi="Times New Roman" w:cs="Times New Roman"/>
          <w:b/>
          <w:bCs/>
          <w:kern w:val="2"/>
          <w:sz w:val="24"/>
          <w:szCs w:val="24"/>
          <w:lang w:eastAsia="ru-RU" w:bidi="hi-IN"/>
        </w:rPr>
      </w:pPr>
      <w:bookmarkStart w:id="6" w:name="_Toc122358187"/>
      <w:r w:rsidRPr="00F937D5">
        <w:rPr>
          <w:rFonts w:ascii="Times New Roman" w:eastAsia="Times New Roman" w:hAnsi="Times New Roman" w:cs="Times New Roman"/>
          <w:b/>
          <w:bCs/>
          <w:kern w:val="2"/>
          <w:sz w:val="24"/>
          <w:szCs w:val="24"/>
          <w:lang w:eastAsia="ru-RU" w:bidi="hi-IN"/>
        </w:rPr>
        <w:t>4.8. ATITIKIMAS TEISĖS AKTŲ REIKALAVIMAMS</w:t>
      </w:r>
      <w:bookmarkEnd w:id="6"/>
    </w:p>
    <w:p w14:paraId="2757074E" w14:textId="77777777" w:rsidR="00B112A0" w:rsidRPr="00F937D5" w:rsidRDefault="00B112A0" w:rsidP="00B112A0">
      <w:pPr>
        <w:spacing w:after="0"/>
        <w:ind w:left="680"/>
        <w:rPr>
          <w:rFonts w:ascii="Times New Roman" w:eastAsia="Calibri" w:hAnsi="Times New Roman" w:cs="Times New Roman"/>
          <w:sz w:val="24"/>
          <w:szCs w:val="24"/>
        </w:rPr>
      </w:pPr>
    </w:p>
    <w:p w14:paraId="50BFF6C1"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 xml:space="preserve">Paslaugos turi būti teikiamos vadovaujantis galiojančiais ir aktualiais teisės aktais, dokumentais, standartais ir rekomendacijomis. Paslaugų teikėjas, teikdamas Paslaugas pagal šią </w:t>
      </w:r>
      <w:r w:rsidRPr="00F937D5">
        <w:rPr>
          <w:rFonts w:ascii="Times New Roman" w:eastAsia="Times New Roman" w:hAnsi="Times New Roman" w:cs="Times New Roman"/>
          <w:kern w:val="2"/>
          <w:sz w:val="24"/>
          <w:szCs w:val="21"/>
          <w:lang w:eastAsia="ru-RU" w:bidi="hi-IN"/>
        </w:rPr>
        <w:lastRenderedPageBreak/>
        <w:t>techninę specifikaciją, turi įvertinti visus teisės aktus, Paslaugų teikimo metu priimtus ir įsigaliojusius ar įsigaliosiančius teisės aktus, susijusius su Paslaugų teikimu, įskaitant, bet neapsiribojant teisės aktais, nurodytais šioje techninėje specifikacijoje.</w:t>
      </w:r>
    </w:p>
    <w:p w14:paraId="6F6A2586"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Lietuvos Respublikos valstybės informacinių išteklių valdymo įstatymu;</w:t>
      </w:r>
    </w:p>
    <w:p w14:paraId="562E7698"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 </w:t>
      </w:r>
      <w:r w:rsidRPr="00F937D5">
        <w:rPr>
          <w:rFonts w:ascii="Times New Roman" w:eastAsia="Times New Roman" w:hAnsi="Times New Roman" w:cs="Times New Roman"/>
          <w:kern w:val="2"/>
          <w:sz w:val="24"/>
          <w:szCs w:val="21"/>
          <w:lang w:eastAsia="ru-RU" w:bidi="hi-IN"/>
        </w:rPr>
        <w:t>Lietuvos Respublikos asmens duomenų teisinės apsaugos įstatymu;</w:t>
      </w:r>
    </w:p>
    <w:p w14:paraId="4F889B3B"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Informacijos saugumo valdymą reglamentuojančiais teisės aktais ir standartais;</w:t>
      </w:r>
    </w:p>
    <w:p w14:paraId="46B8037F"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 viešuosius pirkimus reglamentuojančiais teisės aktais;</w:t>
      </w:r>
    </w:p>
    <w:p w14:paraId="1C6AE98B"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4C8E3B22"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077F65B1"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shd w:val="clear" w:color="auto" w:fill="FFFFFF"/>
          <w:lang w:eastAsia="ru-RU" w:bidi="hi-IN"/>
        </w:rPr>
        <w:t> </w:t>
      </w:r>
      <w:r w:rsidRPr="00F937D5">
        <w:rPr>
          <w:rFonts w:ascii="Times New Roman" w:eastAsia="Times New Roman" w:hAnsi="Times New Roman" w:cs="Times New Roman"/>
          <w:kern w:val="2"/>
          <w:sz w:val="24"/>
          <w:szCs w:val="21"/>
          <w:lang w:eastAsia="ru-RU" w:bidi="hi-IN"/>
        </w:rPr>
        <w:t>Lietuvos Respublikos kibernetinio saugumo įstatymu;</w:t>
      </w:r>
    </w:p>
    <w:p w14:paraId="3D6CDEB7"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14A8DACA"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2CDE35BA" w14:textId="351EC064"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 xml:space="preserve">Nacionaliniu kibernetinių incidentų </w:t>
      </w:r>
      <w:r w:rsidR="003E043D">
        <w:rPr>
          <w:rFonts w:ascii="Times New Roman" w:eastAsia="Times New Roman" w:hAnsi="Times New Roman" w:cs="Times New Roman"/>
          <w:kern w:val="2"/>
          <w:sz w:val="24"/>
          <w:szCs w:val="21"/>
          <w:lang w:eastAsia="ru-RU" w:bidi="hi-IN"/>
        </w:rPr>
        <w:t xml:space="preserve">valdymo </w:t>
      </w:r>
      <w:r w:rsidRPr="00F937D5">
        <w:rPr>
          <w:rFonts w:ascii="Times New Roman" w:eastAsia="Times New Roman" w:hAnsi="Times New Roman" w:cs="Times New Roman"/>
          <w:kern w:val="2"/>
          <w:sz w:val="24"/>
          <w:szCs w:val="21"/>
          <w:lang w:eastAsia="ru-RU" w:bidi="hi-IN"/>
        </w:rPr>
        <w:t>planu, patvirtintu Lietuvos Respublikos Vyriausybės 2018 m. rugpjūčio 13 d. nutarimu Nr. 818 „Dėl Lietuvos Respublikos kibernetinio saugumo įstatymo įgyvendinimo“;</w:t>
      </w:r>
    </w:p>
    <w:p w14:paraId="63BFD8D7" w14:textId="530F8BE2"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Kibernetinių incidentų valdymo Vidaus reikalų ministerijos valdomose ypatingos svarbos informacinėse infrastruktūrose planu, patvirtintu Lietuvos Respublikos vidaus reikalų ministro 2017 m. rugsėjo 20 d. įsakymu Nr.</w:t>
      </w:r>
      <w:r w:rsidR="005A40EE">
        <w:rPr>
          <w:rFonts w:ascii="Times New Roman" w:eastAsia="Times New Roman" w:hAnsi="Times New Roman" w:cs="Times New Roman"/>
          <w:kern w:val="2"/>
          <w:sz w:val="24"/>
          <w:szCs w:val="21"/>
          <w:lang w:eastAsia="ru-RU" w:bidi="hi-IN"/>
        </w:rPr>
        <w:t xml:space="preserve"> </w:t>
      </w:r>
      <w:r w:rsidRPr="00F937D5">
        <w:rPr>
          <w:rFonts w:ascii="Times New Roman" w:eastAsia="Times New Roman" w:hAnsi="Times New Roman" w:cs="Times New Roman"/>
          <w:kern w:val="2"/>
          <w:sz w:val="24"/>
          <w:szCs w:val="21"/>
          <w:lang w:eastAsia="ru-RU" w:bidi="hi-IN"/>
        </w:rPr>
        <w:t>1V-651 „Dėl Kibernetinių incidentų valdymo Vidaus reikalų ministerijos valdomose ypatingos svarbos informacinėse infrastruktūrose plano patvirtinimo“;</w:t>
      </w:r>
    </w:p>
    <w:p w14:paraId="51EE99C1"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Kai kurių Lietuvos Respublikos vidaus reikalų ministerijos valdomų registrų ir valstybės informacinių sistemų veiklos tęstinumo valdymo plane, patvirtintame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498D5F4C"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Administracinių nusižengimų registro veiklą reglamentuojančiais teisės aktais;</w:t>
      </w:r>
    </w:p>
    <w:p w14:paraId="4F8DCCD0" w14:textId="77777777" w:rsidR="00B112A0" w:rsidRPr="00F937D5" w:rsidRDefault="00B112A0" w:rsidP="00B112A0">
      <w:pPr>
        <w:numPr>
          <w:ilvl w:val="2"/>
          <w:numId w:val="48"/>
        </w:numPr>
        <w:tabs>
          <w:tab w:val="left" w:pos="426"/>
          <w:tab w:val="left" w:pos="567"/>
          <w:tab w:val="left" w:pos="993"/>
          <w:tab w:val="left" w:pos="1276"/>
          <w:tab w:val="left" w:pos="1560"/>
        </w:tabs>
        <w:suppressAutoHyphens/>
        <w:spacing w:after="0" w:line="240" w:lineRule="auto"/>
        <w:ind w:left="0" w:firstLine="720"/>
        <w:contextualSpacing/>
        <w:jc w:val="both"/>
        <w:textAlignment w:val="baseline"/>
        <w:rPr>
          <w:rFonts w:ascii="Times New Roman" w:eastAsia="Times New Roman" w:hAnsi="Times New Roman" w:cs="Times New Roman"/>
          <w:kern w:val="2"/>
          <w:sz w:val="24"/>
          <w:szCs w:val="21"/>
          <w:lang w:eastAsia="ru-RU" w:bidi="hi-IN"/>
        </w:rPr>
      </w:pPr>
      <w:r w:rsidRPr="00F937D5">
        <w:rPr>
          <w:rFonts w:ascii="Times New Roman" w:eastAsia="Times New Roman" w:hAnsi="Times New Roman" w:cs="Times New Roman"/>
          <w:kern w:val="2"/>
          <w:sz w:val="24"/>
          <w:szCs w:val="21"/>
          <w:lang w:eastAsia="ru-RU" w:bidi="hi-IN"/>
        </w:rPr>
        <w:t>kitais Europos Sąjungos ir Lietuvos Respublikos teisės aktais, Lietuvos Respublikos ir tarptautiniais standartais, reglamentuojančiais informacijos saugą, kibernetinį saugumą, asmens duomenų apsaugą.</w:t>
      </w:r>
    </w:p>
    <w:p w14:paraId="0DF7181D" w14:textId="77777777" w:rsidR="00B112A0" w:rsidRPr="00F937D5" w:rsidRDefault="00B112A0" w:rsidP="00B112A0">
      <w:pPr>
        <w:suppressAutoHyphens/>
        <w:spacing w:after="0" w:line="240" w:lineRule="auto"/>
        <w:textAlignment w:val="baseline"/>
        <w:rPr>
          <w:rFonts w:ascii="Times New Roman" w:eastAsia="Calibri" w:hAnsi="Times New Roman" w:cs="Times New Roman"/>
          <w:sz w:val="24"/>
          <w:szCs w:val="24"/>
        </w:rPr>
      </w:pPr>
    </w:p>
    <w:p w14:paraId="5B64CE20" w14:textId="77777777" w:rsidR="00B112A0" w:rsidRPr="00F937D5" w:rsidRDefault="00B112A0" w:rsidP="00B112A0">
      <w:pPr>
        <w:numPr>
          <w:ilvl w:val="0"/>
          <w:numId w:val="24"/>
        </w:numPr>
        <w:tabs>
          <w:tab w:val="left" w:pos="0"/>
          <w:tab w:val="left" w:pos="1134"/>
          <w:tab w:val="left" w:pos="1418"/>
        </w:tabs>
        <w:suppressAutoHyphens/>
        <w:spacing w:after="0" w:line="240" w:lineRule="auto"/>
        <w:ind w:left="0" w:firstLine="680"/>
        <w:contextualSpacing/>
        <w:jc w:val="both"/>
        <w:textAlignment w:val="baseline"/>
        <w:rPr>
          <w:rFonts w:ascii="Times New Roman" w:eastAsia="Times New Roman" w:hAnsi="Times New Roman" w:cs="Times New Roman"/>
          <w:b/>
          <w:bCs/>
          <w:color w:val="000000"/>
          <w:sz w:val="24"/>
          <w:szCs w:val="24"/>
        </w:rPr>
      </w:pPr>
      <w:r w:rsidRPr="00F937D5">
        <w:rPr>
          <w:rFonts w:ascii="Times New Roman" w:eastAsia="Times New Roman" w:hAnsi="Times New Roman" w:cs="Times New Roman"/>
          <w:b/>
          <w:bCs/>
          <w:color w:val="000000"/>
          <w:sz w:val="24"/>
          <w:szCs w:val="24"/>
        </w:rPr>
        <w:t>BAIGIAMOSIOS NUOSTATOS</w:t>
      </w:r>
    </w:p>
    <w:p w14:paraId="4544874D" w14:textId="77777777" w:rsidR="00B112A0" w:rsidRPr="00F937D5" w:rsidRDefault="00B112A0" w:rsidP="00B112A0">
      <w:pPr>
        <w:tabs>
          <w:tab w:val="left" w:pos="1276"/>
        </w:tabs>
        <w:spacing w:after="0" w:line="240" w:lineRule="auto"/>
        <w:ind w:firstLine="680"/>
        <w:contextualSpacing/>
        <w:rPr>
          <w:rFonts w:ascii="Times New Roman" w:eastAsia="Calibri" w:hAnsi="Times New Roman" w:cs="Times New Roman"/>
          <w:b/>
          <w:color w:val="000000"/>
          <w:sz w:val="24"/>
          <w:szCs w:val="24"/>
        </w:rPr>
      </w:pPr>
    </w:p>
    <w:p w14:paraId="71078177" w14:textId="77777777" w:rsidR="00B112A0" w:rsidRPr="00F937D5" w:rsidRDefault="00B112A0" w:rsidP="00B112A0">
      <w:pPr>
        <w:numPr>
          <w:ilvl w:val="1"/>
          <w:numId w:val="28"/>
        </w:numPr>
        <w:tabs>
          <w:tab w:val="left" w:pos="1134"/>
        </w:tabs>
        <w:suppressAutoHyphens/>
        <w:spacing w:after="0" w:line="240" w:lineRule="auto"/>
        <w:ind w:left="0" w:firstLine="680"/>
        <w:contextualSpacing/>
        <w:jc w:val="both"/>
        <w:textAlignment w:val="baseline"/>
        <w:rPr>
          <w:rFonts w:ascii="Times New Roman" w:eastAsia="Calibri" w:hAnsi="Times New Roman" w:cs="Times New Roman"/>
          <w:sz w:val="24"/>
          <w:szCs w:val="24"/>
        </w:rPr>
      </w:pPr>
      <w:r w:rsidRPr="00F937D5">
        <w:rPr>
          <w:rFonts w:ascii="Times New Roman" w:eastAsia="Calibri" w:hAnsi="Times New Roman" w:cs="Times New Roman"/>
          <w:sz w:val="24"/>
          <w:szCs w:val="24"/>
        </w:rPr>
        <w:t>Pagrindinė reikalavimų tenkinimo nuostata: naujai realizuoti (modifikuoti) Registro PĮ funkcionalumai, sauga, greitaveika, patogumas turi būti ne prastesni nei dabartiniai.</w:t>
      </w:r>
    </w:p>
    <w:tbl>
      <w:tblPr>
        <w:tblW w:w="9374" w:type="dxa"/>
        <w:tblInd w:w="165" w:type="dxa"/>
        <w:tblLook w:val="0000" w:firstRow="0" w:lastRow="0" w:firstColumn="0" w:lastColumn="0" w:noHBand="0" w:noVBand="0"/>
      </w:tblPr>
      <w:tblGrid>
        <w:gridCol w:w="4659"/>
        <w:gridCol w:w="4715"/>
      </w:tblGrid>
      <w:tr w:rsidR="00124024" w:rsidRPr="00A56F38" w14:paraId="766D42A5" w14:textId="77777777" w:rsidTr="0000582D">
        <w:trPr>
          <w:trHeight w:val="4041"/>
        </w:trPr>
        <w:tc>
          <w:tcPr>
            <w:tcW w:w="4659" w:type="dxa"/>
          </w:tcPr>
          <w:p w14:paraId="35054240" w14:textId="77777777" w:rsidR="00124024" w:rsidRPr="00A56F38" w:rsidRDefault="00124024" w:rsidP="00803CDA">
            <w:pPr>
              <w:tabs>
                <w:tab w:val="left" w:pos="9630"/>
              </w:tabs>
              <w:spacing w:after="0" w:line="240" w:lineRule="auto"/>
              <w:rPr>
                <w:rFonts w:ascii="Times New Roman" w:eastAsia="Times New Roman" w:hAnsi="Times New Roman" w:cs="Times New Roman"/>
                <w:b/>
                <w:sz w:val="24"/>
                <w:szCs w:val="24"/>
              </w:rPr>
            </w:pPr>
          </w:p>
          <w:p w14:paraId="25CB6446"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KLIENTAS</w:t>
            </w:r>
          </w:p>
          <w:p w14:paraId="06D28ECD"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sz w:val="24"/>
                <w:szCs w:val="24"/>
              </w:rPr>
            </w:pPr>
          </w:p>
          <w:p w14:paraId="56BCF8E2"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Informatikos ir ryšių departamentas </w:t>
            </w:r>
          </w:p>
          <w:p w14:paraId="2AA4C899"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prie Lietuvos Respublikos </w:t>
            </w:r>
          </w:p>
          <w:p w14:paraId="0EB06EE6"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vidaus reikalų ministerijos</w:t>
            </w:r>
          </w:p>
          <w:p w14:paraId="219B34D0"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p>
          <w:p w14:paraId="5A45DF6F"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4599974A" w14:textId="07A87E42" w:rsidR="00124024" w:rsidRPr="00A56F38" w:rsidRDefault="00EF52D3"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Direktorė</w:t>
            </w:r>
          </w:p>
          <w:p w14:paraId="304DD64A" w14:textId="32A88FFC"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352297A5"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0B2068B7" w14:textId="77777777" w:rsidR="00124024" w:rsidRPr="00A56F38" w:rsidRDefault="00EF52D3" w:rsidP="00803CDA">
            <w:pPr>
              <w:tabs>
                <w:tab w:val="left" w:pos="9630"/>
              </w:tabs>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bCs/>
                <w:sz w:val="24"/>
                <w:szCs w:val="24"/>
              </w:rPr>
              <w:t>Viktorija Rūkštelė</w:t>
            </w:r>
          </w:p>
        </w:tc>
        <w:tc>
          <w:tcPr>
            <w:tcW w:w="4715" w:type="dxa"/>
          </w:tcPr>
          <w:p w14:paraId="755DEACD"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p>
          <w:p w14:paraId="2F05AEC3"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r w:rsidRPr="00A56F38">
              <w:rPr>
                <w:rFonts w:ascii="Times New Roman" w:eastAsia="Arial Unicode MS" w:hAnsi="Times New Roman" w:cs="Times New Roman"/>
                <w:b/>
                <w:bCs/>
                <w:sz w:val="24"/>
                <w:szCs w:val="24"/>
              </w:rPr>
              <w:t>PASLAUGŲ TEIKĖJAS</w:t>
            </w:r>
          </w:p>
          <w:p w14:paraId="080E4516" w14:textId="77777777" w:rsidR="00124024" w:rsidRPr="00A56F38" w:rsidRDefault="00124024" w:rsidP="00803CDA">
            <w:pPr>
              <w:tabs>
                <w:tab w:val="left" w:pos="9630"/>
              </w:tabs>
              <w:spacing w:after="0" w:line="240" w:lineRule="auto"/>
              <w:jc w:val="both"/>
              <w:rPr>
                <w:rFonts w:ascii="Times New Roman" w:eastAsia="Times New Roman" w:hAnsi="Times New Roman" w:cs="Times New Roman"/>
                <w:b/>
                <w:sz w:val="24"/>
                <w:szCs w:val="24"/>
                <w:lang w:eastAsia="lt-LT"/>
              </w:rPr>
            </w:pPr>
          </w:p>
          <w:p w14:paraId="267D1318" w14:textId="77777777" w:rsidR="00124024" w:rsidRPr="00A56F38" w:rsidRDefault="00B97CCE" w:rsidP="00803CDA">
            <w:pPr>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UAB „Insoft“</w:t>
            </w:r>
          </w:p>
          <w:p w14:paraId="275238BE"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18578D45"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71D3450A" w14:textId="77777777" w:rsidR="00124024" w:rsidRPr="00A56F38" w:rsidRDefault="00124024" w:rsidP="00803CDA">
            <w:pPr>
              <w:tabs>
                <w:tab w:val="left" w:pos="9360"/>
              </w:tabs>
              <w:spacing w:after="0" w:line="240" w:lineRule="auto"/>
              <w:rPr>
                <w:rFonts w:ascii="Times New Roman" w:eastAsia="Times New Roman" w:hAnsi="Times New Roman" w:cs="Times New Roman"/>
                <w:b/>
                <w:sz w:val="24"/>
                <w:szCs w:val="24"/>
              </w:rPr>
            </w:pPr>
          </w:p>
          <w:p w14:paraId="510C7A95" w14:textId="77777777" w:rsidR="00B97CCE" w:rsidRPr="00A56F38" w:rsidRDefault="00B97CCE" w:rsidP="00803CDA">
            <w:pPr>
              <w:spacing w:after="0" w:line="240" w:lineRule="auto"/>
              <w:rPr>
                <w:rFonts w:ascii="Times New Roman" w:hAnsi="Times New Roman" w:cs="Times New Roman"/>
                <w:sz w:val="24"/>
                <w:szCs w:val="24"/>
              </w:rPr>
            </w:pPr>
          </w:p>
          <w:p w14:paraId="66C779F9" w14:textId="77777777" w:rsidR="00B97CCE" w:rsidRPr="00EB131B" w:rsidRDefault="00B97CCE" w:rsidP="00803CDA">
            <w:pPr>
              <w:spacing w:after="0" w:line="240" w:lineRule="auto"/>
              <w:rPr>
                <w:rFonts w:ascii="Times New Roman" w:eastAsia="Times New Roman" w:hAnsi="Times New Roman" w:cs="Times New Roman"/>
                <w:sz w:val="24"/>
                <w:szCs w:val="24"/>
              </w:rPr>
            </w:pPr>
            <w:r w:rsidRPr="00EB131B">
              <w:rPr>
                <w:rFonts w:ascii="Times New Roman" w:eastAsia="Times New Roman" w:hAnsi="Times New Roman" w:cs="Times New Roman"/>
                <w:sz w:val="24"/>
                <w:szCs w:val="24"/>
              </w:rPr>
              <w:t>Direktorius</w:t>
            </w:r>
          </w:p>
          <w:p w14:paraId="0D9F291D" w14:textId="36EB5C62" w:rsidR="00124024" w:rsidRPr="00EB131B" w:rsidRDefault="00124024" w:rsidP="00803CDA">
            <w:pPr>
              <w:spacing w:after="0" w:line="240" w:lineRule="auto"/>
              <w:rPr>
                <w:rFonts w:ascii="Times New Roman" w:eastAsia="Times New Roman" w:hAnsi="Times New Roman" w:cs="Times New Roman"/>
                <w:sz w:val="24"/>
                <w:szCs w:val="24"/>
              </w:rPr>
            </w:pPr>
          </w:p>
          <w:p w14:paraId="2DF90757" w14:textId="74B63C6E" w:rsidR="00124024" w:rsidRPr="00EB131B" w:rsidRDefault="00124024" w:rsidP="00B112A0">
            <w:pPr>
              <w:spacing w:after="0" w:line="240" w:lineRule="auto"/>
              <w:contextualSpacing/>
              <w:rPr>
                <w:rFonts w:ascii="Times New Roman" w:eastAsia="Times New Roman" w:hAnsi="Times New Roman" w:cs="Times New Roman"/>
                <w:sz w:val="24"/>
                <w:szCs w:val="24"/>
              </w:rPr>
            </w:pPr>
          </w:p>
          <w:p w14:paraId="459B6B39" w14:textId="77777777" w:rsidR="00124024" w:rsidRPr="00A56F38" w:rsidRDefault="00B97CCE" w:rsidP="00803CDA">
            <w:pPr>
              <w:tabs>
                <w:tab w:val="left" w:pos="720"/>
                <w:tab w:val="left" w:pos="9630"/>
              </w:tabs>
              <w:spacing w:after="0" w:line="240" w:lineRule="auto"/>
              <w:rPr>
                <w:rFonts w:ascii="Times New Roman" w:eastAsia="Times New Roman" w:hAnsi="Times New Roman" w:cs="Times New Roman"/>
                <w:sz w:val="24"/>
                <w:szCs w:val="24"/>
              </w:rPr>
            </w:pPr>
            <w:r w:rsidRPr="00EB131B">
              <w:rPr>
                <w:rFonts w:ascii="Times New Roman" w:eastAsia="Times New Roman" w:hAnsi="Times New Roman" w:cs="Times New Roman"/>
                <w:sz w:val="24"/>
                <w:szCs w:val="24"/>
              </w:rPr>
              <w:t>Mindaugas Mikulėnas</w:t>
            </w:r>
          </w:p>
        </w:tc>
      </w:tr>
    </w:tbl>
    <w:p w14:paraId="58A2A515" w14:textId="77777777" w:rsidR="00124024" w:rsidRPr="00A56F38" w:rsidRDefault="00124024" w:rsidP="00803CDA">
      <w:pPr>
        <w:spacing w:after="0" w:line="240" w:lineRule="auto"/>
        <w:jc w:val="both"/>
        <w:rPr>
          <w:rFonts w:ascii="Times New Roman" w:eastAsia="Times New Roman" w:hAnsi="Times New Roman" w:cs="Times New Roman"/>
          <w:sz w:val="24"/>
          <w:szCs w:val="24"/>
        </w:rPr>
      </w:pPr>
    </w:p>
    <w:p w14:paraId="72A3FB41" w14:textId="77777777" w:rsidR="00124024" w:rsidRPr="00A56F38" w:rsidRDefault="00124024" w:rsidP="00803CDA">
      <w:pPr>
        <w:spacing w:after="0" w:line="240" w:lineRule="auto"/>
        <w:rPr>
          <w:rFonts w:ascii="Times New Roman" w:hAnsi="Times New Roman" w:cs="Times New Roman"/>
          <w:sz w:val="24"/>
          <w:szCs w:val="24"/>
        </w:rPr>
      </w:pPr>
    </w:p>
    <w:p w14:paraId="17EAEAA5" w14:textId="77777777" w:rsidR="00600D07" w:rsidRPr="00A56F38" w:rsidRDefault="00600D07" w:rsidP="00803CDA">
      <w:pPr>
        <w:spacing w:after="0" w:line="240" w:lineRule="auto"/>
        <w:rPr>
          <w:rFonts w:ascii="Times New Roman" w:hAnsi="Times New Roman" w:cs="Times New Roman"/>
          <w:sz w:val="24"/>
          <w:szCs w:val="24"/>
        </w:rPr>
      </w:pPr>
    </w:p>
    <w:sectPr w:rsidR="00600D07" w:rsidRPr="00A56F38" w:rsidSect="00E76902">
      <w:headerReference w:type="default" r:id="rId9"/>
      <w:footerReference w:type="default" r:id="rId10"/>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92BF" w14:textId="77777777" w:rsidR="009701DB" w:rsidRDefault="009701DB">
      <w:pPr>
        <w:spacing w:after="0" w:line="240" w:lineRule="auto"/>
      </w:pPr>
      <w:r>
        <w:separator/>
      </w:r>
    </w:p>
  </w:endnote>
  <w:endnote w:type="continuationSeparator" w:id="0">
    <w:p w14:paraId="6F6102FA" w14:textId="77777777" w:rsidR="009701DB" w:rsidRDefault="0097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SimSun, 宋体">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Mono">
    <w:altName w:val="MS Gothic"/>
    <w:charset w:val="BA"/>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5DB" w14:textId="77777777" w:rsidR="004B1D5C" w:rsidRDefault="004B1D5C"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3D45" w14:textId="77777777" w:rsidR="009701DB" w:rsidRDefault="009701DB">
      <w:pPr>
        <w:spacing w:after="0" w:line="240" w:lineRule="auto"/>
      </w:pPr>
      <w:r>
        <w:separator/>
      </w:r>
    </w:p>
  </w:footnote>
  <w:footnote w:type="continuationSeparator" w:id="0">
    <w:p w14:paraId="01E19D7E" w14:textId="77777777" w:rsidR="009701DB" w:rsidRDefault="00970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89776"/>
      <w:docPartObj>
        <w:docPartGallery w:val="Page Numbers (Top of Page)"/>
        <w:docPartUnique/>
      </w:docPartObj>
    </w:sdtPr>
    <w:sdtContent>
      <w:p w14:paraId="702CB7D7" w14:textId="536578E1" w:rsidR="004B1D5C" w:rsidRDefault="00124024">
        <w:pPr>
          <w:pStyle w:val="Antrats"/>
          <w:jc w:val="center"/>
        </w:pPr>
        <w:r>
          <w:fldChar w:fldCharType="begin"/>
        </w:r>
        <w:r>
          <w:instrText>PAGE   \* MERGEFORMAT</w:instrText>
        </w:r>
        <w:r>
          <w:fldChar w:fldCharType="separate"/>
        </w:r>
        <w:r w:rsidR="00EC20DF">
          <w:rPr>
            <w:noProof/>
          </w:rPr>
          <w:t>2</w:t>
        </w:r>
        <w:r>
          <w:fldChar w:fldCharType="end"/>
        </w:r>
      </w:p>
    </w:sdtContent>
  </w:sdt>
  <w:p w14:paraId="7E959B67" w14:textId="77777777" w:rsidR="004B1D5C" w:rsidRDefault="004B1D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2"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1E7299"/>
    <w:multiLevelType w:val="hybridMultilevel"/>
    <w:tmpl w:val="3126D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A212B"/>
    <w:multiLevelType w:val="multilevel"/>
    <w:tmpl w:val="3272A1C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317E8"/>
    <w:multiLevelType w:val="hybridMultilevel"/>
    <w:tmpl w:val="A77A9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D307B2"/>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121D2231"/>
    <w:multiLevelType w:val="multilevel"/>
    <w:tmpl w:val="DD826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CA3C9C"/>
    <w:multiLevelType w:val="multilevel"/>
    <w:tmpl w:val="BFA0F0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A54744"/>
    <w:multiLevelType w:val="multilevel"/>
    <w:tmpl w:val="97D8D8B6"/>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8" w15:restartNumberingAfterBreak="0">
    <w:nsid w:val="2AA77B14"/>
    <w:multiLevelType w:val="hybridMultilevel"/>
    <w:tmpl w:val="F6E8B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E84EDD"/>
    <w:multiLevelType w:val="multilevel"/>
    <w:tmpl w:val="80920034"/>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bullet"/>
      <w:lvlText w:val=""/>
      <w:lvlJc w:val="left"/>
      <w:pPr>
        <w:tabs>
          <w:tab w:val="num" w:pos="0"/>
        </w:tabs>
        <w:ind w:left="144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bullet"/>
      <w:lvlText w:val="o"/>
      <w:lvlJc w:val="left"/>
      <w:pPr>
        <w:tabs>
          <w:tab w:val="num" w:pos="0"/>
        </w:tabs>
        <w:ind w:left="2160" w:hanging="360"/>
      </w:pPr>
      <w:rPr>
        <w:rFonts w:ascii="Courier New" w:hAnsi="Courier New" w:cs="Courier New" w:hint="default"/>
      </w:r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 w15:restartNumberingAfterBreak="0">
    <w:nsid w:val="2E8B4B72"/>
    <w:multiLevelType w:val="multilevel"/>
    <w:tmpl w:val="3DE26F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hint="default"/>
        <w:b/>
        <w:sz w:val="24"/>
      </w:rPr>
    </w:lvl>
    <w:lvl w:ilvl="2">
      <w:start w:val="1"/>
      <w:numFmt w:val="decimal"/>
      <w:lvlText w:val="%1.%2.%3."/>
      <w:lvlJc w:val="left"/>
      <w:pPr>
        <w:tabs>
          <w:tab w:val="num" w:pos="0"/>
        </w:tabs>
        <w:ind w:left="1440" w:hanging="720"/>
      </w:pPr>
      <w:rPr>
        <w:rFonts w:ascii="Times New Roman" w:hAnsi="Times New Roman" w:cs="Times New Roman" w:hint="default"/>
        <w:b/>
        <w:sz w:val="24"/>
      </w:rPr>
    </w:lvl>
    <w:lvl w:ilvl="3">
      <w:start w:val="1"/>
      <w:numFmt w:val="decimal"/>
      <w:lvlText w:val="%1.%2.%3.%4."/>
      <w:lvlJc w:val="left"/>
      <w:pPr>
        <w:tabs>
          <w:tab w:val="num" w:pos="0"/>
        </w:tabs>
        <w:ind w:left="2422" w:hanging="720"/>
      </w:pPr>
      <w:rPr>
        <w:rFonts w:ascii="Times New Roman" w:hAnsi="Times New Roman" w:cs="Times New Roman" w:hint="default"/>
        <w:b/>
        <w:sz w:val="24"/>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1"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12B0E79"/>
    <w:multiLevelType w:val="multilevel"/>
    <w:tmpl w:val="DF1CC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24"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2757F0"/>
    <w:multiLevelType w:val="multilevel"/>
    <w:tmpl w:val="9A3A20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E020CB5"/>
    <w:multiLevelType w:val="multilevel"/>
    <w:tmpl w:val="7280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AB9705B"/>
    <w:multiLevelType w:val="hybridMultilevel"/>
    <w:tmpl w:val="655A9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358158B"/>
    <w:multiLevelType w:val="multilevel"/>
    <w:tmpl w:val="65503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53702B58"/>
    <w:multiLevelType w:val="multilevel"/>
    <w:tmpl w:val="16ECD310"/>
    <w:lvl w:ilvl="0">
      <w:start w:val="7"/>
      <w:numFmt w:val="decimal"/>
      <w:lvlText w:val="4.7.%1."/>
      <w:lvlJc w:val="left"/>
      <w:pPr>
        <w:tabs>
          <w:tab w:val="num" w:pos="775"/>
        </w:tabs>
        <w:ind w:left="1495" w:hanging="360"/>
      </w:pPr>
      <w:rPr>
        <w:b w:val="0"/>
      </w:rPr>
    </w:lvl>
    <w:lvl w:ilvl="1">
      <w:start w:val="1"/>
      <w:numFmt w:val="lowerLetter"/>
      <w:lvlText w:val="%2."/>
      <w:lvlJc w:val="left"/>
      <w:pPr>
        <w:tabs>
          <w:tab w:val="num" w:pos="208"/>
        </w:tabs>
        <w:ind w:left="1648" w:hanging="360"/>
      </w:pPr>
    </w:lvl>
    <w:lvl w:ilvl="2">
      <w:start w:val="1"/>
      <w:numFmt w:val="lowerRoman"/>
      <w:lvlText w:val="%3."/>
      <w:lvlJc w:val="right"/>
      <w:pPr>
        <w:tabs>
          <w:tab w:val="num" w:pos="208"/>
        </w:tabs>
        <w:ind w:left="2368" w:hanging="180"/>
      </w:pPr>
    </w:lvl>
    <w:lvl w:ilvl="3">
      <w:start w:val="1"/>
      <w:numFmt w:val="decimal"/>
      <w:lvlText w:val="%4."/>
      <w:lvlJc w:val="left"/>
      <w:pPr>
        <w:tabs>
          <w:tab w:val="num" w:pos="208"/>
        </w:tabs>
        <w:ind w:left="3088" w:hanging="360"/>
      </w:pPr>
    </w:lvl>
    <w:lvl w:ilvl="4">
      <w:start w:val="1"/>
      <w:numFmt w:val="lowerLetter"/>
      <w:lvlText w:val="%5."/>
      <w:lvlJc w:val="left"/>
      <w:pPr>
        <w:tabs>
          <w:tab w:val="num" w:pos="208"/>
        </w:tabs>
        <w:ind w:left="3808" w:hanging="360"/>
      </w:pPr>
    </w:lvl>
    <w:lvl w:ilvl="5">
      <w:start w:val="1"/>
      <w:numFmt w:val="lowerRoman"/>
      <w:lvlText w:val="%6."/>
      <w:lvlJc w:val="right"/>
      <w:pPr>
        <w:tabs>
          <w:tab w:val="num" w:pos="208"/>
        </w:tabs>
        <w:ind w:left="4528" w:hanging="180"/>
      </w:pPr>
    </w:lvl>
    <w:lvl w:ilvl="6">
      <w:start w:val="1"/>
      <w:numFmt w:val="decimal"/>
      <w:lvlText w:val="%7."/>
      <w:lvlJc w:val="left"/>
      <w:pPr>
        <w:tabs>
          <w:tab w:val="num" w:pos="208"/>
        </w:tabs>
        <w:ind w:left="5248" w:hanging="360"/>
      </w:pPr>
    </w:lvl>
    <w:lvl w:ilvl="7">
      <w:start w:val="1"/>
      <w:numFmt w:val="lowerLetter"/>
      <w:lvlText w:val="%8."/>
      <w:lvlJc w:val="left"/>
      <w:pPr>
        <w:tabs>
          <w:tab w:val="num" w:pos="208"/>
        </w:tabs>
        <w:ind w:left="5968" w:hanging="360"/>
      </w:pPr>
    </w:lvl>
    <w:lvl w:ilvl="8">
      <w:start w:val="1"/>
      <w:numFmt w:val="lowerRoman"/>
      <w:lvlText w:val="%9."/>
      <w:lvlJc w:val="right"/>
      <w:pPr>
        <w:tabs>
          <w:tab w:val="num" w:pos="208"/>
        </w:tabs>
        <w:ind w:left="6688" w:hanging="180"/>
      </w:pPr>
    </w:lvl>
  </w:abstractNum>
  <w:abstractNum w:abstractNumId="35" w15:restartNumberingAfterBreak="0">
    <w:nsid w:val="5A5F4279"/>
    <w:multiLevelType w:val="multilevel"/>
    <w:tmpl w:val="C206E888"/>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15:restartNumberingAfterBreak="0">
    <w:nsid w:val="5FFF11B0"/>
    <w:multiLevelType w:val="multilevel"/>
    <w:tmpl w:val="A4A002CE"/>
    <w:lvl w:ilvl="0">
      <w:start w:val="1"/>
      <w:numFmt w:val="decimal"/>
      <w:lvlText w:val="%1."/>
      <w:lvlJc w:val="left"/>
      <w:pPr>
        <w:tabs>
          <w:tab w:val="num" w:pos="0"/>
        </w:tabs>
        <w:ind w:left="360" w:hanging="360"/>
      </w:pPr>
      <w:rPr>
        <w:rFonts w:ascii="Times New Roman" w:hAnsi="Times New Roman"/>
        <w:b/>
        <w:color w:val="auto"/>
        <w:sz w:val="24"/>
      </w:rPr>
    </w:lvl>
    <w:lvl w:ilvl="1">
      <w:start w:val="1"/>
      <w:numFmt w:val="decimal"/>
      <w:lvlText w:val="%1.%2."/>
      <w:lvlJc w:val="left"/>
      <w:pPr>
        <w:tabs>
          <w:tab w:val="num" w:pos="0"/>
        </w:tabs>
        <w:ind w:left="792" w:hanging="432"/>
      </w:pPr>
      <w:rPr>
        <w:b/>
        <w:color w:val="auto"/>
        <w:sz w:val="24"/>
      </w:rPr>
    </w:lvl>
    <w:lvl w:ilvl="2">
      <w:start w:val="1"/>
      <w:numFmt w:val="decimal"/>
      <w:lvlText w:val="%3."/>
      <w:lvlJc w:val="left"/>
      <w:pPr>
        <w:tabs>
          <w:tab w:val="num" w:pos="0"/>
        </w:tabs>
        <w:ind w:left="1224" w:hanging="504"/>
      </w:pPr>
      <w:rPr>
        <w:sz w:val="24"/>
      </w:rPr>
    </w:lvl>
    <w:lvl w:ilvl="3">
      <w:start w:val="1"/>
      <w:numFmt w:val="decimal"/>
      <w:lvlText w:val="%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0BB1FE8"/>
    <w:multiLevelType w:val="multilevel"/>
    <w:tmpl w:val="952C37CC"/>
    <w:lvl w:ilvl="0">
      <w:start w:val="1"/>
      <w:numFmt w:val="decimal"/>
      <w:lvlText w:val="4.7.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33B1C88"/>
    <w:multiLevelType w:val="multilevel"/>
    <w:tmpl w:val="6C50ADA8"/>
    <w:lvl w:ilvl="0">
      <w:start w:val="1"/>
      <w:numFmt w:val="decimal"/>
      <w:lvlText w:val="4.7.6.%1."/>
      <w:lvlJc w:val="left"/>
      <w:pPr>
        <w:tabs>
          <w:tab w:val="num" w:pos="491"/>
        </w:tabs>
        <w:ind w:left="1211" w:hanging="360"/>
      </w:pPr>
      <w:rPr>
        <w:b w:val="0"/>
      </w:rPr>
    </w:lvl>
    <w:lvl w:ilvl="1">
      <w:start w:val="1"/>
      <w:numFmt w:val="lowerLetter"/>
      <w:lvlText w:val="%2."/>
      <w:lvlJc w:val="left"/>
      <w:pPr>
        <w:tabs>
          <w:tab w:val="num" w:pos="491"/>
        </w:tabs>
        <w:ind w:left="1931" w:hanging="360"/>
      </w:pPr>
    </w:lvl>
    <w:lvl w:ilvl="2">
      <w:start w:val="1"/>
      <w:numFmt w:val="lowerRoman"/>
      <w:lvlText w:val="%3."/>
      <w:lvlJc w:val="right"/>
      <w:pPr>
        <w:tabs>
          <w:tab w:val="num" w:pos="491"/>
        </w:tabs>
        <w:ind w:left="2651" w:hanging="180"/>
      </w:pPr>
    </w:lvl>
    <w:lvl w:ilvl="3">
      <w:start w:val="1"/>
      <w:numFmt w:val="decimal"/>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lvlText w:val="%6."/>
      <w:lvlJc w:val="right"/>
      <w:pPr>
        <w:tabs>
          <w:tab w:val="num" w:pos="491"/>
        </w:tabs>
        <w:ind w:left="4811" w:hanging="180"/>
      </w:pPr>
    </w:lvl>
    <w:lvl w:ilvl="6">
      <w:start w:val="1"/>
      <w:numFmt w:val="decimal"/>
      <w:lvlText w:val="%7."/>
      <w:lvlJc w:val="left"/>
      <w:pPr>
        <w:tabs>
          <w:tab w:val="num" w:pos="491"/>
        </w:tabs>
        <w:ind w:left="5531" w:hanging="360"/>
      </w:pPr>
    </w:lvl>
    <w:lvl w:ilvl="7">
      <w:start w:val="1"/>
      <w:numFmt w:val="lowerLetter"/>
      <w:lvlText w:val="%8."/>
      <w:lvlJc w:val="left"/>
      <w:pPr>
        <w:tabs>
          <w:tab w:val="num" w:pos="491"/>
        </w:tabs>
        <w:ind w:left="6251" w:hanging="360"/>
      </w:pPr>
    </w:lvl>
    <w:lvl w:ilvl="8">
      <w:start w:val="1"/>
      <w:numFmt w:val="lowerRoman"/>
      <w:lvlText w:val="%9."/>
      <w:lvlJc w:val="right"/>
      <w:pPr>
        <w:tabs>
          <w:tab w:val="num" w:pos="491"/>
        </w:tabs>
        <w:ind w:left="6971" w:hanging="180"/>
      </w:pPr>
    </w:lvl>
  </w:abstractNum>
  <w:abstractNum w:abstractNumId="40" w15:restartNumberingAfterBreak="0">
    <w:nsid w:val="65677B2A"/>
    <w:multiLevelType w:val="hybridMultilevel"/>
    <w:tmpl w:val="865A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C55F9A"/>
    <w:multiLevelType w:val="multilevel"/>
    <w:tmpl w:val="D3EEF934"/>
    <w:lvl w:ilvl="0">
      <w:start w:val="1"/>
      <w:numFmt w:val="decimal"/>
      <w:lvlText w:val="%1."/>
      <w:lvlJc w:val="left"/>
      <w:pPr>
        <w:tabs>
          <w:tab w:val="num" w:pos="0"/>
        </w:tabs>
        <w:ind w:left="1080" w:hanging="102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45"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46"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7649421">
    <w:abstractNumId w:val="11"/>
  </w:num>
  <w:num w:numId="2" w16cid:durableId="707879857">
    <w:abstractNumId w:val="14"/>
  </w:num>
  <w:num w:numId="3" w16cid:durableId="1490831487">
    <w:abstractNumId w:val="36"/>
  </w:num>
  <w:num w:numId="4" w16cid:durableId="501699729">
    <w:abstractNumId w:val="4"/>
  </w:num>
  <w:num w:numId="5" w16cid:durableId="335429005">
    <w:abstractNumId w:val="35"/>
  </w:num>
  <w:num w:numId="6" w16cid:durableId="472337214">
    <w:abstractNumId w:val="22"/>
  </w:num>
  <w:num w:numId="7" w16cid:durableId="691609776">
    <w:abstractNumId w:val="8"/>
  </w:num>
  <w:num w:numId="8" w16cid:durableId="1585842144">
    <w:abstractNumId w:val="33"/>
  </w:num>
  <w:num w:numId="9" w16cid:durableId="139736627">
    <w:abstractNumId w:val="41"/>
  </w:num>
  <w:num w:numId="10" w16cid:durableId="1297687473">
    <w:abstractNumId w:val="42"/>
  </w:num>
  <w:num w:numId="11" w16cid:durableId="717751394">
    <w:abstractNumId w:val="27"/>
  </w:num>
  <w:num w:numId="12" w16cid:durableId="284119338">
    <w:abstractNumId w:val="10"/>
  </w:num>
  <w:num w:numId="13" w16cid:durableId="340206986">
    <w:abstractNumId w:val="28"/>
  </w:num>
  <w:num w:numId="14" w16cid:durableId="1431927812">
    <w:abstractNumId w:val="17"/>
  </w:num>
  <w:num w:numId="15" w16cid:durableId="64186217">
    <w:abstractNumId w:val="19"/>
  </w:num>
  <w:num w:numId="16" w16cid:durableId="2080058860">
    <w:abstractNumId w:val="16"/>
  </w:num>
  <w:num w:numId="17" w16cid:durableId="260528558">
    <w:abstractNumId w:val="40"/>
  </w:num>
  <w:num w:numId="18" w16cid:durableId="1850560007">
    <w:abstractNumId w:val="6"/>
  </w:num>
  <w:num w:numId="19" w16cid:durableId="95102459">
    <w:abstractNumId w:val="18"/>
  </w:num>
  <w:num w:numId="20" w16cid:durableId="643779372">
    <w:abstractNumId w:val="29"/>
  </w:num>
  <w:num w:numId="21" w16cid:durableId="389960123">
    <w:abstractNumId w:val="3"/>
  </w:num>
  <w:num w:numId="22" w16cid:durableId="1006706676">
    <w:abstractNumId w:val="13"/>
  </w:num>
  <w:num w:numId="23" w16cid:durableId="206914159">
    <w:abstractNumId w:val="20"/>
  </w:num>
  <w:num w:numId="24" w16cid:durableId="1307705795">
    <w:abstractNumId w:val="45"/>
  </w:num>
  <w:num w:numId="25" w16cid:durableId="197470495">
    <w:abstractNumId w:val="7"/>
  </w:num>
  <w:num w:numId="26" w16cid:durableId="1746025656">
    <w:abstractNumId w:val="23"/>
  </w:num>
  <w:num w:numId="27" w16cid:durableId="52700573">
    <w:abstractNumId w:val="15"/>
  </w:num>
  <w:num w:numId="28" w16cid:durableId="1625573625">
    <w:abstractNumId w:val="0"/>
  </w:num>
  <w:num w:numId="29" w16cid:durableId="2072927127">
    <w:abstractNumId w:val="44"/>
  </w:num>
  <w:num w:numId="30" w16cid:durableId="1069578213">
    <w:abstractNumId w:val="5"/>
  </w:num>
  <w:num w:numId="31" w16cid:durableId="2058552202">
    <w:abstractNumId w:val="30"/>
  </w:num>
  <w:num w:numId="32" w16cid:durableId="2000845545">
    <w:abstractNumId w:val="9"/>
  </w:num>
  <w:num w:numId="33" w16cid:durableId="978339754">
    <w:abstractNumId w:val="21"/>
  </w:num>
  <w:num w:numId="34" w16cid:durableId="1138189087">
    <w:abstractNumId w:val="26"/>
  </w:num>
  <w:num w:numId="35" w16cid:durableId="18505739">
    <w:abstractNumId w:val="31"/>
  </w:num>
  <w:num w:numId="36" w16cid:durableId="1990547106">
    <w:abstractNumId w:val="43"/>
  </w:num>
  <w:num w:numId="37" w16cid:durableId="1307204631">
    <w:abstractNumId w:val="46"/>
  </w:num>
  <w:num w:numId="38" w16cid:durableId="962730021">
    <w:abstractNumId w:val="47"/>
  </w:num>
  <w:num w:numId="39" w16cid:durableId="1682509497">
    <w:abstractNumId w:val="12"/>
  </w:num>
  <w:num w:numId="40" w16cid:durableId="1262421843">
    <w:abstractNumId w:val="2"/>
  </w:num>
  <w:num w:numId="41" w16cid:durableId="597713067">
    <w:abstractNumId w:val="38"/>
  </w:num>
  <w:num w:numId="42" w16cid:durableId="389692852">
    <w:abstractNumId w:val="39"/>
  </w:num>
  <w:num w:numId="43" w16cid:durableId="2087800464">
    <w:abstractNumId w:val="34"/>
  </w:num>
  <w:num w:numId="44" w16cid:durableId="370348273">
    <w:abstractNumId w:val="37"/>
  </w:num>
  <w:num w:numId="45" w16cid:durableId="1726293442">
    <w:abstractNumId w:val="1"/>
  </w:num>
  <w:num w:numId="46" w16cid:durableId="1799453681">
    <w:abstractNumId w:val="32"/>
  </w:num>
  <w:num w:numId="47" w16cid:durableId="1677415704">
    <w:abstractNumId w:val="25"/>
  </w:num>
  <w:num w:numId="48" w16cid:durableId="128322696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24"/>
    <w:rsid w:val="00015F25"/>
    <w:rsid w:val="0004368B"/>
    <w:rsid w:val="00067673"/>
    <w:rsid w:val="00072FC7"/>
    <w:rsid w:val="00082E99"/>
    <w:rsid w:val="00124024"/>
    <w:rsid w:val="00155B2C"/>
    <w:rsid w:val="001B043C"/>
    <w:rsid w:val="002563BA"/>
    <w:rsid w:val="00257D21"/>
    <w:rsid w:val="00281088"/>
    <w:rsid w:val="00290A2C"/>
    <w:rsid w:val="002A6BBC"/>
    <w:rsid w:val="00306775"/>
    <w:rsid w:val="0034556F"/>
    <w:rsid w:val="0036265D"/>
    <w:rsid w:val="003D6AE3"/>
    <w:rsid w:val="003E043D"/>
    <w:rsid w:val="00425AC8"/>
    <w:rsid w:val="004425AD"/>
    <w:rsid w:val="0046107D"/>
    <w:rsid w:val="004B1D5C"/>
    <w:rsid w:val="004D761E"/>
    <w:rsid w:val="004F0D18"/>
    <w:rsid w:val="005016DF"/>
    <w:rsid w:val="005533D6"/>
    <w:rsid w:val="005751A2"/>
    <w:rsid w:val="005A30FD"/>
    <w:rsid w:val="005A40EE"/>
    <w:rsid w:val="005B16D5"/>
    <w:rsid w:val="005D4190"/>
    <w:rsid w:val="00600D07"/>
    <w:rsid w:val="00601FA7"/>
    <w:rsid w:val="00614A88"/>
    <w:rsid w:val="00703F02"/>
    <w:rsid w:val="00723ECC"/>
    <w:rsid w:val="007C35C8"/>
    <w:rsid w:val="007D6F96"/>
    <w:rsid w:val="007F0FEB"/>
    <w:rsid w:val="00803CDA"/>
    <w:rsid w:val="00823BE6"/>
    <w:rsid w:val="008348C1"/>
    <w:rsid w:val="008A312D"/>
    <w:rsid w:val="008B3DD0"/>
    <w:rsid w:val="008D11B8"/>
    <w:rsid w:val="008E67D9"/>
    <w:rsid w:val="008E7357"/>
    <w:rsid w:val="008F6169"/>
    <w:rsid w:val="009671F1"/>
    <w:rsid w:val="009701DB"/>
    <w:rsid w:val="009C0F91"/>
    <w:rsid w:val="009F5419"/>
    <w:rsid w:val="009F726F"/>
    <w:rsid w:val="009F7C0A"/>
    <w:rsid w:val="00A45600"/>
    <w:rsid w:val="00A56F38"/>
    <w:rsid w:val="00A9200E"/>
    <w:rsid w:val="00AC505A"/>
    <w:rsid w:val="00AF0809"/>
    <w:rsid w:val="00B112A0"/>
    <w:rsid w:val="00B97CCE"/>
    <w:rsid w:val="00BB1088"/>
    <w:rsid w:val="00C03FBA"/>
    <w:rsid w:val="00C71802"/>
    <w:rsid w:val="00CE70BC"/>
    <w:rsid w:val="00D14DEF"/>
    <w:rsid w:val="00D56ED4"/>
    <w:rsid w:val="00DA43D1"/>
    <w:rsid w:val="00E04FBE"/>
    <w:rsid w:val="00E51DE0"/>
    <w:rsid w:val="00E55602"/>
    <w:rsid w:val="00E90405"/>
    <w:rsid w:val="00EB131B"/>
    <w:rsid w:val="00EC20DF"/>
    <w:rsid w:val="00EF52D3"/>
    <w:rsid w:val="00F46919"/>
    <w:rsid w:val="00F46F28"/>
    <w:rsid w:val="00FB2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DCF"/>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24"/>
  </w:style>
  <w:style w:type="paragraph" w:styleId="Antrat1">
    <w:name w:val="heading 1"/>
    <w:basedOn w:val="prastasis"/>
    <w:next w:val="prastasis"/>
    <w:link w:val="Antrat1Diagrama"/>
    <w:uiPriority w:val="9"/>
    <w:qFormat/>
    <w:rsid w:val="00EF52D3"/>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F52D3"/>
    <w:pPr>
      <w:suppressAutoHyphens/>
      <w:outlineLvl w:val="1"/>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40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024"/>
  </w:style>
  <w:style w:type="paragraph" w:styleId="Antrats">
    <w:name w:val="header"/>
    <w:basedOn w:val="prastasis"/>
    <w:link w:val="AntratsDiagrama"/>
    <w:uiPriority w:val="99"/>
    <w:unhideWhenUsed/>
    <w:rsid w:val="001240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024"/>
  </w:style>
  <w:style w:type="paragraph" w:styleId="HTMLiankstoformatuotas">
    <w:name w:val="HTML Preformatted"/>
    <w:basedOn w:val="prastasis"/>
    <w:link w:val="HTMLiankstoformatuotasDiagrama"/>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24024"/>
    <w:rPr>
      <w:rFonts w:ascii="Courier New" w:eastAsia="Courier New" w:hAnsi="Courier New" w:cs="Times New Roman"/>
      <w:sz w:val="20"/>
      <w:szCs w:val="20"/>
      <w:lang w:val="en-GB"/>
    </w:rPr>
  </w:style>
  <w:style w:type="paragraph" w:styleId="Pagrindinistekstas">
    <w:name w:val="Body Text"/>
    <w:basedOn w:val="prastasis"/>
    <w:link w:val="PagrindinistekstasDiagrama"/>
    <w:rsid w:val="00124024"/>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124024"/>
    <w:rPr>
      <w:rFonts w:ascii="Times New Roman" w:eastAsia="Times New Roman" w:hAnsi="Times New Roman" w:cs="Times New Roman"/>
      <w:sz w:val="24"/>
      <w:szCs w:val="20"/>
    </w:rPr>
  </w:style>
  <w:style w:type="table" w:styleId="Lentelstinklelis">
    <w:name w:val="Table Grid"/>
    <w:basedOn w:val="prastojilente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B97CCE"/>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97CCE"/>
    <w:rPr>
      <w:rFonts w:eastAsiaTheme="minorEastAsia"/>
    </w:rPr>
  </w:style>
  <w:style w:type="table" w:customStyle="1" w:styleId="5">
    <w:name w:val="5"/>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prastojilentel"/>
    <w:next w:val="Lentelstinklelis"/>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B97CCE"/>
    <w:pPr>
      <w:keepNext/>
      <w:keepLines/>
      <w:numPr>
        <w:ilvl w:val="1"/>
        <w:numId w:val="1"/>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prastasis"/>
    <w:link w:val="Style5Char"/>
    <w:qFormat/>
    <w:rsid w:val="00B97CCE"/>
    <w:pPr>
      <w:numPr>
        <w:ilvl w:val="2"/>
        <w:numId w:val="1"/>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prastasis"/>
    <w:link w:val="1NUMarialChar"/>
    <w:qFormat/>
    <w:rsid w:val="00B97CCE"/>
    <w:pPr>
      <w:numPr>
        <w:numId w:val="2"/>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B97CCE"/>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B97CCE"/>
    <w:pPr>
      <w:numPr>
        <w:ilvl w:val="1"/>
        <w:numId w:val="2"/>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prastojilente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Antrat1Diagrama">
    <w:name w:val="Antraštė 1 Diagrama"/>
    <w:basedOn w:val="Numatytasispastraiposriftas"/>
    <w:link w:val="Antrat1"/>
    <w:uiPriority w:val="9"/>
    <w:qFormat/>
    <w:rsid w:val="00EF52D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sid w:val="00EF52D3"/>
    <w:rPr>
      <w:rFonts w:ascii="Times New Roman" w:hAnsi="Times New Roman" w:cs="Times New Roman"/>
      <w:sz w:val="24"/>
    </w:rPr>
  </w:style>
  <w:style w:type="character" w:customStyle="1" w:styleId="normaltextrun">
    <w:name w:val="normaltextrun"/>
    <w:basedOn w:val="Numatytasispastraiposriftas"/>
    <w:qFormat/>
    <w:rsid w:val="00EF52D3"/>
  </w:style>
  <w:style w:type="character" w:customStyle="1" w:styleId="eop">
    <w:name w:val="eop"/>
    <w:basedOn w:val="Numatytasispastraiposriftas"/>
    <w:qFormat/>
    <w:rsid w:val="00EF52D3"/>
  </w:style>
  <w:style w:type="character" w:customStyle="1" w:styleId="lvl2Char">
    <w:name w:val="lvl2 Char"/>
    <w:basedOn w:val="Numatytasispastraiposriftas"/>
    <w:qFormat/>
    <w:rsid w:val="00EF52D3"/>
    <w:rPr>
      <w:rFonts w:ascii="Times New Roman" w:hAnsi="Times New Roman" w:cs="Times New Roman"/>
      <w:sz w:val="24"/>
      <w:szCs w:val="24"/>
    </w:rPr>
  </w:style>
  <w:style w:type="paragraph" w:styleId="Betarp">
    <w:name w:val="No Spacing"/>
    <w:uiPriority w:val="1"/>
    <w:qFormat/>
    <w:rsid w:val="00EF52D3"/>
    <w:pPr>
      <w:suppressAutoHyphens/>
      <w:spacing w:after="0" w:line="240" w:lineRule="auto"/>
    </w:pPr>
  </w:style>
  <w:style w:type="character" w:styleId="Komentaronuoroda">
    <w:name w:val="annotation reference"/>
    <w:basedOn w:val="Numatytasispastraiposriftas"/>
    <w:uiPriority w:val="99"/>
    <w:semiHidden/>
    <w:unhideWhenUsed/>
    <w:rsid w:val="00CE70BC"/>
    <w:rPr>
      <w:sz w:val="16"/>
      <w:szCs w:val="16"/>
    </w:rPr>
  </w:style>
  <w:style w:type="paragraph" w:styleId="Komentarotekstas">
    <w:name w:val="annotation text"/>
    <w:basedOn w:val="prastasis"/>
    <w:link w:val="KomentarotekstasDiagrama"/>
    <w:uiPriority w:val="99"/>
    <w:semiHidden/>
    <w:unhideWhenUsed/>
    <w:rsid w:val="00CE70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0BC"/>
    <w:rPr>
      <w:sz w:val="20"/>
      <w:szCs w:val="20"/>
    </w:rPr>
  </w:style>
  <w:style w:type="paragraph" w:styleId="Komentarotema">
    <w:name w:val="annotation subject"/>
    <w:basedOn w:val="Komentarotekstas"/>
    <w:next w:val="Komentarotekstas"/>
    <w:link w:val="KomentarotemaDiagrama"/>
    <w:uiPriority w:val="99"/>
    <w:semiHidden/>
    <w:unhideWhenUsed/>
    <w:rsid w:val="00CE70BC"/>
    <w:rPr>
      <w:b/>
      <w:bCs/>
    </w:rPr>
  </w:style>
  <w:style w:type="character" w:customStyle="1" w:styleId="KomentarotemaDiagrama">
    <w:name w:val="Komentaro tema Diagrama"/>
    <w:basedOn w:val="KomentarotekstasDiagrama"/>
    <w:link w:val="Komentarotema"/>
    <w:uiPriority w:val="99"/>
    <w:semiHidden/>
    <w:rsid w:val="00CE70BC"/>
    <w:rPr>
      <w:b/>
      <w:bCs/>
      <w:sz w:val="20"/>
      <w:szCs w:val="20"/>
    </w:rPr>
  </w:style>
  <w:style w:type="paragraph" w:styleId="Debesliotekstas">
    <w:name w:val="Balloon Text"/>
    <w:basedOn w:val="prastasis"/>
    <w:link w:val="DebesliotekstasDiagrama"/>
    <w:uiPriority w:val="99"/>
    <w:semiHidden/>
    <w:unhideWhenUsed/>
    <w:rsid w:val="00CE70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0BC"/>
    <w:rPr>
      <w:rFonts w:ascii="Segoe UI" w:hAnsi="Segoe UI" w:cs="Segoe UI"/>
      <w:sz w:val="18"/>
      <w:szCs w:val="18"/>
    </w:rPr>
  </w:style>
  <w:style w:type="character" w:styleId="Hipersaitas">
    <w:name w:val="Hyperlink"/>
    <w:basedOn w:val="Numatytasispastraiposriftas"/>
    <w:uiPriority w:val="99"/>
    <w:unhideWhenUsed/>
    <w:rsid w:val="00FB2281"/>
    <w:rPr>
      <w:color w:val="0563C1" w:themeColor="hyperlink"/>
      <w:u w:val="single"/>
    </w:rPr>
  </w:style>
  <w:style w:type="character" w:styleId="Neapdorotaspaminjimas">
    <w:name w:val="Unresolved Mention"/>
    <w:basedOn w:val="Numatytasispastraiposriftas"/>
    <w:uiPriority w:val="99"/>
    <w:semiHidden/>
    <w:unhideWhenUsed/>
    <w:rsid w:val="00FB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pagalba@vrm.lt" TargetMode="External"/><Relationship Id="rId3" Type="http://schemas.openxmlformats.org/officeDocument/2006/relationships/settings" Target="settings.xml"/><Relationship Id="rId7" Type="http://schemas.openxmlformats.org/officeDocument/2006/relationships/hyperlink" Target="https://ittpagalba.vrm.lt/M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22249</Words>
  <Characters>12682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2</cp:revision>
  <dcterms:created xsi:type="dcterms:W3CDTF">2023-11-23T05:51:00Z</dcterms:created>
  <dcterms:modified xsi:type="dcterms:W3CDTF">2023-11-23T05:51:00Z</dcterms:modified>
</cp:coreProperties>
</file>