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6B4490E5" w:rsidR="00184B8C" w:rsidRPr="0036054C" w:rsidRDefault="002B7A24"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49D15501" w:rsidR="00184B8C" w:rsidRPr="00AB04C3" w:rsidRDefault="00BF299B" w:rsidP="00AB04C3">
                    <w:pPr>
                      <w:pStyle w:val="NoSpacing"/>
                      <w:rPr>
                        <w:color w:val="2F5496" w:themeColor="accent1" w:themeShade="BF"/>
                        <w:sz w:val="24"/>
                        <w:lang w:val="lt-LT"/>
                      </w:rPr>
                    </w:pPr>
                    <w:r w:rsidRPr="00AA0E8F">
                      <w:rPr>
                        <w:color w:val="2F5496" w:themeColor="accent1" w:themeShade="BF"/>
                        <w:sz w:val="24"/>
                        <w:szCs w:val="24"/>
                        <w:lang w:val="lt-LT"/>
                      </w:rPr>
                      <w:t>2023-12-</w:t>
                    </w:r>
                    <w:r w:rsidR="00D07CF0">
                      <w:rPr>
                        <w:color w:val="2F5496" w:themeColor="accent1" w:themeShade="BF"/>
                        <w:sz w:val="24"/>
                        <w:szCs w:val="24"/>
                        <w:lang w:val="lt-LT"/>
                      </w:rPr>
                      <w:t>28</w:t>
                    </w:r>
                    <w:r w:rsidRPr="00AA0E8F">
                      <w:rPr>
                        <w:color w:val="2F5496" w:themeColor="accent1" w:themeShade="BF"/>
                        <w:sz w:val="24"/>
                        <w:szCs w:val="24"/>
                        <w:lang w:val="lt-LT"/>
                      </w:rPr>
                      <w:t xml:space="preserve">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73C828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36054C">
          <w:rPr>
            <w:rStyle w:val="Hyperlink"/>
            <w:rFonts w:cstheme="minorHAnsi"/>
            <w:color w:val="0070C0"/>
            <w:lang w:val="lt-LT"/>
          </w:rPr>
          <w:t>https://cvpp.eviesiejipirkimai.lt</w:t>
        </w:r>
        <w:r w:rsidRPr="0036054C">
          <w:rPr>
            <w:rStyle w:val="Hyperlink"/>
            <w:rFonts w:cstheme="minorHAnsi"/>
            <w:lang w:val="lt-LT"/>
          </w:rPr>
          <w:t>/</w:t>
        </w:r>
      </w:hyperlink>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1BB9627"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r w:rsidRPr="2F180F3F">
          <w:rPr>
            <w:color w:val="0070C0"/>
            <w:lang w:val="lt-LT"/>
          </w:rPr>
          <w:t>https://pirkimai.eviesiejipirkimai.lt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522A21C8"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Pr="0036054C">
          <w:rPr>
            <w:rStyle w:val="Hyperlink"/>
            <w:rFonts w:cstheme="minorHAnsi"/>
            <w:color w:val="0070C0"/>
            <w:lang w:val="lt-LT"/>
          </w:rPr>
          <w:t>https://pirkimai.eviesiejipirkimai.lt/</w:t>
        </w:r>
      </w:hyperlink>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lastRenderedPageBreak/>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7F4375" w:rsidRDefault="00546C35" w:rsidP="007F4375">
      <w:pPr>
        <w:pStyle w:val="ListParagraph"/>
        <w:numPr>
          <w:ilvl w:val="1"/>
          <w:numId w:val="9"/>
        </w:numPr>
        <w:spacing w:after="0" w:line="20" w:lineRule="atLeast"/>
        <w:ind w:left="0" w:firstLine="567"/>
        <w:jc w:val="both"/>
        <w:rPr>
          <w:rFonts w:cstheme="minorHAnsi"/>
          <w:lang w:val="lt-LT"/>
        </w:rPr>
      </w:pPr>
      <w:r w:rsidRPr="007F4375">
        <w:rPr>
          <w:rFonts w:cstheme="minorHAnsi"/>
          <w:lang w:val="lt-LT"/>
        </w:rPr>
        <w:t>Prieš nustatydama laimėjusį pasiūlymą</w:t>
      </w:r>
      <w:r w:rsidR="007619A7" w:rsidRPr="007F4375">
        <w:rPr>
          <w:rFonts w:cstheme="minorHAnsi"/>
          <w:lang w:val="lt-LT"/>
        </w:rPr>
        <w:t>,</w:t>
      </w:r>
      <w:r w:rsidRPr="007F4375">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7F4375">
        <w:rPr>
          <w:lang w:val="lt-LT"/>
        </w:rPr>
        <w:t xml:space="preserve">, t. y., kad </w:t>
      </w:r>
      <w:r w:rsidR="00E95669" w:rsidRPr="007F4375">
        <w:rPr>
          <w:lang w:val="lt-LT"/>
        </w:rPr>
        <w:t>tiekėjas</w:t>
      </w:r>
      <w:r w:rsidR="006E6C1C" w:rsidRPr="007F4375">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5EA205D3"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EA36CC0"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277C30" w:rsidRPr="00211083">
        <w:rPr>
          <w:rFonts w:cstheme="minorHAnsi"/>
          <w:b/>
          <w:lang w:val="lt-LT"/>
        </w:rPr>
        <w:t xml:space="preserve">45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w:t>
      </w:r>
      <w:r w:rsidRPr="7039AFED">
        <w:rPr>
          <w:lang w:val="lt-LT"/>
        </w:rPr>
        <w:lastRenderedPageBreak/>
        <w:t xml:space="preserve">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lastRenderedPageBreak/>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lastRenderedPageBreak/>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1A2A3" w14:textId="77777777" w:rsidR="00852995" w:rsidRDefault="00852995" w:rsidP="00184B8C">
      <w:pPr>
        <w:spacing w:after="0" w:line="240" w:lineRule="auto"/>
      </w:pPr>
      <w:r>
        <w:separator/>
      </w:r>
    </w:p>
  </w:endnote>
  <w:endnote w:type="continuationSeparator" w:id="0">
    <w:p w14:paraId="0B657BF0" w14:textId="77777777" w:rsidR="00852995" w:rsidRDefault="00852995" w:rsidP="00184B8C">
      <w:pPr>
        <w:spacing w:after="0" w:line="240" w:lineRule="auto"/>
      </w:pPr>
      <w:r>
        <w:continuationSeparator/>
      </w:r>
    </w:p>
  </w:endnote>
  <w:endnote w:type="continuationNotice" w:id="1">
    <w:p w14:paraId="5716F13E" w14:textId="77777777" w:rsidR="00852995" w:rsidRDefault="008529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59589" w14:textId="77777777" w:rsidR="00852995" w:rsidRDefault="00852995" w:rsidP="00184B8C">
      <w:pPr>
        <w:spacing w:after="0" w:line="240" w:lineRule="auto"/>
      </w:pPr>
      <w:r>
        <w:separator/>
      </w:r>
    </w:p>
  </w:footnote>
  <w:footnote w:type="continuationSeparator" w:id="0">
    <w:p w14:paraId="57BA2F60" w14:textId="77777777" w:rsidR="00852995" w:rsidRDefault="00852995" w:rsidP="00184B8C">
      <w:pPr>
        <w:spacing w:after="0" w:line="240" w:lineRule="auto"/>
      </w:pPr>
      <w:r>
        <w:continuationSeparator/>
      </w:r>
    </w:p>
  </w:footnote>
  <w:footnote w:type="continuationNotice" w:id="1">
    <w:p w14:paraId="6885F23E" w14:textId="77777777" w:rsidR="00852995" w:rsidRDefault="00852995">
      <w:pPr>
        <w:spacing w:after="0" w:line="240" w:lineRule="auto"/>
      </w:pPr>
    </w:p>
  </w:footnote>
  <w:footnote w:id="2">
    <w:p w14:paraId="007E516C" w14:textId="172496B7" w:rsidR="0041281F" w:rsidRPr="00427C59" w:rsidRDefault="0041281F" w:rsidP="0041281F">
      <w:pPr>
        <w:pStyle w:val="FootnoteText"/>
        <w:spacing w:after="0"/>
        <w:rPr>
          <w:lang w:val="lt-LT"/>
        </w:rPr>
      </w:pPr>
      <w:r w:rsidRPr="00427C59">
        <w:rPr>
          <w:rStyle w:val="FootnoteReference"/>
          <w:lang w:val="lt-LT"/>
        </w:rPr>
        <w:footnoteRef/>
      </w:r>
      <w:r w:rsidRPr="00427C59">
        <w:rPr>
          <w:lang w:val="lt-LT"/>
        </w:rPr>
        <w:t xml:space="preserve"> Instrukcija lietuvių kalba: </w:t>
      </w:r>
      <w:hyperlink r:id="rId1" w:history="1">
        <w:r w:rsidR="0080510E" w:rsidRPr="00D05DB4">
          <w:rPr>
            <w:rStyle w:val="Hyperlink"/>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FootnoteText"/>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Pr="00427C59">
          <w:rPr>
            <w:rStyle w:val="Hyperlink"/>
            <w:lang w:val="lt-LT"/>
          </w:rPr>
          <w:t>https://vpt.lrv.lt/uploads/vpt/documents/files/uzsifravimo_instrukcija.pdf</w:t>
        </w:r>
      </w:hyperlink>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0E14"/>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75"/>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995"/>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42C3"/>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775DD"/>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vpp.e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irkimai.e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207185"/>
    <w:rsid w:val="0020766A"/>
    <w:rsid w:val="002223C0"/>
    <w:rsid w:val="00244C86"/>
    <w:rsid w:val="002661E7"/>
    <w:rsid w:val="00275C7F"/>
    <w:rsid w:val="002A2CE7"/>
    <w:rsid w:val="002C392B"/>
    <w:rsid w:val="002F0E8D"/>
    <w:rsid w:val="00336D7E"/>
    <w:rsid w:val="00360A53"/>
    <w:rsid w:val="003749C5"/>
    <w:rsid w:val="003E6EE4"/>
    <w:rsid w:val="00493487"/>
    <w:rsid w:val="005675CF"/>
    <w:rsid w:val="005729F3"/>
    <w:rsid w:val="005810C1"/>
    <w:rsid w:val="005834A3"/>
    <w:rsid w:val="005E16E8"/>
    <w:rsid w:val="00601AF4"/>
    <w:rsid w:val="00606C3D"/>
    <w:rsid w:val="00693424"/>
    <w:rsid w:val="006B2D23"/>
    <w:rsid w:val="006C391D"/>
    <w:rsid w:val="006E34FF"/>
    <w:rsid w:val="006F0E14"/>
    <w:rsid w:val="006F717D"/>
    <w:rsid w:val="007067F2"/>
    <w:rsid w:val="007F042B"/>
    <w:rsid w:val="0080023D"/>
    <w:rsid w:val="00803091"/>
    <w:rsid w:val="00826AF2"/>
    <w:rsid w:val="00842D8B"/>
    <w:rsid w:val="00870009"/>
    <w:rsid w:val="008972D3"/>
    <w:rsid w:val="008E3986"/>
    <w:rsid w:val="00922435"/>
    <w:rsid w:val="009400D0"/>
    <w:rsid w:val="00945412"/>
    <w:rsid w:val="009467A4"/>
    <w:rsid w:val="009809C9"/>
    <w:rsid w:val="00986DA0"/>
    <w:rsid w:val="009E4598"/>
    <w:rsid w:val="00A17103"/>
    <w:rsid w:val="00B04A47"/>
    <w:rsid w:val="00B15794"/>
    <w:rsid w:val="00B34251"/>
    <w:rsid w:val="00BA4285"/>
    <w:rsid w:val="00C21BEC"/>
    <w:rsid w:val="00C40F63"/>
    <w:rsid w:val="00CE3250"/>
    <w:rsid w:val="00D23DD6"/>
    <w:rsid w:val="00D63C44"/>
    <w:rsid w:val="00D8236E"/>
    <w:rsid w:val="00D93133"/>
    <w:rsid w:val="00D953CC"/>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9395</Words>
  <Characters>53555</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62825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Viktorija Balčiūnienė</cp:lastModifiedBy>
  <cp:revision>3</cp:revision>
  <dcterms:created xsi:type="dcterms:W3CDTF">2024-10-23T07:31:00Z</dcterms:created>
  <dcterms:modified xsi:type="dcterms:W3CDTF">2024-10-23T07:33:00Z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